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613C05" w14:textId="28995DF9" w:rsidR="00D64209" w:rsidRPr="001F2E12" w:rsidRDefault="00D64209" w:rsidP="00D64209">
      <w:pPr>
        <w:pStyle w:val="NormalWeb"/>
        <w:numPr>
          <w:ilvl w:val="0"/>
          <w:numId w:val="1"/>
        </w:numPr>
        <w:shd w:val="clear" w:color="auto" w:fill="FFFFFF"/>
        <w:spacing w:before="0" w:beforeAutospacing="0" w:after="0" w:afterAutospacing="0"/>
        <w:rPr>
          <w:rFonts w:ascii="Titillium Web" w:hAnsi="Titillium Web"/>
          <w:b/>
          <w:bCs/>
          <w:color w:val="333333"/>
          <w:sz w:val="22"/>
          <w:szCs w:val="22"/>
        </w:rPr>
      </w:pPr>
      <w:r w:rsidRPr="001F2E12">
        <w:rPr>
          <w:rFonts w:ascii="Titillium Web" w:hAnsi="Titillium Web"/>
          <w:b/>
          <w:bCs/>
          <w:sz w:val="22"/>
          <w:szCs w:val="22"/>
        </w:rPr>
        <w:t xml:space="preserve">Hur </w:t>
      </w:r>
      <w:proofErr w:type="spellStart"/>
      <w:r w:rsidRPr="001F2E12">
        <w:rPr>
          <w:rFonts w:ascii="Titillium Web" w:hAnsi="Titillium Web"/>
          <w:b/>
          <w:bCs/>
          <w:sz w:val="22"/>
          <w:szCs w:val="22"/>
        </w:rPr>
        <w:t>uppnås</w:t>
      </w:r>
      <w:proofErr w:type="spellEnd"/>
      <w:r w:rsidRPr="001F2E12">
        <w:rPr>
          <w:rFonts w:ascii="Titillium Web" w:hAnsi="Titillium Web"/>
          <w:b/>
          <w:bCs/>
          <w:sz w:val="22"/>
          <w:szCs w:val="22"/>
        </w:rPr>
        <w:t xml:space="preserve"> </w:t>
      </w:r>
      <w:proofErr w:type="spellStart"/>
      <w:r w:rsidRPr="001F2E12">
        <w:rPr>
          <w:rFonts w:ascii="Titillium Web" w:hAnsi="Titillium Web"/>
          <w:b/>
          <w:bCs/>
          <w:sz w:val="22"/>
          <w:szCs w:val="22"/>
        </w:rPr>
        <w:t>hög</w:t>
      </w:r>
      <w:proofErr w:type="spellEnd"/>
      <w:r w:rsidRPr="001F2E12">
        <w:rPr>
          <w:rFonts w:ascii="Titillium Web" w:hAnsi="Titillium Web"/>
          <w:b/>
          <w:bCs/>
          <w:sz w:val="22"/>
          <w:szCs w:val="22"/>
        </w:rPr>
        <w:t xml:space="preserve"> </w:t>
      </w:r>
      <w:proofErr w:type="spellStart"/>
      <w:r w:rsidRPr="001F2E12">
        <w:rPr>
          <w:rFonts w:ascii="Titillium Web" w:hAnsi="Titillium Web"/>
          <w:b/>
          <w:bCs/>
          <w:sz w:val="22"/>
          <w:szCs w:val="22"/>
        </w:rPr>
        <w:t>fyllnadsgrad</w:t>
      </w:r>
      <w:proofErr w:type="spellEnd"/>
      <w:r w:rsidRPr="001F2E12">
        <w:rPr>
          <w:rFonts w:ascii="Titillium Web" w:hAnsi="Titillium Web"/>
          <w:b/>
          <w:bCs/>
          <w:sz w:val="22"/>
          <w:szCs w:val="22"/>
        </w:rPr>
        <w:t>? / How is a high degree of filling achieved?</w:t>
      </w:r>
    </w:p>
    <w:p w14:paraId="4D2484DF" w14:textId="7CCB04C8" w:rsidR="00E25B3C" w:rsidRDefault="00E25B3C" w:rsidP="00E25B3C">
      <w:pPr>
        <w:pStyle w:val="NormalWeb"/>
        <w:shd w:val="clear" w:color="auto" w:fill="FFFFFF"/>
        <w:tabs>
          <w:tab w:val="left" w:pos="4531"/>
        </w:tabs>
        <w:spacing w:before="0" w:beforeAutospacing="0" w:after="0" w:afterAutospacing="0"/>
        <w:ind w:left="720"/>
        <w:rPr>
          <w:rFonts w:asciiTheme="minorEastAsia" w:eastAsiaTheme="minorEastAsia" w:hAnsiTheme="minorEastAsia"/>
          <w:sz w:val="22"/>
          <w:szCs w:val="22"/>
        </w:rPr>
      </w:pPr>
      <w:r>
        <w:rPr>
          <w:rFonts w:asciiTheme="minorEastAsia" w:eastAsiaTheme="minorEastAsia" w:hAnsiTheme="minorEastAsia" w:hint="eastAsia"/>
          <w:sz w:val="22"/>
          <w:szCs w:val="22"/>
        </w:rPr>
        <w:t>Com</w:t>
      </w:r>
      <w:r>
        <w:rPr>
          <w:rFonts w:ascii="Titillium Web" w:hAnsi="Titillium Web"/>
          <w:sz w:val="22"/>
          <w:szCs w:val="22"/>
        </w:rPr>
        <w:t xml:space="preserve">bination of heavy goods with small volume and </w:t>
      </w:r>
      <w:r>
        <w:rPr>
          <w:rFonts w:asciiTheme="minorEastAsia" w:eastAsiaTheme="minorEastAsia" w:hAnsiTheme="minorEastAsia"/>
          <w:sz w:val="22"/>
          <w:szCs w:val="22"/>
        </w:rPr>
        <w:t xml:space="preserve">light goods with low weight and large volume. </w:t>
      </w:r>
      <w:r>
        <w:rPr>
          <w:rFonts w:ascii="Titillium Web" w:hAnsi="Titillium Web"/>
          <w:sz w:val="22"/>
          <w:szCs w:val="22"/>
        </w:rPr>
        <w:t>O</w:t>
      </w:r>
      <w:r w:rsidRPr="00A25B9F">
        <w:rPr>
          <w:rFonts w:ascii="Titillium Web" w:hAnsi="Titillium Web"/>
          <w:sz w:val="22"/>
          <w:szCs w:val="22"/>
        </w:rPr>
        <w:t xml:space="preserve">ptimize the use of space, resources, or time, ultimately achieving a high </w:t>
      </w:r>
      <w:r>
        <w:rPr>
          <w:rFonts w:ascii="Titillium Web" w:hAnsi="Titillium Web"/>
          <w:sz w:val="22"/>
          <w:szCs w:val="22"/>
        </w:rPr>
        <w:t>degree</w:t>
      </w:r>
      <w:r w:rsidRPr="00A25B9F">
        <w:rPr>
          <w:rFonts w:ascii="Titillium Web" w:hAnsi="Titillium Web"/>
          <w:sz w:val="22"/>
          <w:szCs w:val="22"/>
        </w:rPr>
        <w:t xml:space="preserve"> of filling or utilization.</w:t>
      </w:r>
    </w:p>
    <w:p w14:paraId="1E1B653E" w14:textId="77777777" w:rsidR="001F2E12" w:rsidRPr="001F2E12" w:rsidRDefault="001F2E12" w:rsidP="00E25B3C">
      <w:pPr>
        <w:pStyle w:val="NormalWeb"/>
        <w:shd w:val="clear" w:color="auto" w:fill="FFFFFF"/>
        <w:spacing w:before="0" w:beforeAutospacing="0" w:after="0" w:afterAutospacing="0"/>
        <w:rPr>
          <w:rFonts w:ascii="Titillium Web" w:hAnsi="Titillium Web"/>
          <w:color w:val="333333"/>
          <w:sz w:val="22"/>
          <w:szCs w:val="22"/>
        </w:rPr>
      </w:pPr>
    </w:p>
    <w:p w14:paraId="4049E41B" w14:textId="13C42236" w:rsidR="00D64209" w:rsidRDefault="00D64209" w:rsidP="00D64209">
      <w:pPr>
        <w:pStyle w:val="NormalWeb"/>
        <w:numPr>
          <w:ilvl w:val="0"/>
          <w:numId w:val="1"/>
        </w:numPr>
        <w:shd w:val="clear" w:color="auto" w:fill="FFFFFF"/>
        <w:spacing w:before="0" w:beforeAutospacing="0" w:after="0" w:afterAutospacing="0"/>
        <w:rPr>
          <w:rFonts w:ascii="Titillium Web" w:hAnsi="Titillium Web"/>
          <w:b/>
          <w:bCs/>
          <w:color w:val="333333"/>
          <w:sz w:val="22"/>
          <w:szCs w:val="22"/>
        </w:rPr>
      </w:pPr>
      <w:proofErr w:type="spellStart"/>
      <w:r w:rsidRPr="001F2E12">
        <w:rPr>
          <w:rFonts w:ascii="Titillium Web" w:hAnsi="Titillium Web"/>
          <w:b/>
          <w:bCs/>
          <w:color w:val="333333"/>
          <w:sz w:val="22"/>
          <w:szCs w:val="22"/>
        </w:rPr>
        <w:t>Beskriv</w:t>
      </w:r>
      <w:proofErr w:type="spellEnd"/>
      <w:r w:rsidRPr="001F2E12">
        <w:rPr>
          <w:rFonts w:ascii="Titillium Web" w:hAnsi="Titillium Web"/>
          <w:b/>
          <w:bCs/>
          <w:color w:val="333333"/>
          <w:sz w:val="22"/>
          <w:szCs w:val="22"/>
        </w:rPr>
        <w:t xml:space="preserve"> </w:t>
      </w:r>
      <w:proofErr w:type="spellStart"/>
      <w:r w:rsidRPr="001F2E12">
        <w:rPr>
          <w:rFonts w:ascii="Titillium Web" w:hAnsi="Titillium Web"/>
          <w:b/>
          <w:bCs/>
          <w:color w:val="333333"/>
          <w:sz w:val="22"/>
          <w:szCs w:val="22"/>
        </w:rPr>
        <w:t>fyllnadsgradens</w:t>
      </w:r>
      <w:proofErr w:type="spellEnd"/>
      <w:r w:rsidRPr="001F2E12">
        <w:rPr>
          <w:rFonts w:ascii="Titillium Web" w:hAnsi="Titillium Web"/>
          <w:b/>
          <w:bCs/>
          <w:color w:val="333333"/>
          <w:sz w:val="22"/>
          <w:szCs w:val="22"/>
        </w:rPr>
        <w:t xml:space="preserve"> </w:t>
      </w:r>
      <w:proofErr w:type="spellStart"/>
      <w:r w:rsidRPr="001F2E12">
        <w:rPr>
          <w:rFonts w:ascii="Titillium Web" w:hAnsi="Titillium Web"/>
          <w:b/>
          <w:bCs/>
          <w:color w:val="333333"/>
          <w:sz w:val="22"/>
          <w:szCs w:val="22"/>
        </w:rPr>
        <w:t>betydelse</w:t>
      </w:r>
      <w:proofErr w:type="spellEnd"/>
      <w:r w:rsidRPr="001F2E12">
        <w:rPr>
          <w:rFonts w:ascii="Titillium Web" w:hAnsi="Titillium Web"/>
          <w:b/>
          <w:bCs/>
          <w:color w:val="333333"/>
          <w:sz w:val="22"/>
          <w:szCs w:val="22"/>
        </w:rPr>
        <w:t xml:space="preserve"> för </w:t>
      </w:r>
      <w:proofErr w:type="spellStart"/>
      <w:r w:rsidRPr="001F2E12">
        <w:rPr>
          <w:rFonts w:ascii="Titillium Web" w:hAnsi="Titillium Web"/>
          <w:b/>
          <w:bCs/>
          <w:color w:val="333333"/>
          <w:sz w:val="22"/>
          <w:szCs w:val="22"/>
        </w:rPr>
        <w:t>transportören</w:t>
      </w:r>
      <w:proofErr w:type="spellEnd"/>
      <w:r w:rsidRPr="001F2E12">
        <w:rPr>
          <w:rFonts w:ascii="Titillium Web" w:hAnsi="Titillium Web"/>
          <w:b/>
          <w:bCs/>
          <w:color w:val="333333"/>
          <w:sz w:val="22"/>
          <w:szCs w:val="22"/>
        </w:rPr>
        <w:t>/</w:t>
      </w:r>
      <w:proofErr w:type="spellStart"/>
      <w:r w:rsidRPr="001F2E12">
        <w:rPr>
          <w:rFonts w:ascii="Titillium Web" w:hAnsi="Titillium Web"/>
          <w:b/>
          <w:bCs/>
          <w:color w:val="333333"/>
          <w:sz w:val="22"/>
          <w:szCs w:val="22"/>
        </w:rPr>
        <w:t>logistikföretaget</w:t>
      </w:r>
      <w:proofErr w:type="spellEnd"/>
      <w:r w:rsidRPr="001F2E12">
        <w:rPr>
          <w:rFonts w:ascii="Titillium Web" w:hAnsi="Titillium Web"/>
          <w:b/>
          <w:bCs/>
          <w:color w:val="333333"/>
          <w:sz w:val="22"/>
          <w:szCs w:val="22"/>
        </w:rPr>
        <w:t>. / Describe the significance of the degree of filling for the carrier/logistics company.</w:t>
      </w:r>
    </w:p>
    <w:p w14:paraId="557F1C7B" w14:textId="6357AB33" w:rsidR="00C4544B" w:rsidRDefault="00C4544B" w:rsidP="00C4544B">
      <w:pPr>
        <w:pStyle w:val="NormalWeb"/>
        <w:shd w:val="clear" w:color="auto" w:fill="FFFFFF"/>
        <w:tabs>
          <w:tab w:val="left" w:pos="4003"/>
        </w:tabs>
        <w:spacing w:before="0" w:beforeAutospacing="0" w:after="0" w:afterAutospacing="0"/>
        <w:ind w:left="720"/>
        <w:rPr>
          <w:rFonts w:ascii="Titillium Web" w:hAnsi="Titillium Web"/>
          <w:color w:val="333333"/>
          <w:sz w:val="22"/>
          <w:szCs w:val="22"/>
        </w:rPr>
      </w:pPr>
      <w:r w:rsidRPr="00C4544B">
        <w:rPr>
          <w:rFonts w:ascii="Titillium Web" w:hAnsi="Titillium Web"/>
          <w:color w:val="333333"/>
          <w:sz w:val="22"/>
          <w:szCs w:val="22"/>
        </w:rPr>
        <w:t xml:space="preserve">Achieving higher load factors is a fundamental aspect influencing multiple facets of the carrier and logistics industry. It significantly impacts operational efficiency, cost-effectiveness, revenue maximization, logistics planning, resource allocation, and environmental sustainability. Understanding the </w:t>
      </w:r>
      <w:r>
        <w:rPr>
          <w:rFonts w:ascii="Titillium Web" w:hAnsi="Titillium Web"/>
          <w:color w:val="333333"/>
          <w:sz w:val="22"/>
          <w:szCs w:val="22"/>
        </w:rPr>
        <w:t>details</w:t>
      </w:r>
      <w:r w:rsidRPr="00C4544B">
        <w:rPr>
          <w:rFonts w:ascii="Titillium Web" w:hAnsi="Titillium Web"/>
          <w:color w:val="333333"/>
          <w:sz w:val="22"/>
          <w:szCs w:val="22"/>
        </w:rPr>
        <w:t xml:space="preserve"> of reservations, space occupancy in cubic meters (m³), freight load metrics (FLM), or payload (PPL) is pivotal. This </w:t>
      </w:r>
      <w:r>
        <w:rPr>
          <w:rFonts w:ascii="Titillium Web" w:hAnsi="Titillium Web"/>
          <w:color w:val="333333"/>
          <w:sz w:val="22"/>
          <w:szCs w:val="22"/>
        </w:rPr>
        <w:t>includes</w:t>
      </w:r>
      <w:r w:rsidRPr="00C4544B">
        <w:rPr>
          <w:rFonts w:ascii="Titillium Web" w:hAnsi="Titillium Web"/>
          <w:color w:val="333333"/>
          <w:sz w:val="22"/>
          <w:szCs w:val="22"/>
        </w:rPr>
        <w:t xml:space="preserve"> decisions regarding which bookings to combine, loading </w:t>
      </w:r>
      <w:r>
        <w:rPr>
          <w:rFonts w:ascii="Titillium Web" w:hAnsi="Titillium Web"/>
          <w:color w:val="333333"/>
          <w:sz w:val="22"/>
          <w:szCs w:val="22"/>
        </w:rPr>
        <w:t>processes</w:t>
      </w:r>
      <w:r w:rsidRPr="00C4544B">
        <w:rPr>
          <w:rFonts w:ascii="Titillium Web" w:hAnsi="Titillium Web"/>
          <w:color w:val="333333"/>
          <w:sz w:val="22"/>
          <w:szCs w:val="22"/>
        </w:rPr>
        <w:t xml:space="preserve">, geographic routes, and unloading processes. </w:t>
      </w:r>
    </w:p>
    <w:p w14:paraId="201490C4" w14:textId="77777777" w:rsidR="00E25B3C" w:rsidRPr="00E25B3C" w:rsidRDefault="00E25B3C" w:rsidP="00C4544B">
      <w:pPr>
        <w:pStyle w:val="NormalWeb"/>
        <w:shd w:val="clear" w:color="auto" w:fill="FFFFFF"/>
        <w:spacing w:before="0" w:beforeAutospacing="0" w:after="0" w:afterAutospacing="0"/>
        <w:rPr>
          <w:rFonts w:ascii="Titillium Web" w:hAnsi="Titillium Web"/>
          <w:color w:val="333333"/>
          <w:sz w:val="22"/>
          <w:szCs w:val="22"/>
        </w:rPr>
      </w:pPr>
    </w:p>
    <w:p w14:paraId="7110BD14" w14:textId="6718ADA1" w:rsidR="00D56E00" w:rsidRPr="00D56E00" w:rsidRDefault="00D64209" w:rsidP="00D56E00">
      <w:pPr>
        <w:pStyle w:val="NormalWeb"/>
        <w:numPr>
          <w:ilvl w:val="0"/>
          <w:numId w:val="1"/>
        </w:numPr>
        <w:shd w:val="clear" w:color="auto" w:fill="FFFFFF"/>
        <w:spacing w:before="0" w:beforeAutospacing="0" w:after="0" w:afterAutospacing="0"/>
        <w:rPr>
          <w:rFonts w:ascii="Titillium Web" w:hAnsi="Titillium Web"/>
          <w:b/>
          <w:bCs/>
          <w:color w:val="333333"/>
          <w:sz w:val="22"/>
          <w:szCs w:val="22"/>
          <w:lang w:val="sv-SE"/>
        </w:rPr>
      </w:pPr>
      <w:r w:rsidRPr="00E25B3C">
        <w:rPr>
          <w:rFonts w:ascii="Titillium Web" w:hAnsi="Titillium Web"/>
          <w:b/>
          <w:bCs/>
          <w:color w:val="333333"/>
          <w:sz w:val="22"/>
          <w:szCs w:val="22"/>
          <w:lang w:val="sv-SE"/>
        </w:rPr>
        <w:t xml:space="preserve">Förklara vad fördelsberäkning innebär. / </w:t>
      </w:r>
      <w:proofErr w:type="spellStart"/>
      <w:r w:rsidRPr="00E25B3C">
        <w:rPr>
          <w:rFonts w:ascii="Titillium Web" w:hAnsi="Titillium Web"/>
          <w:b/>
          <w:bCs/>
          <w:color w:val="333333"/>
          <w:sz w:val="22"/>
          <w:szCs w:val="22"/>
          <w:lang w:val="sv-SE"/>
        </w:rPr>
        <w:t>Explain</w:t>
      </w:r>
      <w:proofErr w:type="spellEnd"/>
      <w:r w:rsidRPr="00E25B3C">
        <w:rPr>
          <w:rFonts w:ascii="Titillium Web" w:hAnsi="Titillium Web"/>
          <w:b/>
          <w:bCs/>
          <w:color w:val="333333"/>
          <w:sz w:val="22"/>
          <w:szCs w:val="22"/>
          <w:lang w:val="sv-SE"/>
        </w:rPr>
        <w:t xml:space="preserve"> </w:t>
      </w:r>
      <w:proofErr w:type="spellStart"/>
      <w:r w:rsidRPr="00E25B3C">
        <w:rPr>
          <w:rFonts w:ascii="Titillium Web" w:hAnsi="Titillium Web"/>
          <w:b/>
          <w:bCs/>
          <w:color w:val="333333"/>
          <w:sz w:val="22"/>
          <w:szCs w:val="22"/>
          <w:lang w:val="sv-SE"/>
        </w:rPr>
        <w:t>what</w:t>
      </w:r>
      <w:proofErr w:type="spellEnd"/>
      <w:r w:rsidRPr="00E25B3C">
        <w:rPr>
          <w:rFonts w:ascii="Titillium Web" w:hAnsi="Titillium Web"/>
          <w:b/>
          <w:bCs/>
          <w:color w:val="333333"/>
          <w:sz w:val="22"/>
          <w:szCs w:val="22"/>
          <w:lang w:val="sv-SE"/>
        </w:rPr>
        <w:t xml:space="preserve"> benefit </w:t>
      </w:r>
      <w:proofErr w:type="spellStart"/>
      <w:r w:rsidRPr="00E25B3C">
        <w:rPr>
          <w:rFonts w:ascii="Titillium Web" w:hAnsi="Titillium Web"/>
          <w:b/>
          <w:bCs/>
          <w:color w:val="333333"/>
          <w:sz w:val="22"/>
          <w:szCs w:val="22"/>
          <w:lang w:val="sv-SE"/>
        </w:rPr>
        <w:t>calculation</w:t>
      </w:r>
      <w:proofErr w:type="spellEnd"/>
      <w:r w:rsidRPr="00E25B3C">
        <w:rPr>
          <w:rFonts w:ascii="Titillium Web" w:hAnsi="Titillium Web"/>
          <w:b/>
          <w:bCs/>
          <w:color w:val="333333"/>
          <w:sz w:val="22"/>
          <w:szCs w:val="22"/>
          <w:lang w:val="sv-SE"/>
        </w:rPr>
        <w:t xml:space="preserve"> </w:t>
      </w:r>
      <w:proofErr w:type="spellStart"/>
      <w:r w:rsidRPr="00E25B3C">
        <w:rPr>
          <w:rFonts w:ascii="Titillium Web" w:hAnsi="Titillium Web"/>
          <w:b/>
          <w:bCs/>
          <w:color w:val="333333"/>
          <w:sz w:val="22"/>
          <w:szCs w:val="22"/>
          <w:lang w:val="sv-SE"/>
        </w:rPr>
        <w:t>means</w:t>
      </w:r>
      <w:proofErr w:type="spellEnd"/>
      <w:r w:rsidRPr="00E25B3C">
        <w:rPr>
          <w:rFonts w:ascii="Titillium Web" w:hAnsi="Titillium Web"/>
          <w:b/>
          <w:bCs/>
          <w:color w:val="333333"/>
          <w:sz w:val="22"/>
          <w:szCs w:val="22"/>
          <w:lang w:val="sv-SE"/>
        </w:rPr>
        <w:t>.</w:t>
      </w:r>
    </w:p>
    <w:p w14:paraId="7D2CE294" w14:textId="33A8E750" w:rsidR="00D56E00" w:rsidRDefault="00D56E00" w:rsidP="00E25B3C">
      <w:pPr>
        <w:pStyle w:val="NormalWeb"/>
        <w:shd w:val="clear" w:color="auto" w:fill="FFFFFF"/>
        <w:spacing w:before="0" w:beforeAutospacing="0" w:after="0" w:afterAutospacing="0"/>
        <w:ind w:left="720"/>
        <w:rPr>
          <w:rFonts w:ascii="Titillium Web" w:hAnsi="Titillium Web"/>
          <w:color w:val="333333"/>
          <w:sz w:val="22"/>
          <w:szCs w:val="22"/>
        </w:rPr>
      </w:pPr>
      <w:r w:rsidRPr="00D56E00">
        <w:rPr>
          <w:rFonts w:ascii="Titillium Web" w:hAnsi="Titillium Web"/>
          <w:color w:val="333333"/>
          <w:sz w:val="22"/>
          <w:szCs w:val="22"/>
        </w:rPr>
        <w:t>Benefit calculation involves evaluating the advantages or potential cost savings linked with increasing the weight of shipments. Companies might offer lower rates for bigger shipments due to discounts or economies of scale. This means that even though the total cost rises as the shipment gets heavier, the cost for each unit of weight drops, potentially saving money overall. This helps businesses decide how to ship their goods smartly, balancing the advantages of lower costs per unit with the challenges of handling heavier shipments.</w:t>
      </w:r>
    </w:p>
    <w:p w14:paraId="738A7BB5" w14:textId="77777777" w:rsidR="00D56E00" w:rsidRPr="00E25B3C" w:rsidRDefault="00D56E00" w:rsidP="00E25B3C">
      <w:pPr>
        <w:pStyle w:val="NormalWeb"/>
        <w:shd w:val="clear" w:color="auto" w:fill="FFFFFF"/>
        <w:spacing w:before="0" w:beforeAutospacing="0" w:after="0" w:afterAutospacing="0"/>
        <w:ind w:left="720"/>
        <w:rPr>
          <w:rFonts w:ascii="Titillium Web" w:hAnsi="Titillium Web"/>
          <w:color w:val="333333"/>
          <w:sz w:val="22"/>
          <w:szCs w:val="22"/>
        </w:rPr>
      </w:pPr>
    </w:p>
    <w:p w14:paraId="09722171" w14:textId="3DCEC781" w:rsidR="00495162" w:rsidRPr="00A76EE3" w:rsidRDefault="00D64209" w:rsidP="00A76EE3">
      <w:pPr>
        <w:pStyle w:val="ListParagraph"/>
        <w:numPr>
          <w:ilvl w:val="0"/>
          <w:numId w:val="1"/>
        </w:numPr>
        <w:rPr>
          <w:rFonts w:ascii="Titillium Web" w:hAnsi="Titillium Web"/>
          <w:b/>
          <w:bCs/>
        </w:rPr>
      </w:pPr>
      <w:proofErr w:type="spellStart"/>
      <w:r w:rsidRPr="00D56E00">
        <w:rPr>
          <w:rFonts w:ascii="Titillium Web" w:hAnsi="Titillium Web"/>
          <w:b/>
          <w:bCs/>
        </w:rPr>
        <w:t>Förklara</w:t>
      </w:r>
      <w:proofErr w:type="spellEnd"/>
      <w:r w:rsidRPr="00D56E00">
        <w:rPr>
          <w:rFonts w:ascii="Titillium Web" w:hAnsi="Titillium Web"/>
          <w:b/>
          <w:bCs/>
        </w:rPr>
        <w:t xml:space="preserve"> de </w:t>
      </w:r>
      <w:proofErr w:type="spellStart"/>
      <w:r w:rsidRPr="00D56E00">
        <w:rPr>
          <w:rFonts w:ascii="Titillium Web" w:hAnsi="Titillium Web"/>
          <w:b/>
          <w:bCs/>
        </w:rPr>
        <w:t>utmaningar</w:t>
      </w:r>
      <w:proofErr w:type="spellEnd"/>
      <w:r w:rsidRPr="00D56E00">
        <w:rPr>
          <w:rFonts w:ascii="Titillium Web" w:hAnsi="Titillium Web"/>
          <w:b/>
          <w:bCs/>
        </w:rPr>
        <w:t xml:space="preserve"> </w:t>
      </w:r>
      <w:proofErr w:type="spellStart"/>
      <w:r w:rsidRPr="00D56E00">
        <w:rPr>
          <w:rFonts w:ascii="Titillium Web" w:hAnsi="Titillium Web"/>
          <w:b/>
          <w:bCs/>
        </w:rPr>
        <w:t>som</w:t>
      </w:r>
      <w:proofErr w:type="spellEnd"/>
      <w:r w:rsidRPr="00D56E00">
        <w:rPr>
          <w:rFonts w:ascii="Titillium Web" w:hAnsi="Titillium Web"/>
          <w:b/>
          <w:bCs/>
        </w:rPr>
        <w:t xml:space="preserve"> </w:t>
      </w:r>
      <w:proofErr w:type="spellStart"/>
      <w:r w:rsidRPr="00D56E00">
        <w:rPr>
          <w:rFonts w:ascii="Titillium Web" w:hAnsi="Titillium Web"/>
          <w:b/>
          <w:bCs/>
        </w:rPr>
        <w:t>logistikföretaget</w:t>
      </w:r>
      <w:proofErr w:type="spellEnd"/>
      <w:r w:rsidRPr="00D56E00">
        <w:rPr>
          <w:rFonts w:ascii="Titillium Web" w:hAnsi="Titillium Web"/>
          <w:b/>
          <w:bCs/>
        </w:rPr>
        <w:t xml:space="preserve"> </w:t>
      </w:r>
      <w:proofErr w:type="spellStart"/>
      <w:r w:rsidRPr="00D56E00">
        <w:rPr>
          <w:rFonts w:ascii="Titillium Web" w:hAnsi="Titillium Web"/>
          <w:b/>
          <w:bCs/>
        </w:rPr>
        <w:t>har</w:t>
      </w:r>
      <w:proofErr w:type="spellEnd"/>
      <w:r w:rsidRPr="00D56E00">
        <w:rPr>
          <w:rFonts w:ascii="Titillium Web" w:hAnsi="Titillium Web"/>
          <w:b/>
          <w:bCs/>
        </w:rPr>
        <w:t xml:space="preserve"> med </w:t>
      </w:r>
      <w:proofErr w:type="spellStart"/>
      <w:r w:rsidRPr="00D56E00">
        <w:rPr>
          <w:rFonts w:ascii="Titillium Web" w:hAnsi="Titillium Web"/>
          <w:b/>
          <w:bCs/>
        </w:rPr>
        <w:t>prissätta</w:t>
      </w:r>
      <w:proofErr w:type="spellEnd"/>
      <w:r w:rsidRPr="00D56E00">
        <w:rPr>
          <w:rFonts w:ascii="Titillium Web" w:hAnsi="Titillium Web"/>
          <w:b/>
          <w:bCs/>
        </w:rPr>
        <w:t>/</w:t>
      </w:r>
      <w:proofErr w:type="spellStart"/>
      <w:r w:rsidRPr="00D56E00">
        <w:rPr>
          <w:rFonts w:ascii="Titillium Web" w:hAnsi="Titillium Web"/>
          <w:b/>
          <w:bCs/>
        </w:rPr>
        <w:t>skapa</w:t>
      </w:r>
      <w:proofErr w:type="spellEnd"/>
      <w:r w:rsidRPr="00D56E00">
        <w:rPr>
          <w:rFonts w:ascii="Titillium Web" w:hAnsi="Titillium Web"/>
          <w:b/>
          <w:bCs/>
        </w:rPr>
        <w:t xml:space="preserve"> </w:t>
      </w:r>
      <w:proofErr w:type="spellStart"/>
      <w:r w:rsidRPr="00D56E00">
        <w:rPr>
          <w:rFonts w:ascii="Titillium Web" w:hAnsi="Titillium Web"/>
          <w:b/>
          <w:bCs/>
        </w:rPr>
        <w:t>prisavtal</w:t>
      </w:r>
      <w:proofErr w:type="spellEnd"/>
      <w:r w:rsidRPr="00D56E00">
        <w:rPr>
          <w:rFonts w:ascii="Titillium Web" w:hAnsi="Titillium Web"/>
          <w:b/>
          <w:bCs/>
        </w:rPr>
        <w:t xml:space="preserve"> för </w:t>
      </w:r>
      <w:proofErr w:type="spellStart"/>
      <w:r w:rsidRPr="00D56E00">
        <w:rPr>
          <w:rFonts w:ascii="Titillium Web" w:hAnsi="Titillium Web"/>
          <w:b/>
          <w:bCs/>
        </w:rPr>
        <w:t>utrikestransporter</w:t>
      </w:r>
      <w:proofErr w:type="spellEnd"/>
      <w:r w:rsidRPr="00D56E00">
        <w:rPr>
          <w:rFonts w:ascii="Titillium Web" w:hAnsi="Titillium Web"/>
          <w:b/>
          <w:bCs/>
        </w:rPr>
        <w:t xml:space="preserve"> till </w:t>
      </w:r>
      <w:proofErr w:type="spellStart"/>
      <w:r w:rsidRPr="00D56E00">
        <w:rPr>
          <w:rFonts w:ascii="Titillium Web" w:hAnsi="Titillium Web"/>
          <w:b/>
          <w:bCs/>
        </w:rPr>
        <w:t>varuägaren</w:t>
      </w:r>
      <w:proofErr w:type="spellEnd"/>
      <w:r w:rsidRPr="00D56E00">
        <w:rPr>
          <w:rFonts w:ascii="Titillium Web" w:hAnsi="Titillium Web"/>
          <w:b/>
          <w:bCs/>
        </w:rPr>
        <w:t>. / Explain the challenges the logistics company has with pricing/creating price agreements for international transport to the goods owner.</w:t>
      </w:r>
    </w:p>
    <w:p w14:paraId="1562ABDD" w14:textId="5220E0B2" w:rsidR="00A76EE3" w:rsidRDefault="00E25B3C" w:rsidP="00A76EE3">
      <w:pPr>
        <w:pStyle w:val="ListParagraph"/>
        <w:rPr>
          <w:rFonts w:ascii="Titillium Web" w:hAnsi="Titillium Web"/>
        </w:rPr>
      </w:pPr>
      <w:r w:rsidRPr="00E25B3C">
        <w:rPr>
          <w:rFonts w:ascii="Titillium Web" w:hAnsi="Titillium Web"/>
        </w:rPr>
        <w:t xml:space="preserve">Logistics companies </w:t>
      </w:r>
      <w:r w:rsidR="00A06E7A">
        <w:rPr>
          <w:rFonts w:ascii="Titillium Web" w:hAnsi="Titillium Web"/>
        </w:rPr>
        <w:t>encounter</w:t>
      </w:r>
      <w:r w:rsidRPr="00E25B3C">
        <w:rPr>
          <w:rFonts w:ascii="Titillium Web" w:hAnsi="Titillium Web"/>
        </w:rPr>
        <w:t xml:space="preserve"> </w:t>
      </w:r>
      <w:r w:rsidR="00A06E7A">
        <w:rPr>
          <w:rFonts w:ascii="Titillium Web" w:hAnsi="Titillium Web"/>
        </w:rPr>
        <w:t xml:space="preserve">numerous </w:t>
      </w:r>
      <w:r w:rsidRPr="00E25B3C">
        <w:rPr>
          <w:rFonts w:ascii="Titillium Web" w:hAnsi="Titillium Web"/>
        </w:rPr>
        <w:t xml:space="preserve">challenges when establishing pricing and crafting price agreements for international transport services provided to goods owners. </w:t>
      </w:r>
      <w:r w:rsidR="00A76EE3" w:rsidRPr="00A76EE3">
        <w:rPr>
          <w:rFonts w:ascii="Titillium Web" w:hAnsi="Titillium Web"/>
        </w:rPr>
        <w:t xml:space="preserve">Firstly, there's the pickup cost, which relates to domestic price lists for collecting goods. Then comes terminal management costs, covering expenses at the point of departure, such as freight terminal charges. The line-haul cost represents expenses incurred between terminals from the departure point to the arrival destination. Additionally, collaborative costs, encompassing terminal management and distribution expenses with partners or collaborators, contribute to the overall pricing structure. Finally, the margin, indicating the profit margin for the logistics company, is an essential consideration. Challenges arise in accurately estimating these costs due to fluctuating fuel prices, varying terminal charges across different locations, negotiating fair collaborative costs, and determining an appropriate margin that ensures profitability while remaining competitive. Crafting a price agreement that aligns with these factors, while </w:t>
      </w:r>
      <w:r w:rsidR="00A76EE3" w:rsidRPr="00A76EE3">
        <w:rPr>
          <w:rFonts w:ascii="Titillium Web" w:hAnsi="Titillium Web"/>
        </w:rPr>
        <w:lastRenderedPageBreak/>
        <w:t>ensuring transparency and profitability, poses a significant challenge for logistics companies operating in the realm of international transport.</w:t>
      </w:r>
    </w:p>
    <w:p w14:paraId="1F508DFB" w14:textId="77777777" w:rsidR="00A76EE3" w:rsidRDefault="00A76EE3" w:rsidP="00A76EE3">
      <w:pPr>
        <w:pStyle w:val="ListParagraph"/>
        <w:rPr>
          <w:rFonts w:ascii="Titillium Web" w:hAnsi="Titillium Web"/>
        </w:rPr>
      </w:pPr>
    </w:p>
    <w:p w14:paraId="376555E4" w14:textId="44189095" w:rsidR="00A76EE3" w:rsidRPr="00A76EE3" w:rsidRDefault="00A76EE3" w:rsidP="00A76EE3">
      <w:pPr>
        <w:pStyle w:val="ListParagraph"/>
        <w:rPr>
          <w:rFonts w:ascii="Titillium Web" w:hAnsi="Titillium Web"/>
        </w:rPr>
      </w:pPr>
      <w:r w:rsidRPr="00A76EE3">
        <w:rPr>
          <w:rFonts w:ascii="Titillium Web" w:hAnsi="Titillium Web"/>
        </w:rPr>
        <w:t>Logistics companies encounter several hurdles when setting prices for international transport with goods owners. Creating these agreements involves considering different costs: picking up goods domestically, managing terminals at the departure point, the expense of moving goods between terminals, collaborative costs with partners for terminal management and distribution, and finally, the profit margin. Estimating these costs accurately is tricky due to fluctuating fuel prices, varying terminal charges, negotiating fair collaborative expenses, and determining a reasonable profit margin while staying competitive. Formulating a pricing agreement that considers all these factors and ensures both profitability and fairness is a major challenge for logistics companies handling international transport.</w:t>
      </w:r>
    </w:p>
    <w:p w14:paraId="05E74936" w14:textId="77777777" w:rsidR="00E25B3C" w:rsidRPr="00E25B3C" w:rsidRDefault="00E25B3C" w:rsidP="00E25B3C">
      <w:pPr>
        <w:pStyle w:val="ListParagraph"/>
        <w:rPr>
          <w:rFonts w:ascii="Titillium Web" w:hAnsi="Titillium Web"/>
        </w:rPr>
      </w:pPr>
    </w:p>
    <w:p w14:paraId="2411914F" w14:textId="1D43CB01" w:rsidR="00D64209" w:rsidRDefault="00D64209" w:rsidP="003E505D">
      <w:pPr>
        <w:pStyle w:val="ListParagraph"/>
        <w:numPr>
          <w:ilvl w:val="0"/>
          <w:numId w:val="1"/>
        </w:numPr>
        <w:rPr>
          <w:rFonts w:ascii="Titillium Web" w:hAnsi="Titillium Web"/>
          <w:b/>
          <w:bCs/>
        </w:rPr>
      </w:pPr>
      <w:r w:rsidRPr="001F2E12">
        <w:rPr>
          <w:rFonts w:ascii="Titillium Web" w:hAnsi="Titillium Web"/>
          <w:b/>
          <w:bCs/>
          <w:lang w:val="sv-SE"/>
        </w:rPr>
        <w:t xml:space="preserve">Förklara varuägarens </w:t>
      </w:r>
      <w:proofErr w:type="spellStart"/>
      <w:r w:rsidRPr="001F2E12">
        <w:rPr>
          <w:rFonts w:ascii="Titillium Web" w:hAnsi="Titillium Web"/>
          <w:b/>
          <w:bCs/>
          <w:lang w:val="sv-SE"/>
        </w:rPr>
        <w:t>prisavtal</w:t>
      </w:r>
      <w:proofErr w:type="spellEnd"/>
      <w:r w:rsidRPr="001F2E12">
        <w:rPr>
          <w:rFonts w:ascii="Titillium Web" w:hAnsi="Titillium Web"/>
          <w:b/>
          <w:bCs/>
          <w:lang w:val="sv-SE"/>
        </w:rPr>
        <w:t xml:space="preserve"> för sjötransporter FCL. Beskriv prissättningen och vad de olika delarna i prissättningen innebär. / </w:t>
      </w:r>
      <w:proofErr w:type="spellStart"/>
      <w:r w:rsidRPr="001F2E12">
        <w:rPr>
          <w:rFonts w:ascii="Titillium Web" w:hAnsi="Titillium Web"/>
          <w:b/>
          <w:bCs/>
          <w:lang w:val="sv-SE"/>
        </w:rPr>
        <w:t>Explain</w:t>
      </w:r>
      <w:proofErr w:type="spellEnd"/>
      <w:r w:rsidRPr="001F2E12">
        <w:rPr>
          <w:rFonts w:ascii="Titillium Web" w:hAnsi="Titillium Web"/>
          <w:b/>
          <w:bCs/>
          <w:lang w:val="sv-SE"/>
        </w:rPr>
        <w:t xml:space="preserve"> the </w:t>
      </w:r>
      <w:proofErr w:type="spellStart"/>
      <w:r w:rsidRPr="001F2E12">
        <w:rPr>
          <w:rFonts w:ascii="Titillium Web" w:hAnsi="Titillium Web"/>
          <w:b/>
          <w:bCs/>
          <w:lang w:val="sv-SE"/>
        </w:rPr>
        <w:t>goods</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owner's</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price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agreement</w:t>
      </w:r>
      <w:proofErr w:type="spellEnd"/>
      <w:r w:rsidRPr="001F2E12">
        <w:rPr>
          <w:rFonts w:ascii="Titillium Web" w:hAnsi="Titillium Web"/>
          <w:b/>
          <w:bCs/>
          <w:lang w:val="sv-SE"/>
        </w:rPr>
        <w:t xml:space="preserve"> for </w:t>
      </w:r>
      <w:proofErr w:type="spellStart"/>
      <w:r w:rsidRPr="001F2E12">
        <w:rPr>
          <w:rFonts w:ascii="Titillium Web" w:hAnsi="Titillium Web"/>
          <w:b/>
          <w:bCs/>
          <w:lang w:val="sv-SE"/>
        </w:rPr>
        <w:t>sea</w:t>
      </w:r>
      <w:proofErr w:type="spellEnd"/>
      <w:r w:rsidRPr="001F2E12">
        <w:rPr>
          <w:rFonts w:ascii="Titillium Web" w:hAnsi="Titillium Web"/>
          <w:b/>
          <w:bCs/>
          <w:lang w:val="sv-SE"/>
        </w:rPr>
        <w:t xml:space="preserve"> transport FCL. </w:t>
      </w:r>
      <w:r w:rsidRPr="001F2E12">
        <w:rPr>
          <w:rFonts w:ascii="Titillium Web" w:hAnsi="Titillium Web"/>
          <w:b/>
          <w:bCs/>
        </w:rPr>
        <w:t>Describe the pricing and what the different parts of the pricing mean.</w:t>
      </w:r>
    </w:p>
    <w:p w14:paraId="1C84FE44" w14:textId="0A7E5E42" w:rsidR="00495162" w:rsidRDefault="007B3822" w:rsidP="00495162">
      <w:pPr>
        <w:pStyle w:val="ListParagraph"/>
        <w:rPr>
          <w:rFonts w:ascii="Titillium Web" w:hAnsi="Titillium Web"/>
        </w:rPr>
      </w:pPr>
      <w:r w:rsidRPr="007B3822">
        <w:rPr>
          <w:rFonts w:ascii="Titillium Web" w:hAnsi="Titillium Web"/>
        </w:rPr>
        <w:t xml:space="preserve">The goods owner's price agreement for sea transport FCL (Full Container Load) encompasses various elements that compose the overall pricing structure. These elements include the terms of delivery, local costs (such as pickup charges), port expenses, sea freight charges, delivery fees, customs costs, and additional fees. Terms of delivery outline the responsibilities and obligations between the buyer and seller concerning delivery and transfer of goods. Local costs typically refer to charges related to collecting goods from the </w:t>
      </w:r>
      <w:proofErr w:type="gramStart"/>
      <w:r w:rsidRPr="007B3822">
        <w:rPr>
          <w:rFonts w:ascii="Titillium Web" w:hAnsi="Titillium Web"/>
        </w:rPr>
        <w:t>origin</w:t>
      </w:r>
      <w:proofErr w:type="gramEnd"/>
      <w:r w:rsidRPr="007B3822">
        <w:rPr>
          <w:rFonts w:ascii="Titillium Web" w:hAnsi="Titillium Web"/>
        </w:rPr>
        <w:t xml:space="preserve"> location. Port costs cover expenses associated with handling goods at ports. Sea freight constitutes the core cost of transporting goods via sea. Delivery fees are costs related to delivering goods to their </w:t>
      </w:r>
      <w:proofErr w:type="gramStart"/>
      <w:r w:rsidRPr="007B3822">
        <w:rPr>
          <w:rFonts w:ascii="Titillium Web" w:hAnsi="Titillium Web"/>
        </w:rPr>
        <w:t>final destination</w:t>
      </w:r>
      <w:proofErr w:type="gramEnd"/>
      <w:r w:rsidRPr="007B3822">
        <w:rPr>
          <w:rFonts w:ascii="Titillium Web" w:hAnsi="Titillium Web"/>
        </w:rPr>
        <w:t xml:space="preserve">. Customs costs involve expenses incurred for customs clearance procedures. </w:t>
      </w:r>
      <w:r w:rsidR="00252437">
        <w:rPr>
          <w:rFonts w:ascii="Titillium Web" w:hAnsi="Titillium Web"/>
        </w:rPr>
        <w:t>A</w:t>
      </w:r>
      <w:r w:rsidRPr="007B3822">
        <w:rPr>
          <w:rFonts w:ascii="Titillium Web" w:hAnsi="Titillium Web"/>
        </w:rPr>
        <w:t>dditional fees encompass any supplementary charges or fees associated with the shipping process. Understanding these pricing components is crucial for the goods owner to comprehend the breakdown of costs involved in sea transport FCL and negotiate a comprehensive and transparent pricing agreement.</w:t>
      </w:r>
    </w:p>
    <w:p w14:paraId="3C8BE4B2" w14:textId="77777777" w:rsidR="007B3822" w:rsidRPr="007B3822" w:rsidRDefault="007B3822" w:rsidP="00495162">
      <w:pPr>
        <w:pStyle w:val="ListParagraph"/>
        <w:rPr>
          <w:rFonts w:ascii="Titillium Web" w:hAnsi="Titillium Web"/>
        </w:rPr>
      </w:pPr>
    </w:p>
    <w:p w14:paraId="567CFB5E" w14:textId="14BE049D" w:rsidR="00D64209" w:rsidRDefault="00D64209" w:rsidP="003E505D">
      <w:pPr>
        <w:pStyle w:val="ListParagraph"/>
        <w:numPr>
          <w:ilvl w:val="0"/>
          <w:numId w:val="1"/>
        </w:numPr>
        <w:rPr>
          <w:rFonts w:ascii="Titillium Web" w:hAnsi="Titillium Web"/>
          <w:b/>
          <w:bCs/>
          <w:lang w:val="sv-SE"/>
        </w:rPr>
      </w:pPr>
      <w:r w:rsidRPr="001F2E12">
        <w:rPr>
          <w:rFonts w:ascii="Titillium Web" w:hAnsi="Titillium Web"/>
          <w:b/>
          <w:bCs/>
          <w:lang w:val="sv-SE"/>
        </w:rPr>
        <w:t xml:space="preserve">Förklara vilka faktorer som styr flygtransportsystemen. / </w:t>
      </w:r>
      <w:proofErr w:type="spellStart"/>
      <w:r w:rsidRPr="001F2E12">
        <w:rPr>
          <w:rFonts w:ascii="Titillium Web" w:hAnsi="Titillium Web"/>
          <w:b/>
          <w:bCs/>
          <w:lang w:val="sv-SE"/>
        </w:rPr>
        <w:t>Explain</w:t>
      </w:r>
      <w:proofErr w:type="spellEnd"/>
      <w:r w:rsidRPr="001F2E12">
        <w:rPr>
          <w:rFonts w:ascii="Titillium Web" w:hAnsi="Titillium Web"/>
          <w:b/>
          <w:bCs/>
          <w:lang w:val="sv-SE"/>
        </w:rPr>
        <w:t xml:space="preserve"> the </w:t>
      </w:r>
      <w:proofErr w:type="spellStart"/>
      <w:r w:rsidRPr="001F2E12">
        <w:rPr>
          <w:rFonts w:ascii="Titillium Web" w:hAnsi="Titillium Web"/>
          <w:b/>
          <w:bCs/>
          <w:lang w:val="sv-SE"/>
        </w:rPr>
        <w:t>factors</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that</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govern</w:t>
      </w:r>
      <w:proofErr w:type="spellEnd"/>
      <w:r w:rsidRPr="001F2E12">
        <w:rPr>
          <w:rFonts w:ascii="Titillium Web" w:hAnsi="Titillium Web"/>
          <w:b/>
          <w:bCs/>
          <w:lang w:val="sv-SE"/>
        </w:rPr>
        <w:t xml:space="preserve"> air </w:t>
      </w:r>
      <w:proofErr w:type="gramStart"/>
      <w:r w:rsidRPr="001F2E12">
        <w:rPr>
          <w:rFonts w:ascii="Titillium Web" w:hAnsi="Titillium Web"/>
          <w:b/>
          <w:bCs/>
          <w:lang w:val="sv-SE"/>
        </w:rPr>
        <w:t>transport systems</w:t>
      </w:r>
      <w:proofErr w:type="gramEnd"/>
      <w:r w:rsidRPr="001F2E12">
        <w:rPr>
          <w:rFonts w:ascii="Titillium Web" w:hAnsi="Titillium Web"/>
          <w:b/>
          <w:bCs/>
          <w:lang w:val="sv-SE"/>
        </w:rPr>
        <w:t>.</w:t>
      </w:r>
    </w:p>
    <w:p w14:paraId="6D9971F0" w14:textId="64C60BDA" w:rsidR="00317C30" w:rsidRDefault="00252437" w:rsidP="00495162">
      <w:pPr>
        <w:pStyle w:val="ListParagraph"/>
        <w:rPr>
          <w:rFonts w:ascii="Titillium Web" w:hAnsi="Titillium Web"/>
        </w:rPr>
      </w:pPr>
      <w:r w:rsidRPr="00252437">
        <w:rPr>
          <w:rFonts w:ascii="Titillium Web" w:hAnsi="Titillium Web"/>
        </w:rPr>
        <w:t xml:space="preserve">Air transport systems are governed by various factors involving multiple parties throughout the transportation process. These parties include the sender, responsible for initiating the shipment. Followed by booking and planning to organize the logistics. The dispatch area </w:t>
      </w:r>
      <w:r w:rsidRPr="00252437">
        <w:rPr>
          <w:rFonts w:ascii="Titillium Web" w:hAnsi="Titillium Web"/>
        </w:rPr>
        <w:lastRenderedPageBreak/>
        <w:t>involves remote riders and local transport drivers who manage the initial stages of transportation. Freight terminals play a crucial role at various points, facilitating the handling and storage of goods. Long-distance transport involves hauling and collaboration with freight terminals, often with collaboration partners or in the company's own direction. Upon arrival, several parties come into play, such as agents, the company's own office, freight terminals, and distribution entities. In total, approximately 10 to 12 parties are involved in the intricate web of air transport, each contributing to different stages of the process. Understanding these multiple entities and their roles is fundamental in orchestrating an efficient and seamless air transport system.</w:t>
      </w:r>
    </w:p>
    <w:p w14:paraId="475D7A28" w14:textId="77777777" w:rsidR="00252437" w:rsidRPr="00317C30" w:rsidRDefault="00252437" w:rsidP="00495162">
      <w:pPr>
        <w:pStyle w:val="ListParagraph"/>
        <w:rPr>
          <w:rFonts w:ascii="Titillium Web" w:hAnsi="Titillium Web"/>
        </w:rPr>
      </w:pPr>
    </w:p>
    <w:p w14:paraId="078356C0" w14:textId="1BFB5254" w:rsidR="00495162" w:rsidRDefault="001F2E12" w:rsidP="00495162">
      <w:pPr>
        <w:pStyle w:val="ListParagraph"/>
        <w:numPr>
          <w:ilvl w:val="0"/>
          <w:numId w:val="1"/>
        </w:numPr>
        <w:rPr>
          <w:rFonts w:ascii="Titillium Web" w:hAnsi="Titillium Web"/>
          <w:b/>
          <w:bCs/>
          <w:lang w:val="sv-SE"/>
        </w:rPr>
      </w:pPr>
      <w:r w:rsidRPr="001F2E12">
        <w:rPr>
          <w:rFonts w:ascii="Titillium Web" w:hAnsi="Titillium Web"/>
          <w:b/>
          <w:bCs/>
          <w:lang w:val="sv-SE"/>
        </w:rPr>
        <w:t xml:space="preserve">Beskriv dessa faktorer ur ett hållbarhetsperspektiv. / </w:t>
      </w:r>
      <w:proofErr w:type="spellStart"/>
      <w:r w:rsidRPr="001F2E12">
        <w:rPr>
          <w:rFonts w:ascii="Titillium Web" w:hAnsi="Titillium Web"/>
          <w:b/>
          <w:bCs/>
          <w:lang w:val="sv-SE"/>
        </w:rPr>
        <w:t>Describe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these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factors</w:t>
      </w:r>
      <w:proofErr w:type="spellEnd"/>
      <w:r w:rsidRPr="001F2E12">
        <w:rPr>
          <w:rFonts w:ascii="Titillium Web" w:hAnsi="Titillium Web"/>
          <w:b/>
          <w:bCs/>
          <w:lang w:val="sv-SE"/>
        </w:rPr>
        <w:t xml:space="preserve"> from a </w:t>
      </w:r>
      <w:proofErr w:type="spellStart"/>
      <w:r w:rsidRPr="001F2E12">
        <w:rPr>
          <w:rFonts w:ascii="Titillium Web" w:hAnsi="Titillium Web"/>
          <w:b/>
          <w:bCs/>
          <w:lang w:val="sv-SE"/>
        </w:rPr>
        <w:t>sustainability</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perspective</w:t>
      </w:r>
      <w:proofErr w:type="spellEnd"/>
      <w:r w:rsidRPr="001F2E12">
        <w:rPr>
          <w:rFonts w:ascii="Titillium Web" w:hAnsi="Titillium Web"/>
          <w:b/>
          <w:bCs/>
          <w:lang w:val="sv-SE"/>
        </w:rPr>
        <w:t>.</w:t>
      </w:r>
    </w:p>
    <w:p w14:paraId="67FB9316" w14:textId="2F9BD0C6" w:rsidR="00495162" w:rsidRDefault="00252437" w:rsidP="00495162">
      <w:pPr>
        <w:pStyle w:val="ListParagraph"/>
        <w:rPr>
          <w:rFonts w:ascii="Titillium Web" w:hAnsi="Titillium Web"/>
        </w:rPr>
      </w:pPr>
      <w:r w:rsidRPr="00252437">
        <w:rPr>
          <w:rFonts w:ascii="Titillium Web" w:hAnsi="Titillium Web"/>
        </w:rPr>
        <w:t xml:space="preserve">From a sustainability perspective, various factors influencing air transport systems must be considered for </w:t>
      </w:r>
      <w:r w:rsidR="00197FFB">
        <w:rPr>
          <w:rFonts w:ascii="Titillium Web" w:hAnsi="Titillium Web"/>
        </w:rPr>
        <w:t>environmentally responsible</w:t>
      </w:r>
      <w:r w:rsidRPr="00252437">
        <w:rPr>
          <w:rFonts w:ascii="Titillium Web" w:hAnsi="Titillium Web"/>
        </w:rPr>
        <w:t xml:space="preserve"> logistics. Initiating with the </w:t>
      </w:r>
      <w:r w:rsidR="00197FFB">
        <w:rPr>
          <w:rFonts w:ascii="Titillium Web" w:hAnsi="Titillium Web"/>
        </w:rPr>
        <w:t>s</w:t>
      </w:r>
      <w:r w:rsidRPr="00252437">
        <w:rPr>
          <w:rFonts w:ascii="Titillium Web" w:hAnsi="Titillium Web"/>
        </w:rPr>
        <w:t xml:space="preserve">ender, sustainability entails promoting responsible packaging practices and choosing eco-friendly materials to minimize environmental impact. In </w:t>
      </w:r>
      <w:r w:rsidR="00197FFB">
        <w:rPr>
          <w:rFonts w:ascii="Titillium Web" w:hAnsi="Titillium Web"/>
        </w:rPr>
        <w:t>b</w:t>
      </w:r>
      <w:r w:rsidRPr="00252437">
        <w:rPr>
          <w:rFonts w:ascii="Titillium Web" w:hAnsi="Titillium Web"/>
        </w:rPr>
        <w:t xml:space="preserve">ooking and </w:t>
      </w:r>
      <w:r w:rsidR="00197FFB">
        <w:rPr>
          <w:rFonts w:ascii="Titillium Web" w:hAnsi="Titillium Web"/>
        </w:rPr>
        <w:t>p</w:t>
      </w:r>
      <w:r w:rsidRPr="00252437">
        <w:rPr>
          <w:rFonts w:ascii="Titillium Web" w:hAnsi="Titillium Web"/>
        </w:rPr>
        <w:t xml:space="preserve">lanning, optimizing flight routes and consolidating shipments aid in reducing carbon emissions. The </w:t>
      </w:r>
      <w:r w:rsidR="00197FFB">
        <w:rPr>
          <w:rFonts w:ascii="Titillium Web" w:hAnsi="Titillium Web"/>
        </w:rPr>
        <w:t>d</w:t>
      </w:r>
      <w:r w:rsidRPr="00252437">
        <w:rPr>
          <w:rFonts w:ascii="Titillium Web" w:hAnsi="Titillium Web"/>
        </w:rPr>
        <w:t>ispatch area can focus on employing energy-efficient vehicles or adopting alternative fuel options for local transport, curbing air pollution. Freight terminals should prioritize eco-friendly infrastructure and energy-efficient operations to lower their carbon footprint. Collaborations with partners can emphasize joint efforts towards sustainable practices, such as shared resources to minimize redundant transport. At Arrival, emphasis on efficient distribution, including last-mile delivery solutions, contributes to reducing overall emissions. Overall, a sustainability-driven approach involves each of the 10-12 parties within air transport systems adopting environmentally responsible practices, striving to minimize their environmental footprint throughout the entire logistics chain.</w:t>
      </w:r>
    </w:p>
    <w:p w14:paraId="67477BA8" w14:textId="77777777" w:rsidR="00252437" w:rsidRPr="00252437" w:rsidRDefault="00252437" w:rsidP="00495162">
      <w:pPr>
        <w:pStyle w:val="ListParagraph"/>
        <w:rPr>
          <w:rFonts w:ascii="Titillium Web" w:hAnsi="Titillium Web"/>
        </w:rPr>
      </w:pPr>
    </w:p>
    <w:p w14:paraId="6C34EA5C" w14:textId="52F07F9C" w:rsidR="001F2E12" w:rsidRDefault="001F2E12" w:rsidP="003E505D">
      <w:pPr>
        <w:pStyle w:val="ListParagraph"/>
        <w:numPr>
          <w:ilvl w:val="0"/>
          <w:numId w:val="1"/>
        </w:numPr>
        <w:rPr>
          <w:rFonts w:ascii="Titillium Web" w:hAnsi="Titillium Web"/>
          <w:b/>
          <w:bCs/>
        </w:rPr>
      </w:pPr>
      <w:r w:rsidRPr="001F2E12">
        <w:rPr>
          <w:rFonts w:ascii="Titillium Web" w:hAnsi="Titillium Web"/>
          <w:b/>
          <w:bCs/>
          <w:lang w:val="sv-SE"/>
        </w:rPr>
        <w:t xml:space="preserve">Förklara varuägarens </w:t>
      </w:r>
      <w:proofErr w:type="spellStart"/>
      <w:r w:rsidRPr="001F2E12">
        <w:rPr>
          <w:rFonts w:ascii="Titillium Web" w:hAnsi="Titillium Web"/>
          <w:b/>
          <w:bCs/>
          <w:lang w:val="sv-SE"/>
        </w:rPr>
        <w:t>prisavtal</w:t>
      </w:r>
      <w:proofErr w:type="spellEnd"/>
      <w:r w:rsidRPr="001F2E12">
        <w:rPr>
          <w:rFonts w:ascii="Titillium Web" w:hAnsi="Titillium Web"/>
          <w:b/>
          <w:bCs/>
          <w:lang w:val="sv-SE"/>
        </w:rPr>
        <w:t xml:space="preserve"> för flygtransporter. Beskriv prissättningen och vad de olika delarna i prissättningen innebär. / </w:t>
      </w:r>
      <w:proofErr w:type="spellStart"/>
      <w:r w:rsidRPr="001F2E12">
        <w:rPr>
          <w:rFonts w:ascii="Titillium Web" w:hAnsi="Titillium Web"/>
          <w:b/>
          <w:bCs/>
          <w:lang w:val="sv-SE"/>
        </w:rPr>
        <w:t>Explain</w:t>
      </w:r>
      <w:proofErr w:type="spellEnd"/>
      <w:r w:rsidRPr="001F2E12">
        <w:rPr>
          <w:rFonts w:ascii="Titillium Web" w:hAnsi="Titillium Web"/>
          <w:b/>
          <w:bCs/>
          <w:lang w:val="sv-SE"/>
        </w:rPr>
        <w:t xml:space="preserve"> the </w:t>
      </w:r>
      <w:proofErr w:type="spellStart"/>
      <w:r w:rsidRPr="001F2E12">
        <w:rPr>
          <w:rFonts w:ascii="Titillium Web" w:hAnsi="Titillium Web"/>
          <w:b/>
          <w:bCs/>
          <w:lang w:val="sv-SE"/>
        </w:rPr>
        <w:t>goods</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owner's</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price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agreement</w:t>
      </w:r>
      <w:proofErr w:type="spellEnd"/>
      <w:r w:rsidRPr="001F2E12">
        <w:rPr>
          <w:rFonts w:ascii="Titillium Web" w:hAnsi="Titillium Web"/>
          <w:b/>
          <w:bCs/>
          <w:lang w:val="sv-SE"/>
        </w:rPr>
        <w:t xml:space="preserve"> for air transport. </w:t>
      </w:r>
      <w:r w:rsidRPr="001F2E12">
        <w:rPr>
          <w:rFonts w:ascii="Titillium Web" w:hAnsi="Titillium Web"/>
          <w:b/>
          <w:bCs/>
        </w:rPr>
        <w:t>Describe the pricing and what the different parts of the pricing mean.</w:t>
      </w:r>
    </w:p>
    <w:p w14:paraId="49FF0F9C" w14:textId="59226C9B" w:rsidR="00495162" w:rsidRDefault="00723737" w:rsidP="00495162">
      <w:pPr>
        <w:pStyle w:val="ListParagraph"/>
        <w:rPr>
          <w:rFonts w:ascii="Titillium Web" w:hAnsi="Titillium Web"/>
        </w:rPr>
      </w:pPr>
      <w:r w:rsidRPr="00723737">
        <w:rPr>
          <w:rFonts w:ascii="Titillium Web" w:hAnsi="Titillium Web"/>
        </w:rPr>
        <w:t>The goods owner's price agreement for air transport involves several components that contribute to the overall pricing structure.</w:t>
      </w:r>
      <w:r>
        <w:rPr>
          <w:rFonts w:ascii="Titillium Web" w:hAnsi="Titillium Web"/>
        </w:rPr>
        <w:t xml:space="preserve"> </w:t>
      </w:r>
      <w:r w:rsidRPr="00723737">
        <w:rPr>
          <w:rFonts w:ascii="Titillium Web" w:hAnsi="Titillium Web"/>
        </w:rPr>
        <w:t xml:space="preserve">These elements include </w:t>
      </w:r>
      <w:r>
        <w:rPr>
          <w:rFonts w:ascii="Titillium Web" w:hAnsi="Titillium Web"/>
        </w:rPr>
        <w:t>p</w:t>
      </w:r>
      <w:r w:rsidRPr="00723737">
        <w:rPr>
          <w:rFonts w:ascii="Titillium Web" w:hAnsi="Titillium Web"/>
        </w:rPr>
        <w:t xml:space="preserve">ickup and </w:t>
      </w:r>
      <w:r>
        <w:rPr>
          <w:rFonts w:ascii="Titillium Web" w:hAnsi="Titillium Web"/>
        </w:rPr>
        <w:t>d</w:t>
      </w:r>
      <w:r w:rsidRPr="00723737">
        <w:rPr>
          <w:rFonts w:ascii="Titillium Web" w:hAnsi="Titillium Web"/>
        </w:rPr>
        <w:t xml:space="preserve">elivery costs, involving domestic transportation expenses based on weight or volume, where 1m³ equals 167kg alternatively 280kg. Terminal </w:t>
      </w:r>
      <w:r>
        <w:rPr>
          <w:rFonts w:ascii="Titillium Web" w:hAnsi="Titillium Web"/>
        </w:rPr>
        <w:t>h</w:t>
      </w:r>
      <w:r w:rsidRPr="00723737">
        <w:rPr>
          <w:rFonts w:ascii="Titillium Web" w:hAnsi="Titillium Web"/>
        </w:rPr>
        <w:t xml:space="preserve">andling </w:t>
      </w:r>
      <w:r>
        <w:rPr>
          <w:rFonts w:ascii="Titillium Web" w:hAnsi="Titillium Web"/>
        </w:rPr>
        <w:t>c</w:t>
      </w:r>
      <w:r w:rsidRPr="00723737">
        <w:rPr>
          <w:rFonts w:ascii="Titillium Web" w:hAnsi="Titillium Web"/>
        </w:rPr>
        <w:t xml:space="preserve">harges (THC) represent the cost of terminal management at the airport, typically calculated per kilogram of the shipment. Air freight </w:t>
      </w:r>
      <w:r w:rsidRPr="00723737">
        <w:rPr>
          <w:rFonts w:ascii="Titillium Web" w:hAnsi="Titillium Web"/>
        </w:rPr>
        <w:lastRenderedPageBreak/>
        <w:t xml:space="preserve">charges cover the cost per kilogram for transportation to and from the airport. Additionally, supplementary charges are included, such as the </w:t>
      </w:r>
      <w:r>
        <w:rPr>
          <w:rFonts w:ascii="Titillium Web" w:hAnsi="Titillium Web"/>
        </w:rPr>
        <w:t>f</w:t>
      </w:r>
      <w:r w:rsidRPr="00723737">
        <w:rPr>
          <w:rFonts w:ascii="Titillium Web" w:hAnsi="Titillium Web"/>
        </w:rPr>
        <w:t xml:space="preserve">uel </w:t>
      </w:r>
      <w:r>
        <w:rPr>
          <w:rFonts w:ascii="Titillium Web" w:hAnsi="Titillium Web"/>
        </w:rPr>
        <w:t>s</w:t>
      </w:r>
      <w:r w:rsidRPr="00723737">
        <w:rPr>
          <w:rFonts w:ascii="Titillium Web" w:hAnsi="Titillium Web"/>
        </w:rPr>
        <w:t xml:space="preserve">urcharge (FSC) imposed by airlines based on fuel costs and destination, the </w:t>
      </w:r>
      <w:r>
        <w:rPr>
          <w:rFonts w:ascii="Titillium Web" w:hAnsi="Titillium Web"/>
        </w:rPr>
        <w:t>s</w:t>
      </w:r>
      <w:r w:rsidRPr="00723737">
        <w:rPr>
          <w:rFonts w:ascii="Titillium Web" w:hAnsi="Titillium Web"/>
        </w:rPr>
        <w:t xml:space="preserve">ecurity </w:t>
      </w:r>
      <w:r>
        <w:rPr>
          <w:rFonts w:ascii="Titillium Web" w:hAnsi="Titillium Web"/>
        </w:rPr>
        <w:t>s</w:t>
      </w:r>
      <w:r w:rsidRPr="00723737">
        <w:rPr>
          <w:rFonts w:ascii="Titillium Web" w:hAnsi="Titillium Web"/>
        </w:rPr>
        <w:t xml:space="preserve">urcharge (SSC) for airline security fees per kilogram, THC at the arrival airport, country-specific </w:t>
      </w:r>
      <w:r>
        <w:rPr>
          <w:rFonts w:ascii="Titillium Web" w:hAnsi="Titillium Web"/>
        </w:rPr>
        <w:t>d</w:t>
      </w:r>
      <w:r w:rsidRPr="00723737">
        <w:rPr>
          <w:rFonts w:ascii="Titillium Web" w:hAnsi="Titillium Web"/>
        </w:rPr>
        <w:t>elivery/</w:t>
      </w:r>
      <w:r>
        <w:rPr>
          <w:rFonts w:ascii="Titillium Web" w:hAnsi="Titillium Web"/>
        </w:rPr>
        <w:t>p</w:t>
      </w:r>
      <w:r w:rsidRPr="00723737">
        <w:rPr>
          <w:rFonts w:ascii="Titillium Web" w:hAnsi="Titillium Web"/>
        </w:rPr>
        <w:t xml:space="preserve">ickup costs, </w:t>
      </w:r>
      <w:r>
        <w:rPr>
          <w:rFonts w:ascii="Titillium Web" w:hAnsi="Titillium Web"/>
        </w:rPr>
        <w:t>f</w:t>
      </w:r>
      <w:r w:rsidRPr="00723737">
        <w:rPr>
          <w:rFonts w:ascii="Titillium Web" w:hAnsi="Titillium Web"/>
        </w:rPr>
        <w:t xml:space="preserve">orwarding </w:t>
      </w:r>
      <w:r>
        <w:rPr>
          <w:rFonts w:ascii="Titillium Web" w:hAnsi="Titillium Web"/>
        </w:rPr>
        <w:t>f</w:t>
      </w:r>
      <w:r w:rsidRPr="00723737">
        <w:rPr>
          <w:rFonts w:ascii="Titillium Web" w:hAnsi="Titillium Web"/>
        </w:rPr>
        <w:t xml:space="preserve">ees, </w:t>
      </w:r>
      <w:r>
        <w:rPr>
          <w:rFonts w:ascii="Titillium Web" w:hAnsi="Titillium Web"/>
        </w:rPr>
        <w:t>c</w:t>
      </w:r>
      <w:r w:rsidRPr="00723737">
        <w:rPr>
          <w:rFonts w:ascii="Titillium Web" w:hAnsi="Titillium Web"/>
        </w:rPr>
        <w:t>ustoms declaration/</w:t>
      </w:r>
      <w:r>
        <w:rPr>
          <w:rFonts w:ascii="Titillium Web" w:hAnsi="Titillium Web"/>
        </w:rPr>
        <w:t>e</w:t>
      </w:r>
      <w:r w:rsidRPr="00723737">
        <w:rPr>
          <w:rFonts w:ascii="Titillium Web" w:hAnsi="Titillium Web"/>
        </w:rPr>
        <w:t>xport clearance expenses, and considerations for currencies and units used in pricing calculations. Understanding these components is crucial for the goods owner to comprehend the breakdown of costs involved in air transport, facilitating negotiation and the establishment of a comprehensive and transparent pricing agreement.</w:t>
      </w:r>
    </w:p>
    <w:p w14:paraId="04BA814E" w14:textId="77777777" w:rsidR="00723737" w:rsidRPr="00723737" w:rsidRDefault="00723737" w:rsidP="00495162">
      <w:pPr>
        <w:pStyle w:val="ListParagraph"/>
        <w:rPr>
          <w:rFonts w:ascii="Titillium Web" w:hAnsi="Titillium Web"/>
        </w:rPr>
      </w:pPr>
    </w:p>
    <w:p w14:paraId="4587BBBF" w14:textId="39132DEC" w:rsidR="001F2E12" w:rsidRDefault="001F2E12" w:rsidP="003E505D">
      <w:pPr>
        <w:pStyle w:val="ListParagraph"/>
        <w:numPr>
          <w:ilvl w:val="0"/>
          <w:numId w:val="1"/>
        </w:numPr>
        <w:rPr>
          <w:rFonts w:ascii="Titillium Web" w:hAnsi="Titillium Web"/>
          <w:b/>
          <w:bCs/>
          <w:lang w:val="sv-SE"/>
        </w:rPr>
      </w:pPr>
      <w:r w:rsidRPr="001F2E12">
        <w:rPr>
          <w:rFonts w:ascii="Titillium Web" w:hAnsi="Titillium Web"/>
          <w:b/>
          <w:bCs/>
          <w:lang w:val="sv-SE"/>
        </w:rPr>
        <w:t xml:space="preserve">Ge två exempel på och beskriv miljömässiga problemområden inom transport och logistik (B2B). / </w:t>
      </w:r>
      <w:proofErr w:type="spellStart"/>
      <w:r w:rsidRPr="001F2E12">
        <w:rPr>
          <w:rFonts w:ascii="Titillium Web" w:hAnsi="Titillium Web"/>
          <w:b/>
          <w:bCs/>
          <w:lang w:val="sv-SE"/>
        </w:rPr>
        <w:t>Give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two</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examples</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of</w:t>
      </w:r>
      <w:proofErr w:type="spellEnd"/>
      <w:r w:rsidRPr="001F2E12">
        <w:rPr>
          <w:rFonts w:ascii="Titillium Web" w:hAnsi="Titillium Web"/>
          <w:b/>
          <w:bCs/>
          <w:lang w:val="sv-SE"/>
        </w:rPr>
        <w:t xml:space="preserve"> and </w:t>
      </w:r>
      <w:proofErr w:type="spellStart"/>
      <w:r w:rsidRPr="001F2E12">
        <w:rPr>
          <w:rFonts w:ascii="Titillium Web" w:hAnsi="Titillium Web"/>
          <w:b/>
          <w:bCs/>
          <w:lang w:val="sv-SE"/>
        </w:rPr>
        <w:t>describe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environmental</w:t>
      </w:r>
      <w:proofErr w:type="spellEnd"/>
      <w:r w:rsidRPr="001F2E12">
        <w:rPr>
          <w:rFonts w:ascii="Titillium Web" w:hAnsi="Titillium Web"/>
          <w:b/>
          <w:bCs/>
          <w:lang w:val="sv-SE"/>
        </w:rPr>
        <w:t xml:space="preserve"> </w:t>
      </w:r>
      <w:proofErr w:type="gramStart"/>
      <w:r w:rsidRPr="001F2E12">
        <w:rPr>
          <w:rFonts w:ascii="Titillium Web" w:hAnsi="Titillium Web"/>
          <w:b/>
          <w:bCs/>
          <w:lang w:val="sv-SE"/>
        </w:rPr>
        <w:t>problem areas</w:t>
      </w:r>
      <w:proofErr w:type="gramEnd"/>
      <w:r w:rsidRPr="001F2E12">
        <w:rPr>
          <w:rFonts w:ascii="Titillium Web" w:hAnsi="Titillium Web"/>
          <w:b/>
          <w:bCs/>
          <w:lang w:val="sv-SE"/>
        </w:rPr>
        <w:t xml:space="preserve"> in transport and </w:t>
      </w:r>
      <w:proofErr w:type="spellStart"/>
      <w:r w:rsidRPr="001F2E12">
        <w:rPr>
          <w:rFonts w:ascii="Titillium Web" w:hAnsi="Titillium Web"/>
          <w:b/>
          <w:bCs/>
          <w:lang w:val="sv-SE"/>
        </w:rPr>
        <w:t>logistics</w:t>
      </w:r>
      <w:proofErr w:type="spellEnd"/>
      <w:r w:rsidRPr="001F2E12">
        <w:rPr>
          <w:rFonts w:ascii="Titillium Web" w:hAnsi="Titillium Web"/>
          <w:b/>
          <w:bCs/>
          <w:lang w:val="sv-SE"/>
        </w:rPr>
        <w:t xml:space="preserve"> (B2B).</w:t>
      </w:r>
    </w:p>
    <w:p w14:paraId="545735B8" w14:textId="2EF6157B" w:rsidR="00495162" w:rsidRPr="00542D2B" w:rsidRDefault="00542D2B" w:rsidP="00495162">
      <w:pPr>
        <w:pStyle w:val="ListParagraph"/>
        <w:rPr>
          <w:rFonts w:ascii="Titillium Web" w:hAnsi="Titillium Web"/>
        </w:rPr>
      </w:pPr>
      <w:r w:rsidRPr="00542D2B">
        <w:rPr>
          <w:rFonts w:ascii="Titillium Web" w:hAnsi="Titillium Web"/>
        </w:rPr>
        <w:t>Two significant environmental problem areas in the business-to-business (B2B) transport and logistics sector are carbon emissions and inefficient resource utilization. Firstly, carbon emissions pose a substantial environmental challenge. The transport</w:t>
      </w:r>
      <w:r>
        <w:rPr>
          <w:rFonts w:ascii="Titillium Web" w:hAnsi="Titillium Web"/>
        </w:rPr>
        <w:t xml:space="preserve"> and </w:t>
      </w:r>
      <w:r w:rsidRPr="00542D2B">
        <w:rPr>
          <w:rFonts w:ascii="Titillium Web" w:hAnsi="Titillium Web"/>
        </w:rPr>
        <w:t>logistics industry</w:t>
      </w:r>
      <w:r>
        <w:rPr>
          <w:rFonts w:ascii="Titillium Web" w:hAnsi="Titillium Web"/>
        </w:rPr>
        <w:t xml:space="preserve"> </w:t>
      </w:r>
      <w:r w:rsidRPr="00542D2B">
        <w:rPr>
          <w:rFonts w:ascii="Titillium Web" w:hAnsi="Titillium Web"/>
        </w:rPr>
        <w:t>heavily relies on fossil fuels, contributing significantly to greenhouse gas emissions. Trucks, ships, airplanes, and other transport vehicles emit CO2 and other pollutants, impacting air quality and contributing to climate change. Secondly, inefficient resource utilization is a concern. In logistics, inefficiencies in routes, underutilized cargo space in trucks or containers, and unnecessary idling of vehicles lead to wastage of resources like fuel and increased emissions per unit of transported goods. Addressing these environmental problem areas requires innovative solutions such as adopting cleaner energy sources, optimizing transport routes, employing eco-friendly technologies, embracing logistics consolidation, and implementing efficient fleet management practices to reduce carbon footprint and enhance resource utilization within transport and logistics operations.</w:t>
      </w:r>
    </w:p>
    <w:p w14:paraId="149EC236" w14:textId="77777777" w:rsidR="00542D2B" w:rsidRPr="00542D2B" w:rsidRDefault="00542D2B" w:rsidP="00495162">
      <w:pPr>
        <w:pStyle w:val="ListParagraph"/>
        <w:rPr>
          <w:rFonts w:ascii="Titillium Web" w:hAnsi="Titillium Web"/>
        </w:rPr>
      </w:pPr>
    </w:p>
    <w:p w14:paraId="30010A10" w14:textId="78A7CE90" w:rsidR="001F2E12" w:rsidRDefault="001F2E12" w:rsidP="003E505D">
      <w:pPr>
        <w:pStyle w:val="ListParagraph"/>
        <w:numPr>
          <w:ilvl w:val="0"/>
          <w:numId w:val="1"/>
        </w:numPr>
        <w:rPr>
          <w:rFonts w:ascii="Titillium Web" w:hAnsi="Titillium Web"/>
          <w:b/>
          <w:bCs/>
          <w:lang w:val="sv-SE"/>
        </w:rPr>
      </w:pPr>
      <w:r w:rsidRPr="001F2E12">
        <w:rPr>
          <w:rFonts w:ascii="Titillium Web" w:hAnsi="Titillium Web"/>
          <w:b/>
          <w:bCs/>
          <w:lang w:val="sv-SE"/>
        </w:rPr>
        <w:t xml:space="preserve">Ge två förbättringsförslag och beskriv hur logistik och transporter kan bli mer hållbara (B2B). / </w:t>
      </w:r>
      <w:proofErr w:type="spellStart"/>
      <w:r w:rsidRPr="001F2E12">
        <w:rPr>
          <w:rFonts w:ascii="Titillium Web" w:hAnsi="Titillium Web"/>
          <w:b/>
          <w:bCs/>
          <w:lang w:val="sv-SE"/>
        </w:rPr>
        <w:t>Give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two</w:t>
      </w:r>
      <w:proofErr w:type="spellEnd"/>
      <w:r w:rsidRPr="001F2E12">
        <w:rPr>
          <w:rFonts w:ascii="Titillium Web" w:hAnsi="Titillium Web"/>
          <w:b/>
          <w:bCs/>
          <w:lang w:val="sv-SE"/>
        </w:rPr>
        <w:t xml:space="preserve"> suggestions for </w:t>
      </w:r>
      <w:proofErr w:type="spellStart"/>
      <w:r w:rsidRPr="001F2E12">
        <w:rPr>
          <w:rFonts w:ascii="Titillium Web" w:hAnsi="Titillium Web"/>
          <w:b/>
          <w:bCs/>
          <w:lang w:val="sv-SE"/>
        </w:rPr>
        <w:t>improvement</w:t>
      </w:r>
      <w:proofErr w:type="spellEnd"/>
      <w:r w:rsidRPr="001F2E12">
        <w:rPr>
          <w:rFonts w:ascii="Titillium Web" w:hAnsi="Titillium Web"/>
          <w:b/>
          <w:bCs/>
          <w:lang w:val="sv-SE"/>
        </w:rPr>
        <w:t xml:space="preserve"> and </w:t>
      </w:r>
      <w:proofErr w:type="spellStart"/>
      <w:r w:rsidRPr="001F2E12">
        <w:rPr>
          <w:rFonts w:ascii="Titillium Web" w:hAnsi="Titillium Web"/>
          <w:b/>
          <w:bCs/>
          <w:lang w:val="sv-SE"/>
        </w:rPr>
        <w:t>describe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how</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logistics</w:t>
      </w:r>
      <w:proofErr w:type="spellEnd"/>
      <w:r w:rsidRPr="001F2E12">
        <w:rPr>
          <w:rFonts w:ascii="Titillium Web" w:hAnsi="Titillium Web"/>
          <w:b/>
          <w:bCs/>
          <w:lang w:val="sv-SE"/>
        </w:rPr>
        <w:t xml:space="preserve"> and transport </w:t>
      </w:r>
      <w:proofErr w:type="spellStart"/>
      <w:r w:rsidRPr="001F2E12">
        <w:rPr>
          <w:rFonts w:ascii="Titillium Web" w:hAnsi="Titillium Web"/>
          <w:b/>
          <w:bCs/>
          <w:lang w:val="sv-SE"/>
        </w:rPr>
        <w:t>can</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become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more</w:t>
      </w:r>
      <w:proofErr w:type="spellEnd"/>
      <w:r w:rsidRPr="001F2E12">
        <w:rPr>
          <w:rFonts w:ascii="Titillium Web" w:hAnsi="Titillium Web"/>
          <w:b/>
          <w:bCs/>
          <w:lang w:val="sv-SE"/>
        </w:rPr>
        <w:t xml:space="preserve"> </w:t>
      </w:r>
      <w:proofErr w:type="spellStart"/>
      <w:r w:rsidRPr="001F2E12">
        <w:rPr>
          <w:rFonts w:ascii="Titillium Web" w:hAnsi="Titillium Web"/>
          <w:b/>
          <w:bCs/>
          <w:lang w:val="sv-SE"/>
        </w:rPr>
        <w:t>sustainable</w:t>
      </w:r>
      <w:proofErr w:type="spellEnd"/>
      <w:r w:rsidRPr="001F2E12">
        <w:rPr>
          <w:rFonts w:ascii="Titillium Web" w:hAnsi="Titillium Web"/>
          <w:b/>
          <w:bCs/>
          <w:lang w:val="sv-SE"/>
        </w:rPr>
        <w:t xml:space="preserve"> (B2B).</w:t>
      </w:r>
    </w:p>
    <w:p w14:paraId="5D373EA3" w14:textId="16E3689A" w:rsidR="00542D2B" w:rsidRPr="00542D2B" w:rsidRDefault="00542D2B" w:rsidP="00542D2B">
      <w:pPr>
        <w:pStyle w:val="ListParagraph"/>
        <w:rPr>
          <w:rFonts w:ascii="Titillium Web" w:hAnsi="Titillium Web"/>
        </w:rPr>
      </w:pPr>
      <w:r w:rsidRPr="00542D2B">
        <w:rPr>
          <w:rFonts w:ascii="Titillium Web" w:hAnsi="Titillium Web"/>
        </w:rPr>
        <w:t>To enhance sustainability in business-to-business (B2B) transport</w:t>
      </w:r>
      <w:r>
        <w:rPr>
          <w:rFonts w:ascii="Titillium Web" w:hAnsi="Titillium Web"/>
        </w:rPr>
        <w:t xml:space="preserve"> and </w:t>
      </w:r>
      <w:r w:rsidRPr="00542D2B">
        <w:rPr>
          <w:rFonts w:ascii="Titillium Web" w:hAnsi="Titillium Web"/>
        </w:rPr>
        <w:t xml:space="preserve">logistics, two suggestions for improvement include embracing alternative fuels and optimizing route planning. Firstly, adopting alternative fuels like biofuels, electric, or hydrogen-powered vehicles can significantly reduce carbon emissions. Transitioning from fossil fuel-dependent vehicles to eco-friendly alternatives mitigates environmental impact. Secondly, optimizing route planning through advanced technologies and data analytics helps streamline </w:t>
      </w:r>
      <w:r w:rsidRPr="00542D2B">
        <w:rPr>
          <w:rFonts w:ascii="Titillium Web" w:hAnsi="Titillium Web"/>
        </w:rPr>
        <w:lastRenderedPageBreak/>
        <w:t>operations, minimizing empty hauls, and reducing fuel consumption. Efficient route planning maximizes cargo load, reduces travel distances, and minimizes unnecessary emissions, enhancing overall sustainability in transport</w:t>
      </w:r>
      <w:r>
        <w:rPr>
          <w:rFonts w:ascii="Titillium Web" w:hAnsi="Titillium Web"/>
        </w:rPr>
        <w:t xml:space="preserve"> and </w:t>
      </w:r>
      <w:r w:rsidRPr="00542D2B">
        <w:rPr>
          <w:rFonts w:ascii="Titillium Web" w:hAnsi="Titillium Web"/>
        </w:rPr>
        <w:t>logistics. By integrating these solutions, the industry can significantly reduce its environmental footprint while maintaining efficient and effective transportation services.</w:t>
      </w:r>
    </w:p>
    <w:p w14:paraId="722D716B" w14:textId="77777777" w:rsidR="00495162" w:rsidRPr="00542D2B" w:rsidRDefault="00495162" w:rsidP="00495162">
      <w:pPr>
        <w:pStyle w:val="ListParagraph"/>
        <w:rPr>
          <w:rFonts w:ascii="Titillium Web" w:hAnsi="Titillium Web"/>
          <w:b/>
          <w:bCs/>
        </w:rPr>
      </w:pPr>
    </w:p>
    <w:sectPr w:rsidR="00495162" w:rsidRPr="00542D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17133" w14:textId="77777777" w:rsidR="00851C14" w:rsidRDefault="00851C14" w:rsidP="00A25B9F">
      <w:pPr>
        <w:spacing w:after="0" w:line="240" w:lineRule="auto"/>
      </w:pPr>
      <w:r>
        <w:separator/>
      </w:r>
    </w:p>
  </w:endnote>
  <w:endnote w:type="continuationSeparator" w:id="0">
    <w:p w14:paraId="236F8E15" w14:textId="77777777" w:rsidR="00851C14" w:rsidRDefault="00851C14" w:rsidP="00A25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tillium Web">
    <w:charset w:val="00"/>
    <w:family w:val="auto"/>
    <w:pitch w:val="variable"/>
    <w:sig w:usb0="00000007" w:usb1="00000001" w:usb2="00000000" w:usb3="00000000" w:csb0="00000093"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24BB75" w14:textId="77777777" w:rsidR="00851C14" w:rsidRDefault="00851C14" w:rsidP="00A25B9F">
      <w:pPr>
        <w:spacing w:after="0" w:line="240" w:lineRule="auto"/>
      </w:pPr>
      <w:r>
        <w:separator/>
      </w:r>
    </w:p>
  </w:footnote>
  <w:footnote w:type="continuationSeparator" w:id="0">
    <w:p w14:paraId="50F39C55" w14:textId="77777777" w:rsidR="00851C14" w:rsidRDefault="00851C14" w:rsidP="00A25B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F43486"/>
    <w:multiLevelType w:val="hybridMultilevel"/>
    <w:tmpl w:val="B36E018E"/>
    <w:lvl w:ilvl="0" w:tplc="242AB7D4">
      <w:start w:val="1"/>
      <w:numFmt w:val="decimal"/>
      <w:lvlText w:val="%1."/>
      <w:lvlJc w:val="left"/>
      <w:pPr>
        <w:ind w:left="720" w:hanging="360"/>
      </w:pPr>
      <w:rPr>
        <w:rFonts w:ascii="Times New Roman" w:eastAsia="Times New Roma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528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FAD"/>
    <w:rsid w:val="00197FFB"/>
    <w:rsid w:val="001F2E12"/>
    <w:rsid w:val="00252437"/>
    <w:rsid w:val="00317C30"/>
    <w:rsid w:val="00345003"/>
    <w:rsid w:val="003B55E5"/>
    <w:rsid w:val="003E505D"/>
    <w:rsid w:val="00495162"/>
    <w:rsid w:val="00542D2B"/>
    <w:rsid w:val="00723737"/>
    <w:rsid w:val="00762FAD"/>
    <w:rsid w:val="007B3822"/>
    <w:rsid w:val="00851C14"/>
    <w:rsid w:val="00A06E7A"/>
    <w:rsid w:val="00A25B9F"/>
    <w:rsid w:val="00A76EE3"/>
    <w:rsid w:val="00C4544B"/>
    <w:rsid w:val="00D56E00"/>
    <w:rsid w:val="00D64209"/>
    <w:rsid w:val="00E25B3C"/>
    <w:rsid w:val="00EC5C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3E707"/>
  <w15:chartTrackingRefBased/>
  <w15:docId w15:val="{F39C2E94-3105-454E-AC2A-AE5BDD50E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E505D"/>
    <w:pPr>
      <w:ind w:left="720"/>
      <w:contextualSpacing/>
    </w:pPr>
  </w:style>
  <w:style w:type="paragraph" w:styleId="NormalWeb">
    <w:name w:val="Normal (Web)"/>
    <w:basedOn w:val="Normal"/>
    <w:uiPriority w:val="99"/>
    <w:semiHidden/>
    <w:unhideWhenUsed/>
    <w:rsid w:val="00D6420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A25B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5B9F"/>
  </w:style>
  <w:style w:type="paragraph" w:styleId="Footer">
    <w:name w:val="footer"/>
    <w:basedOn w:val="Normal"/>
    <w:link w:val="FooterChar"/>
    <w:uiPriority w:val="99"/>
    <w:unhideWhenUsed/>
    <w:rsid w:val="00A25B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5B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281998">
      <w:bodyDiv w:val="1"/>
      <w:marLeft w:val="0"/>
      <w:marRight w:val="0"/>
      <w:marTop w:val="0"/>
      <w:marBottom w:val="0"/>
      <w:divBdr>
        <w:top w:val="none" w:sz="0" w:space="0" w:color="auto"/>
        <w:left w:val="none" w:sz="0" w:space="0" w:color="auto"/>
        <w:bottom w:val="none" w:sz="0" w:space="0" w:color="auto"/>
        <w:right w:val="none" w:sz="0" w:space="0" w:color="auto"/>
      </w:divBdr>
    </w:div>
    <w:div w:id="1155729071">
      <w:bodyDiv w:val="1"/>
      <w:marLeft w:val="0"/>
      <w:marRight w:val="0"/>
      <w:marTop w:val="0"/>
      <w:marBottom w:val="0"/>
      <w:divBdr>
        <w:top w:val="none" w:sz="0" w:space="0" w:color="auto"/>
        <w:left w:val="none" w:sz="0" w:space="0" w:color="auto"/>
        <w:bottom w:val="none" w:sz="0" w:space="0" w:color="auto"/>
        <w:right w:val="none" w:sz="0" w:space="0" w:color="auto"/>
      </w:divBdr>
      <w:divsChild>
        <w:div w:id="277369484">
          <w:marLeft w:val="274"/>
          <w:marRight w:val="0"/>
          <w:marTop w:val="0"/>
          <w:marBottom w:val="0"/>
          <w:divBdr>
            <w:top w:val="none" w:sz="0" w:space="0" w:color="auto"/>
            <w:left w:val="none" w:sz="0" w:space="0" w:color="auto"/>
            <w:bottom w:val="none" w:sz="0" w:space="0" w:color="auto"/>
            <w:right w:val="none" w:sz="0" w:space="0" w:color="auto"/>
          </w:divBdr>
        </w:div>
        <w:div w:id="1168641339">
          <w:marLeft w:val="274"/>
          <w:marRight w:val="0"/>
          <w:marTop w:val="0"/>
          <w:marBottom w:val="0"/>
          <w:divBdr>
            <w:top w:val="none" w:sz="0" w:space="0" w:color="auto"/>
            <w:left w:val="none" w:sz="0" w:space="0" w:color="auto"/>
            <w:bottom w:val="none" w:sz="0" w:space="0" w:color="auto"/>
            <w:right w:val="none" w:sz="0" w:space="0" w:color="auto"/>
          </w:divBdr>
        </w:div>
        <w:div w:id="391347552">
          <w:marLeft w:val="994"/>
          <w:marRight w:val="0"/>
          <w:marTop w:val="0"/>
          <w:marBottom w:val="0"/>
          <w:divBdr>
            <w:top w:val="none" w:sz="0" w:space="0" w:color="auto"/>
            <w:left w:val="none" w:sz="0" w:space="0" w:color="auto"/>
            <w:bottom w:val="none" w:sz="0" w:space="0" w:color="auto"/>
            <w:right w:val="none" w:sz="0" w:space="0" w:color="auto"/>
          </w:divBdr>
        </w:div>
        <w:div w:id="1018890652">
          <w:marLeft w:val="274"/>
          <w:marRight w:val="0"/>
          <w:marTop w:val="0"/>
          <w:marBottom w:val="0"/>
          <w:divBdr>
            <w:top w:val="none" w:sz="0" w:space="0" w:color="auto"/>
            <w:left w:val="none" w:sz="0" w:space="0" w:color="auto"/>
            <w:bottom w:val="none" w:sz="0" w:space="0" w:color="auto"/>
            <w:right w:val="none" w:sz="0" w:space="0" w:color="auto"/>
          </w:divBdr>
        </w:div>
        <w:div w:id="1342850492">
          <w:marLeft w:val="994"/>
          <w:marRight w:val="0"/>
          <w:marTop w:val="0"/>
          <w:marBottom w:val="0"/>
          <w:divBdr>
            <w:top w:val="none" w:sz="0" w:space="0" w:color="auto"/>
            <w:left w:val="none" w:sz="0" w:space="0" w:color="auto"/>
            <w:bottom w:val="none" w:sz="0" w:space="0" w:color="auto"/>
            <w:right w:val="none" w:sz="0" w:space="0" w:color="auto"/>
          </w:divBdr>
        </w:div>
        <w:div w:id="613941651">
          <w:marLeft w:val="994"/>
          <w:marRight w:val="0"/>
          <w:marTop w:val="0"/>
          <w:marBottom w:val="0"/>
          <w:divBdr>
            <w:top w:val="none" w:sz="0" w:space="0" w:color="auto"/>
            <w:left w:val="none" w:sz="0" w:space="0" w:color="auto"/>
            <w:bottom w:val="none" w:sz="0" w:space="0" w:color="auto"/>
            <w:right w:val="none" w:sz="0" w:space="0" w:color="auto"/>
          </w:divBdr>
        </w:div>
        <w:div w:id="475152253">
          <w:marLeft w:val="994"/>
          <w:marRight w:val="0"/>
          <w:marTop w:val="0"/>
          <w:marBottom w:val="0"/>
          <w:divBdr>
            <w:top w:val="none" w:sz="0" w:space="0" w:color="auto"/>
            <w:left w:val="none" w:sz="0" w:space="0" w:color="auto"/>
            <w:bottom w:val="none" w:sz="0" w:space="0" w:color="auto"/>
            <w:right w:val="none" w:sz="0" w:space="0" w:color="auto"/>
          </w:divBdr>
        </w:div>
        <w:div w:id="1519586637">
          <w:marLeft w:val="99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1254</TotalTime>
  <Pages>5</Pages>
  <Words>1754</Words>
  <Characters>10003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Xingrong Zong</dc:creator>
  <cp:keywords/>
  <dc:description/>
  <cp:lastModifiedBy>Xingrong Zong</cp:lastModifiedBy>
  <cp:revision>6</cp:revision>
  <dcterms:created xsi:type="dcterms:W3CDTF">2023-12-11T16:47:00Z</dcterms:created>
  <dcterms:modified xsi:type="dcterms:W3CDTF">2023-12-14T02:30:00Z</dcterms:modified>
</cp:coreProperties>
</file>