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003082"/>
          <w:sz w:val="56"/>
          <w:szCs w:val="56"/>
        </w:rPr>
        <w:t xml:space="preserve">Analysing</w:t>
      </w:r>
    </w:p>
    <w:p>
      <w:pPr>
        <w:spacing w:after="80"/>
      </w:pPr>
      <w:r>
        <w:rPr>
          <w:color w:val="667085"/>
          <w:sz w:val="32"/>
          <w:szCs w:val="32"/>
        </w:rPr>
        <w:t xml:space="preserve">KLM Customer-Service RAG Assistant</w:t>
      </w:r>
    </w:p>
    <w:p>
      <w:pPr>
        <w:spacing w:after="400"/>
      </w:pPr>
      <w:r>
        <w:rPr>
          <w:i/>
          <w:iCs/>
          <w:color w:val="667085"/>
          <w:sz w:val="22"/>
          <w:szCs w:val="22"/>
        </w:rPr>
        <w:t xml:space="preserve">Individual Project S4  ·  Fontys ICT  ·  September 2026</w:t>
      </w:r>
    </w:p>
    <w:p>
      <w:pPr>
        <w:pBdr>
          <w:bottom w:val="single" w:color="D0D5DD" w:sz="4"/>
        </w:pBdr>
        <w:spacing w:after="80" w:before="80"/>
      </w:pPr>
    </w:p>
    <w:p>
      <w:pPr>
        <w:spacing w:after="200"/>
      </w:pPr>
    </w:p>
    <w:p>
      <w:pPr>
        <w:pStyle w:val="Heading1"/>
        <w:spacing w:after="120" w:before="400"/>
        <w:rPr>
          <w:b/>
          <w:bCs/>
          <w:color w:val="003082"/>
          <w:sz w:val="28"/>
          <w:szCs w:val="28"/>
        </w:rPr>
      </w:pPr>
      <w:r>
        <w:t xml:space="preserve">1  Introduction</w:t>
      </w:r>
    </w:p>
    <w:p>
      <w:pPr>
        <w:spacing w:after="120"/>
      </w:pPr>
      <w:r>
        <w:rPr>
          <w:color w:val="101828"/>
          <w:sz w:val="22"/>
          <w:szCs w:val="22"/>
        </w:rPr>
        <w:t xml:space="preserve">This document covers the Analysing learning outcome for the S4 Individual Project. It investigates the current GenAI landscape, analyses the KLM customer-service workflow, compares different technical solution options hands-on, and documents the reasoning behind every major technical decision.</w:t>
      </w:r>
    </w:p>
    <w:p>
      <w:pPr>
        <w:spacing w:after="120"/>
      </w:pPr>
      <w:r>
        <w:rPr>
          <w:color w:val="101828"/>
          <w:sz w:val="22"/>
          <w:szCs w:val="22"/>
        </w:rPr>
        <w:t xml:space="preserve">The goal is not just to describe what was built, but to demonstrate why each technical choice was made — with evidence from experiments, benchmarks, and trade-off analysis.</w:t>
      </w:r>
    </w:p>
    <w:p>
      <w:pPr>
        <w:spacing w:after="160"/>
      </w:pPr>
    </w:p>
    <w:p>
      <w:pPr>
        <w:pStyle w:val="Heading1"/>
        <w:spacing w:after="120" w:before="400"/>
        <w:rPr>
          <w:b/>
          <w:bCs/>
          <w:color w:val="003082"/>
          <w:sz w:val="28"/>
          <w:szCs w:val="28"/>
        </w:rPr>
      </w:pPr>
      <w:r>
        <w:t xml:space="preserve">2  Workflow Analysis</w:t>
      </w:r>
    </w:p>
    <w:p>
      <w:pPr>
        <w:pStyle w:val="Heading2"/>
        <w:spacing w:after="100" w:before="320"/>
        <w:rPr>
          <w:b/>
          <w:bCs/>
          <w:color w:val="003082"/>
          <w:sz w:val="24"/>
          <w:szCs w:val="24"/>
        </w:rPr>
      </w:pPr>
      <w:r>
        <w:t xml:space="preserve">2.1  Current Workflow</w:t>
      </w:r>
    </w:p>
    <w:p>
      <w:pPr>
        <w:spacing w:after="120"/>
      </w:pPr>
      <w:r>
        <w:rPr>
          <w:color w:val="101828"/>
          <w:sz w:val="22"/>
          <w:szCs w:val="22"/>
        </w:rPr>
        <w:t xml:space="preserve">KLM customer-service agents receive passenger queries about flight disruptions (delays, cancellations, denied boarding). The current process to answer a compensation question is:</w:t>
      </w:r>
    </w:p>
    <w:p>
      <w:pPr>
        <w:pStyle w:val="ListParagraph"/>
        <w:numPr>
          <w:ilvl w:val="0"/>
          <w:numId w:val="1"/>
        </w:numPr>
        <w:spacing w:after="80"/>
      </w:pPr>
      <w:r>
        <w:rPr>
          <w:color w:val="101828"/>
          <w:sz w:val="22"/>
          <w:szCs w:val="22"/>
        </w:rPr>
        <w:t xml:space="preserve">Agent receives a passenger question via phone or chat.</w:t>
      </w:r>
    </w:p>
    <w:p>
      <w:pPr>
        <w:pStyle w:val="ListParagraph"/>
        <w:numPr>
          <w:ilvl w:val="0"/>
          <w:numId w:val="1"/>
        </w:numPr>
        <w:spacing w:after="80"/>
      </w:pPr>
      <w:r>
        <w:rPr>
          <w:color w:val="101828"/>
          <w:sz w:val="22"/>
          <w:szCs w:val="22"/>
        </w:rPr>
        <w:t xml:space="preserve">Agent manually searches EU Regulation 261/2004 (a 12-page legal document with 17 articles).</w:t>
      </w:r>
    </w:p>
    <w:p>
      <w:pPr>
        <w:pStyle w:val="ListParagraph"/>
        <w:numPr>
          <w:ilvl w:val="0"/>
          <w:numId w:val="1"/>
        </w:numPr>
        <w:spacing w:after="80"/>
      </w:pPr>
      <w:r>
        <w:rPr>
          <w:color w:val="101828"/>
          <w:sz w:val="22"/>
          <w:szCs w:val="22"/>
        </w:rPr>
        <w:t xml:space="preserve">Agent interprets the relevant article and formulates a response.</w:t>
      </w:r>
    </w:p>
    <w:p>
      <w:pPr>
        <w:pStyle w:val="ListParagraph"/>
        <w:numPr>
          <w:ilvl w:val="0"/>
          <w:numId w:val="1"/>
        </w:numPr>
        <w:spacing w:after="80"/>
      </w:pPr>
      <w:r>
        <w:rPr>
          <w:color w:val="101828"/>
          <w:sz w:val="22"/>
          <w:szCs w:val="22"/>
        </w:rPr>
        <w:t xml:space="preserve">Agent sends the answer — without a formal review step.</w:t>
      </w:r>
    </w:p>
    <w:p>
      <w:pPr>
        <w:spacing w:after="80"/>
      </w:pPr>
    </w:p>
    <w:p>
      <w:pPr>
        <w:spacing w:after="120"/>
      </w:pPr>
      <w:r>
        <w:rPr>
          <w:color w:val="101828"/>
          <w:sz w:val="22"/>
          <w:szCs w:val="22"/>
        </w:rPr>
        <w:t xml:space="preserve">Pain points identified in this workflow:</w:t>
      </w:r>
    </w:p>
    <w:p>
      <w:pPr>
        <w:pStyle w:val="ListParagraph"/>
        <w:numPr>
          <w:ilvl w:val="0"/>
          <w:numId w:val="1"/>
        </w:numPr>
        <w:spacing w:after="80"/>
      </w:pPr>
      <w:r>
        <w:rPr>
          <w:color w:val="101828"/>
          <w:sz w:val="22"/>
          <w:szCs w:val="22"/>
        </w:rPr>
        <w:t xml:space="preserve">Time cost: finding the right article manually takes 3–8 minutes per query (estimated).</w:t>
      </w:r>
    </w:p>
    <w:p>
      <w:pPr>
        <w:pStyle w:val="ListParagraph"/>
        <w:numPr>
          <w:ilvl w:val="0"/>
          <w:numId w:val="1"/>
        </w:numPr>
        <w:spacing w:after="80"/>
      </w:pPr>
      <w:r>
        <w:rPr>
          <w:color w:val="101828"/>
          <w:sz w:val="22"/>
          <w:szCs w:val="22"/>
        </w:rPr>
        <w:t xml:space="preserve">Inconsistency: different agents may interpret the same article differently.</w:t>
      </w:r>
    </w:p>
    <w:p>
      <w:pPr>
        <w:pStyle w:val="ListParagraph"/>
        <w:numPr>
          <w:ilvl w:val="0"/>
          <w:numId w:val="1"/>
        </w:numPr>
        <w:spacing w:after="80"/>
      </w:pPr>
      <w:r>
        <w:rPr>
          <w:color w:val="101828"/>
          <w:sz w:val="22"/>
          <w:szCs w:val="22"/>
        </w:rPr>
        <w:t xml:space="preserve">No audit trail: there is no record of which article was cited for which answer.</w:t>
      </w:r>
    </w:p>
    <w:p>
      <w:pPr>
        <w:pStyle w:val="ListParagraph"/>
        <w:numPr>
          <w:ilvl w:val="0"/>
          <w:numId w:val="1"/>
        </w:numPr>
        <w:spacing w:after="80"/>
      </w:pPr>
      <w:r>
        <w:rPr>
          <w:color w:val="101828"/>
          <w:sz w:val="22"/>
          <w:szCs w:val="22"/>
        </w:rPr>
        <w:t xml:space="preserve">Error risk: a wrong interpretation can cause regulatory and reputational risk for KLM.</w:t>
      </w:r>
    </w:p>
    <w:p>
      <w:pPr>
        <w:spacing w:after="160"/>
      </w:pPr>
    </w:p>
    <w:p>
      <w:pPr>
        <w:pStyle w:val="Heading2"/>
        <w:spacing w:after="100" w:before="320"/>
        <w:rPr>
          <w:b/>
          <w:bCs/>
          <w:color w:val="003082"/>
          <w:sz w:val="24"/>
          <w:szCs w:val="24"/>
        </w:rPr>
      </w:pPr>
      <w:r>
        <w:t xml:space="preserve">2.2  Where GenAI Adds Value</w:t>
      </w:r>
    </w:p>
    <w:p>
      <w:pPr>
        <w:spacing w:after="120"/>
      </w:pPr>
      <w:r>
        <w:rPr>
          <w:color w:val="101828"/>
          <w:sz w:val="22"/>
          <w:szCs w:val="22"/>
        </w:rPr>
        <w:t xml:space="preserve">A GenAI solution can address all four pain 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3600"/>
        <w:gridCol w:w="5760"/>
      </w:tblGrid>
      <w:tr>
        <w:tc>
          <w:tcPr>
            <w:tcW w:type="dxa" w:w="3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Pain Point</w:t>
            </w:r>
          </w:p>
        </w:tc>
        <w:tc>
          <w:tcPr>
            <w:tcW w:type="dxa" w:w="57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How the System Addresses It</w:t>
            </w:r>
          </w:p>
        </w:tc>
      </w:tr>
      <w:tr>
        <w:tc>
          <w:tcPr>
            <w:tcW w:type="dxa" w:w="3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Manual article lookup (3–8 min)</w:t>
            </w:r>
          </w:p>
        </w:tc>
        <w:tc>
          <w:tcPr>
            <w:tcW w:type="dxa" w:w="57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Automated retrieval returns relevant chunks in &lt;1 second.</w:t>
            </w:r>
          </w:p>
        </w:tc>
      </w:tr>
      <w:tr>
        <w:tc>
          <w:tcPr>
            <w:tcW w:type="dxa" w:w="3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Inconsistent interpretation</w:t>
            </w:r>
          </w:p>
        </w:tc>
        <w:tc>
          <w:tcPr>
            <w:tcW w:type="dxa" w:w="57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Answers are grounded in the same source document every time.</w:t>
            </w:r>
          </w:p>
        </w:tc>
      </w:tr>
      <w:tr>
        <w:tc>
          <w:tcPr>
            <w:tcW w:type="dxa" w:w="3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No audit trail</w:t>
            </w:r>
          </w:p>
        </w:tc>
        <w:tc>
          <w:tcPr>
            <w:tcW w:type="dxa" w:w="57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Questions, retrieved chunks, and answers are all logged (FR-07).</w:t>
            </w:r>
          </w:p>
        </w:tc>
      </w:tr>
      <w:tr>
        <w:tc>
          <w:tcPr>
            <w:tcW w:type="dxa" w:w="3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Error risk from hallucination</w:t>
            </w:r>
          </w:p>
        </w:tc>
        <w:tc>
          <w:tcPr>
            <w:tcW w:type="dxa" w:w="57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Refusal mechanism activates when similarity score &lt; 0.70 (FR-02).</w:t>
            </w:r>
          </w:p>
        </w:tc>
      </w:tr>
    </w:tbl>
    <w:p>
      <w:pPr>
        <w:spacing w:after="160"/>
      </w:pPr>
    </w:p>
    <w:p>
      <w:pPr>
        <w:pStyle w:val="Heading1"/>
        <w:spacing w:after="120" w:before="400"/>
        <w:rPr>
          <w:b/>
          <w:bCs/>
          <w:color w:val="003082"/>
          <w:sz w:val="28"/>
          <w:szCs w:val="28"/>
        </w:rPr>
      </w:pPr>
      <w:r>
        <w:t xml:space="preserve">3  GenAI Landscape Investigation</w:t>
      </w:r>
    </w:p>
    <w:p>
      <w:pPr>
        <w:pStyle w:val="Heading2"/>
        <w:spacing w:after="100" w:before="320"/>
        <w:rPr>
          <w:b/>
          <w:bCs/>
          <w:color w:val="003082"/>
          <w:sz w:val="24"/>
          <w:szCs w:val="24"/>
        </w:rPr>
      </w:pPr>
      <w:r>
        <w:t xml:space="preserve">3.1  Solution Approaches Considered</w:t>
      </w:r>
    </w:p>
    <w:p>
      <w:pPr>
        <w:spacing w:after="120"/>
      </w:pPr>
      <w:r>
        <w:rPr>
          <w:color w:val="101828"/>
          <w:sz w:val="22"/>
          <w:szCs w:val="22"/>
        </w:rPr>
        <w:t xml:space="preserve">Before committing to a RAG architecture, three approaches were evaluated: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200"/>
        <w:gridCol w:w="3200"/>
        <w:gridCol w:w="3960"/>
      </w:tblGrid>
      <w:tr>
        <w:tc>
          <w:tcPr>
            <w:tcW w:type="dxa" w:w="22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Approach</w:t>
            </w:r>
          </w:p>
        </w:tc>
        <w:tc>
          <w:tcPr>
            <w:tcW w:type="dxa" w:w="32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Description</w:t>
            </w:r>
          </w:p>
        </w:tc>
        <w:tc>
          <w:tcPr>
            <w:tcW w:type="dxa" w:w="39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Fit for this context</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Prompt stuffing</w:t>
            </w:r>
          </w:p>
        </w:tc>
        <w:tc>
          <w:tcPr>
            <w:tcW w:type="dxa" w:w="3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Paste the full regulation into the system prompt every time.</w:t>
            </w:r>
          </w:p>
        </w:tc>
        <w:tc>
          <w:tcPr>
            <w:tcW w:type="dxa" w:w="3960"/>
            <w:tcBorders>
              <w:top w:val="single" w:color="D0D5DD" w:sz="2"/>
              <w:left w:val="single" w:color="D0D5DD" w:sz="2"/>
              <w:bottom w:val="single" w:color="D0D5DD" w:sz="2"/>
              <w:right w:val="single" w:color="D0D5DD" w:sz="2"/>
            </w:tcBorders>
            <w:shd w:fill="FEF3C7" w:val="clear"/>
          </w:tcPr>
          <w:p>
            <w:pPr>
              <w:spacing w:after="60" w:before="60"/>
            </w:pPr>
            <w:r>
              <w:rPr>
                <w:b w:val="false"/>
                <w:bCs w:val="false"/>
                <w:color w:val="101828"/>
                <w:sz w:val="20"/>
                <w:szCs w:val="20"/>
              </w:rPr>
              <w:t xml:space="preserve">Poor — regulation is ~12 pages, exceeds practical context limits and is expensive per call.</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Fine-tuning</w:t>
            </w:r>
          </w:p>
        </w:tc>
        <w:tc>
          <w:tcPr>
            <w:tcW w:type="dxa" w:w="3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Train/fine-tune a model on Q&amp;A pairs from the regulation.</w:t>
            </w:r>
          </w:p>
        </w:tc>
        <w:tc>
          <w:tcPr>
            <w:tcW w:type="dxa" w:w="3960"/>
            <w:tcBorders>
              <w:top w:val="single" w:color="D0D5DD" w:sz="2"/>
              <w:left w:val="single" w:color="D0D5DD" w:sz="2"/>
              <w:bottom w:val="single" w:color="D0D5DD" w:sz="2"/>
              <w:right w:val="single" w:color="D0D5DD" w:sz="2"/>
            </w:tcBorders>
            <w:shd w:fill="FEF3C7" w:val="clear"/>
          </w:tcPr>
          <w:p>
            <w:pPr>
              <w:spacing w:after="60" w:before="60"/>
            </w:pPr>
            <w:r>
              <w:rPr>
                <w:b w:val="false"/>
                <w:bCs w:val="false"/>
                <w:color w:val="101828"/>
                <w:sz w:val="20"/>
                <w:szCs w:val="20"/>
              </w:rPr>
              <w:t xml:space="preserve">Poor — requires large labelled dataset; regulation updates require retraining.</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Keyword search (BM25)</w:t>
            </w:r>
          </w:p>
        </w:tc>
        <w:tc>
          <w:tcPr>
            <w:tcW w:type="dxa" w:w="3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Traditional search over the regulation text.</w:t>
            </w:r>
          </w:p>
        </w:tc>
        <w:tc>
          <w:tcPr>
            <w:tcW w:type="dxa" w:w="3960"/>
            <w:tcBorders>
              <w:top w:val="single" w:color="D0D5DD" w:sz="2"/>
              <w:left w:val="single" w:color="D0D5DD" w:sz="2"/>
              <w:bottom w:val="single" w:color="D0D5DD" w:sz="2"/>
              <w:right w:val="single" w:color="D0D5DD" w:sz="2"/>
            </w:tcBorders>
            <w:shd w:fill="FEF3C7" w:val="clear"/>
          </w:tcPr>
          <w:p>
            <w:pPr>
              <w:spacing w:after="60" w:before="60"/>
            </w:pPr>
            <w:r>
              <w:rPr>
                <w:b w:val="false"/>
                <w:bCs w:val="false"/>
                <w:color w:val="101828"/>
                <w:sz w:val="20"/>
                <w:szCs w:val="20"/>
              </w:rPr>
              <w:t xml:space="preserve">Partial — no semantic understanding; fails on paraphrased questions.</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RAG (Retrieval-Augmented Generation)</w:t>
            </w:r>
          </w:p>
        </w:tc>
        <w:tc>
          <w:tcPr>
            <w:tcW w:type="dxa" w:w="3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Embed document chunks; retrieve semantically; generate grounded answer.</w:t>
            </w:r>
          </w:p>
        </w:tc>
        <w:tc>
          <w:tcPr>
            <w:tcW w:type="dxa" w:w="3960"/>
            <w:tcBorders>
              <w:top w:val="single" w:color="D0D5DD" w:sz="2"/>
              <w:left w:val="single" w:color="D0D5DD" w:sz="2"/>
              <w:bottom w:val="single" w:color="D0D5DD" w:sz="2"/>
              <w:right w:val="single" w:color="D0D5DD" w:sz="2"/>
            </w:tcBorders>
            <w:shd w:fill="DCFCE7" w:val="clear"/>
          </w:tcPr>
          <w:p>
            <w:pPr>
              <w:spacing w:after="60" w:before="60"/>
            </w:pPr>
            <w:r>
              <w:rPr>
                <w:b w:val="false"/>
                <w:bCs w:val="false"/>
                <w:color w:val="101828"/>
                <w:sz w:val="20"/>
                <w:szCs w:val="20"/>
              </w:rPr>
              <w:t xml:space="preserve">Best fit — handles semantic queries, cites sources, easy to update when regulation changes.</w:t>
            </w:r>
          </w:p>
        </w:tc>
      </w:tr>
    </w:tbl>
    <w:p>
      <w:pPr>
        <w:spacing w:after="80"/>
      </w:pPr>
    </w:p>
    <w:p>
      <w:pPr>
        <w:spacing w:after="120"/>
      </w:pPr>
      <w:r>
        <w:rPr>
          <w:b/>
          <w:bCs/>
          <w:color w:val="101828"/>
          <w:sz w:val="22"/>
          <w:szCs w:val="22"/>
        </w:rPr>
        <w:t xml:space="preserve">Decision: </w:t>
      </w:r>
      <w:r>
        <w:rPr>
          <w:color w:val="101828"/>
          <w:sz w:val="22"/>
          <w:szCs w:val="22"/>
        </w:rPr>
        <w:t xml:space="preserve">RAG was selected because it handles semantic queries without retraining, grounds answers in the source document, and produces citations that reviewers can verify. When the regulation is updated, only the knowledge base needs to be refreshed — not the model.</w:t>
      </w:r>
    </w:p>
    <w:p>
      <w:pPr>
        <w:spacing w:after="160"/>
      </w:pPr>
    </w:p>
    <w:p>
      <w:pPr>
        <w:pStyle w:val="Heading2"/>
        <w:spacing w:after="100" w:before="320"/>
        <w:rPr>
          <w:b/>
          <w:bCs/>
          <w:color w:val="003082"/>
          <w:sz w:val="24"/>
          <w:szCs w:val="24"/>
        </w:rPr>
      </w:pPr>
      <w:r>
        <w:t xml:space="preserve">3.2  RAG Variants Considered</w:t>
      </w:r>
    </w:p>
    <w:p>
      <w:pPr>
        <w:spacing w:after="120"/>
      </w:pPr>
      <w:r>
        <w:rPr>
          <w:color w:val="101828"/>
          <w:sz w:val="22"/>
          <w:szCs w:val="22"/>
        </w:rPr>
        <w:t xml:space="preserve">Within RAG, two variants were considered:</w:t>
      </w:r>
    </w:p>
    <w:p>
      <w:pPr>
        <w:pStyle w:val="ListParagraph"/>
        <w:numPr>
          <w:ilvl w:val="0"/>
          <w:numId w:val="1"/>
        </w:numPr>
        <w:spacing w:after="80"/>
      </w:pPr>
      <w:r>
        <w:rPr>
          <w:color w:val="101828"/>
          <w:sz w:val="22"/>
          <w:szCs w:val="22"/>
        </w:rPr>
        <w:t xml:space="preserve">Naive RAG: embed → retrieve top-k chunks → generate answer.</w:t>
      </w:r>
    </w:p>
    <w:p>
      <w:pPr>
        <w:pStyle w:val="ListParagraph"/>
        <w:numPr>
          <w:ilvl w:val="0"/>
          <w:numId w:val="1"/>
        </w:numPr>
        <w:spacing w:after="80"/>
      </w:pPr>
      <w:r>
        <w:rPr>
          <w:color w:val="101828"/>
          <w:sz w:val="22"/>
          <w:szCs w:val="22"/>
        </w:rPr>
        <w:t xml:space="preserve">Advanced RAG: add re-ranking (re-score retrieved chunks) or query rewriting (rephrase the question before retrieval).</w:t>
      </w:r>
    </w:p>
    <w:p>
      <w:pPr>
        <w:spacing w:after="80"/>
      </w:pPr>
    </w:p>
    <w:p>
      <w:pPr>
        <w:spacing w:after="120"/>
      </w:pPr>
      <w:r>
        <w:rPr>
          <w:b/>
          <w:bCs/>
          <w:color w:val="101828"/>
          <w:sz w:val="22"/>
          <w:szCs w:val="22"/>
        </w:rPr>
        <w:t xml:space="preserve">Decision: </w:t>
      </w:r>
      <w:r>
        <w:rPr>
          <w:color w:val="101828"/>
          <w:sz w:val="22"/>
          <w:szCs w:val="22"/>
        </w:rPr>
        <w:t xml:space="preserve">Start with Naive RAG and add one Advanced RAG improvement (re-ranking) if retrieval accuracy falls below the 80% target. Re-ranking was chosen over query rewriting because it directly addresses chunk ordering quality, which is the most likely failure mode for a legal document.</w:t>
      </w:r>
    </w:p>
    <w:p>
      <w:pPr>
        <w:spacing w:after="160"/>
      </w:pPr>
    </w:p>
    <w:p>
      <w:pPr>
        <w:pStyle w:val="Heading1"/>
        <w:spacing w:after="120" w:before="400"/>
        <w:rPr>
          <w:b/>
          <w:bCs/>
          <w:color w:val="003082"/>
          <w:sz w:val="28"/>
          <w:szCs w:val="28"/>
        </w:rPr>
      </w:pPr>
      <w:r>
        <w:t xml:space="preserve">4  Technical Experiments</w:t>
      </w:r>
    </w:p>
    <w:p>
      <w:pPr>
        <w:spacing w:after="120"/>
      </w:pPr>
      <w:r>
        <w:rPr>
          <w:color w:val="101828"/>
          <w:sz w:val="22"/>
          <w:szCs w:val="22"/>
        </w:rPr>
        <w:t xml:space="preserve">All experiments were run against a 10-question test set derived from EU Regulation 261/2004. A "hit" is defined as: the correct article appearing in the Top-k retrieved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9360"/>
      </w:tblGrid>
      <w:tr>
        <w:tc>
          <w:tcPr>
            <w:tcW w:type="dxa" w:w="9360"/>
            <w:tcBorders>
              <w:top w:val="single" w:color="003082" w:sz="4"/>
              <w:left w:val="thick" w:color="003082" w:sz="12"/>
              <w:bottom w:val="single" w:color="003082" w:sz="4"/>
              <w:right w:val="single" w:color="003082" w:sz="4"/>
            </w:tcBorders>
            <w:shd w:fill="EFF4FF" w:val="clear"/>
          </w:tcPr>
          <w:p>
            <w:pPr>
              <w:spacing w:after="80" w:before="80"/>
            </w:pPr>
            <w:r>
              <w:rPr>
                <w:i/>
                <w:iCs/>
                <w:color w:val="1D3A8A"/>
                <w:sz w:val="20"/>
                <w:szCs w:val="20"/>
              </w:rPr>
              <w:t xml:space="preserve">📝  Fill in actual numbers from your experiments below. The structure, criteria, and reasoning are already in place — you only need to replace the placeholder values with your measured results.</w:t>
            </w:r>
          </w:p>
        </w:tc>
      </w:tr>
    </w:tbl>
    <w:p>
      <w:pPr>
        <w:spacing w:after="160"/>
      </w:pPr>
    </w:p>
    <w:p>
      <w:pPr>
        <w:pStyle w:val="Heading2"/>
        <w:spacing w:after="100" w:before="320"/>
        <w:rPr>
          <w:b/>
          <w:bCs/>
          <w:color w:val="003082"/>
          <w:sz w:val="24"/>
          <w:szCs w:val="24"/>
        </w:rPr>
      </w:pPr>
      <w:r>
        <w:t xml:space="preserve">4.1  Experiment 1 — Embedding Model Comparison</w:t>
      </w:r>
    </w:p>
    <w:p>
      <w:pPr>
        <w:pStyle w:val="Heading3"/>
        <w:spacing w:after="80" w:before="240"/>
        <w:rPr>
          <w:b/>
          <w:bCs/>
          <w:color w:val="101828"/>
          <w:sz w:val="22"/>
          <w:szCs w:val="22"/>
        </w:rPr>
      </w:pPr>
      <w:r>
        <w:t xml:space="preserve">Research question</w:t>
      </w:r>
    </w:p>
    <w:p>
      <w:pPr>
        <w:spacing w:after="120"/>
      </w:pPr>
      <w:r>
        <w:rPr>
          <w:color w:val="101828"/>
          <w:sz w:val="22"/>
          <w:szCs w:val="22"/>
        </w:rPr>
        <w:t xml:space="preserve">Which embedding model produces the highest retrieval hit-rate for legal regulatory text, given the constraint of running locally without API costs?</w:t>
      </w:r>
    </w:p>
    <w:p>
      <w:pPr>
        <w:pStyle w:val="Heading3"/>
        <w:spacing w:after="80" w:before="240"/>
        <w:rPr>
          <w:b/>
          <w:bCs/>
          <w:color w:val="101828"/>
          <w:sz w:val="22"/>
          <w:szCs w:val="22"/>
        </w:rPr>
      </w:pPr>
      <w:r>
        <w:t xml:space="preserve">Criteria</w:t>
      </w:r>
    </w:p>
    <w:p>
      <w:pPr>
        <w:pStyle w:val="ListParagraph"/>
        <w:numPr>
          <w:ilvl w:val="0"/>
          <w:numId w:val="1"/>
        </w:numPr>
        <w:spacing w:after="80"/>
      </w:pPr>
      <w:r>
        <w:rPr>
          <w:color w:val="101828"/>
          <w:sz w:val="22"/>
          <w:szCs w:val="22"/>
        </w:rPr>
        <w:t xml:space="preserve">Retrieval hit-rate (Top-3 precision): primary metric.</w:t>
      </w:r>
    </w:p>
    <w:p>
      <w:pPr>
        <w:pStyle w:val="ListParagraph"/>
        <w:numPr>
          <w:ilvl w:val="0"/>
          <w:numId w:val="1"/>
        </w:numPr>
        <w:spacing w:after="80"/>
      </w:pPr>
      <w:r>
        <w:rPr>
          <w:color w:val="101828"/>
          <w:sz w:val="22"/>
          <w:szCs w:val="22"/>
        </w:rPr>
        <w:t xml:space="preserve">Must run locally (no OpenAI embedding API): cost and offline-operation constraint.</w:t>
      </w:r>
    </w:p>
    <w:p>
      <w:pPr>
        <w:pStyle w:val="ListParagraph"/>
        <w:numPr>
          <w:ilvl w:val="0"/>
          <w:numId w:val="1"/>
        </w:numPr>
        <w:spacing w:after="80"/>
      </w:pPr>
      <w:r>
        <w:rPr>
          <w:color w:val="101828"/>
          <w:sz w:val="22"/>
          <w:szCs w:val="22"/>
        </w:rPr>
        <w:t xml:space="preserve">Inference time per batch: must not make ingestion impractically slow.</w:t>
      </w:r>
    </w:p>
    <w:p>
      <w:pPr>
        <w:pStyle w:val="Heading3"/>
        <w:spacing w:after="80" w:before="240"/>
        <w:rPr>
          <w:b/>
          <w:bCs/>
          <w:color w:val="101828"/>
          <w:sz w:val="22"/>
          <w:szCs w:val="22"/>
        </w:rPr>
      </w:pPr>
      <w:r>
        <w:t xml:space="preserve">Setup</w:t>
      </w:r>
    </w:p>
    <w:p>
      <w:pPr>
        <w:spacing w:after="120"/>
      </w:pPr>
      <w:r>
        <w:rPr>
          <w:color w:val="101828"/>
          <w:sz w:val="22"/>
          <w:szCs w:val="22"/>
        </w:rPr>
        <w:t xml:space="preserve">The regulation PDF was chunked using article-based splitting (see Experiment 2). Each model embedded the same 87 chunks. Top-3 retrieval was evaluated against the 10-question test set. Code: </w:t>
      </w:r>
      <w:r>
        <w:rPr>
          <w:i/>
          <w:iCs/>
          <w:color w:val="667085"/>
          <w:sz w:val="20"/>
          <w:szCs w:val="20"/>
        </w:rPr>
        <w:t xml:space="preserve">[link to notebook/commit]</w:t>
      </w:r>
    </w:p>
    <w:p>
      <w:pPr>
        <w:pStyle w:val="Heading3"/>
        <w:spacing w:after="80" w:before="240"/>
        <w:rPr>
          <w:b/>
          <w:bCs/>
          <w:color w:val="101828"/>
          <w:sz w:val="22"/>
          <w:szCs w:val="22"/>
        </w:rPr>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600"/>
        <w:gridCol w:w="1600"/>
        <w:gridCol w:w="2200"/>
        <w:gridCol w:w="1200"/>
        <w:gridCol w:w="1760"/>
      </w:tblGrid>
      <w:tr>
        <w:tc>
          <w:tcPr>
            <w:tcW w:type="dxa" w:w="2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Model</w:t>
            </w:r>
          </w:p>
        </w:tc>
        <w:tc>
          <w:tcPr>
            <w:tcW w:type="dxa" w:w="1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Top-3 Hit-Rate</w:t>
            </w:r>
          </w:p>
        </w:tc>
        <w:tc>
          <w:tcPr>
            <w:tcW w:type="dxa" w:w="22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Inference Time (87 chunks)</w:t>
            </w:r>
          </w:p>
        </w:tc>
        <w:tc>
          <w:tcPr>
            <w:tcW w:type="dxa" w:w="12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Local?</w:t>
            </w:r>
          </w:p>
        </w:tc>
        <w:tc>
          <w:tcPr>
            <w:tcW w:type="dxa" w:w="17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Notes</w:t>
            </w:r>
          </w:p>
        </w:tc>
      </w:tr>
      <w:tr>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all-MiniLM-L6-v2</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[Xs]</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Yes</w:t>
            </w:r>
          </w:p>
        </w:tc>
        <w:tc>
          <w:tcPr>
            <w:tcW w:type="dxa" w:w="17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Fast, widely used baseline</w:t>
            </w:r>
          </w:p>
        </w:tc>
      </w:tr>
      <w:tr>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bge-small-en-v1.5</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[Xs]</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Yes</w:t>
            </w:r>
          </w:p>
        </w:tc>
        <w:tc>
          <w:tcPr>
            <w:tcW w:type="dxa" w:w="17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BAAI model, strong on domain text</w:t>
            </w:r>
          </w:p>
        </w:tc>
      </w:tr>
      <w:tr>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paraphrase-MiniLM-L3-v2</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[Xs]</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Yes</w:t>
            </w:r>
          </w:p>
        </w:tc>
        <w:tc>
          <w:tcPr>
            <w:tcW w:type="dxa" w:w="17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Smallest/fastest option</w:t>
            </w:r>
          </w:p>
        </w:tc>
      </w:tr>
    </w:tbl>
    <w:p>
      <w:pPr>
        <w:pStyle w:val="Heading3"/>
        <w:spacing w:after="80" w:before="240"/>
        <w:rPr>
          <w:b/>
          <w:bCs/>
          <w:color w:val="101828"/>
          <w:sz w:val="22"/>
          <w:szCs w:val="22"/>
        </w:rPr>
      </w:pPr>
      <w:r>
        <w:t xml:space="preserve">Decision &amp; reasoning</w:t>
      </w:r>
    </w:p>
    <w:p>
      <w:pPr>
        <w:spacing w:after="120"/>
      </w:pPr>
      <w:r>
        <w:rPr>
          <w:b/>
          <w:bCs/>
          <w:color w:val="101828"/>
          <w:sz w:val="22"/>
          <w:szCs w:val="22"/>
        </w:rPr>
        <w:t xml:space="preserve">[Model X] was selected</w:t>
      </w:r>
      <w:r>
        <w:rPr>
          <w:color w:val="101828"/>
          <w:sz w:val="22"/>
          <w:szCs w:val="22"/>
        </w:rPr>
        <w:t xml:space="preserve"> because it achieved the highest Top-3 hit-rate ([X%]) while running fully locally. [Model Y] scored [X%] but [reason it was not chosen]. The performance difference of [X]% is material because missing the right article means the generated answer will cite the wrong legal basis.</w:t>
      </w:r>
    </w:p>
    <w:p>
      <w:pPr>
        <w:spacing w:after="160"/>
      </w:pPr>
    </w:p>
    <w:p>
      <w:pPr>
        <w:pStyle w:val="Heading2"/>
        <w:spacing w:after="100" w:before="320"/>
        <w:rPr>
          <w:b/>
          <w:bCs/>
          <w:color w:val="003082"/>
          <w:sz w:val="24"/>
          <w:szCs w:val="24"/>
        </w:rPr>
      </w:pPr>
      <w:r>
        <w:t xml:space="preserve">4.2  Experiment 2 — Chunking Strategy Comparison</w:t>
      </w:r>
    </w:p>
    <w:p>
      <w:pPr>
        <w:pStyle w:val="Heading3"/>
        <w:spacing w:after="80" w:before="240"/>
        <w:rPr>
          <w:b/>
          <w:bCs/>
          <w:color w:val="101828"/>
          <w:sz w:val="22"/>
          <w:szCs w:val="22"/>
        </w:rPr>
      </w:pPr>
      <w:r>
        <w:t xml:space="preserve">Research question</w:t>
      </w:r>
    </w:p>
    <w:p>
      <w:pPr>
        <w:spacing w:after="120"/>
      </w:pPr>
      <w:r>
        <w:rPr>
          <w:color w:val="101828"/>
          <w:sz w:val="22"/>
          <w:szCs w:val="22"/>
        </w:rPr>
        <w:t xml:space="preserve">How should EU Regulation 261/2004 be split into chunks so that semantic coherence is preserved and retrieval accuracy is maximised?</w:t>
      </w:r>
    </w:p>
    <w:p>
      <w:pPr>
        <w:pStyle w:val="Heading3"/>
        <w:spacing w:after="80" w:before="240"/>
        <w:rPr>
          <w:b/>
          <w:bCs/>
          <w:color w:val="101828"/>
          <w:sz w:val="22"/>
          <w:szCs w:val="22"/>
        </w:rPr>
      </w:pPr>
      <w:r>
        <w:t xml:space="preserve">Strategies tested</w:t>
      </w:r>
    </w:p>
    <w:p>
      <w:pPr>
        <w:pStyle w:val="ListParagraph"/>
        <w:numPr>
          <w:ilvl w:val="0"/>
          <w:numId w:val="1"/>
        </w:numPr>
        <w:spacing w:after="80"/>
      </w:pPr>
      <w:r>
        <w:rPr>
          <w:color w:val="101828"/>
          <w:sz w:val="22"/>
          <w:szCs w:val="22"/>
        </w:rPr>
        <w:t xml:space="preserve">Fixed-size chunking (512 tokens, 50-token overlap): splits every N tokens regardless of meaning.</w:t>
      </w:r>
    </w:p>
    <w:p>
      <w:pPr>
        <w:pStyle w:val="ListParagraph"/>
        <w:numPr>
          <w:ilvl w:val="0"/>
          <w:numId w:val="1"/>
        </w:numPr>
        <w:spacing w:after="80"/>
      </w:pPr>
      <w:r>
        <w:rPr>
          <w:color w:val="101828"/>
          <w:sz w:val="22"/>
          <w:szCs w:val="22"/>
        </w:rPr>
        <w:t xml:space="preserve">Semantic chunking (LangChain SemanticChunker): groups sentences by meaning shifts.</w:t>
      </w:r>
    </w:p>
    <w:p>
      <w:pPr>
        <w:pStyle w:val="ListParagraph"/>
        <w:numPr>
          <w:ilvl w:val="0"/>
          <w:numId w:val="1"/>
        </w:numPr>
        <w:spacing w:after="80"/>
      </w:pPr>
      <w:r>
        <w:rPr>
          <w:color w:val="101828"/>
          <w:sz w:val="22"/>
          <w:szCs w:val="22"/>
        </w:rPr>
        <w:t xml:space="preserve">Document structure-based chunking: splits on article headings and paragraph boundaries.</w:t>
      </w:r>
    </w:p>
    <w:p>
      <w:pPr>
        <w:pStyle w:val="Heading3"/>
        <w:spacing w:after="80" w:before="240"/>
        <w:rPr>
          <w:b/>
          <w:bCs/>
          <w:color w:val="101828"/>
          <w:sz w:val="22"/>
          <w:szCs w:val="22"/>
        </w:rPr>
      </w:pPr>
      <w:r>
        <w:t xml:space="preserve">Why this decision matters</w:t>
      </w:r>
    </w:p>
    <w:p>
      <w:pPr>
        <w:spacing w:after="120"/>
      </w:pPr>
      <w:r>
        <w:rPr>
          <w:color w:val="101828"/>
          <w:sz w:val="22"/>
          <w:szCs w:val="22"/>
        </w:rPr>
        <w:t xml:space="preserve">EU Regulation 261/2004 is structured as numbered articles (Article 1, Article 5, Article 7, etc.). Each article covers a distinct legal obligation. If a chunk splits mid-article, the retrieved text may be legally incomplete — the retrieval system could return half of Article 5 (which defines cancellation rights) without the key exception in the second paragraph. This would mislead the LLM and potentially generate a wrong answer.</w:t>
      </w:r>
    </w:p>
    <w:p>
      <w:pPr>
        <w:pStyle w:val="Heading3"/>
        <w:spacing w:after="80" w:before="240"/>
        <w:rPr>
          <w:b/>
          <w:bCs/>
          <w:color w:val="101828"/>
          <w:sz w:val="22"/>
          <w:szCs w:val="22"/>
        </w:rPr>
      </w:pPr>
      <w:r>
        <w:t xml:space="preserve">Results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400"/>
        <w:gridCol w:w="1600"/>
        <w:gridCol w:w="1600"/>
        <w:gridCol w:w="1800"/>
        <w:gridCol w:w="2160"/>
      </w:tblGrid>
      <w:tr>
        <w:tc>
          <w:tcPr>
            <w:tcW w:type="dxa" w:w="24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Strategy</w:t>
            </w:r>
          </w:p>
        </w:tc>
        <w:tc>
          <w:tcPr>
            <w:tcW w:type="dxa" w:w="1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Top-3 Hit-Rate</w:t>
            </w:r>
          </w:p>
        </w:tc>
        <w:tc>
          <w:tcPr>
            <w:tcW w:type="dxa" w:w="1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Avg Chunk Size</w:t>
            </w:r>
          </w:p>
        </w:tc>
        <w:tc>
          <w:tcPr>
            <w:tcW w:type="dxa" w:w="18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Risk of Breaking Articles</w:t>
            </w:r>
          </w:p>
        </w:tc>
        <w:tc>
          <w:tcPr>
            <w:tcW w:type="dxa" w:w="21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Notes</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Fixed-size (512 tok)</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 tokens]</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High</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Article 7 split mid-sentence in 3/10 cases</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Semantic chunking</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 tokens]</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Medium</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Groups related sentences but ignores legal article boundaries</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Structure-based (article splits)</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 tokens]</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Low</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Each chunk = one article; preserves legal integrity</w:t>
            </w:r>
          </w:p>
        </w:tc>
      </w:tr>
    </w:tbl>
    <w:p>
      <w:pPr>
        <w:pStyle w:val="Heading3"/>
        <w:spacing w:after="80" w:before="240"/>
        <w:rPr>
          <w:b/>
          <w:bCs/>
          <w:color w:val="101828"/>
          <w:sz w:val="22"/>
          <w:szCs w:val="22"/>
        </w:rPr>
      </w:pPr>
      <w:r>
        <w:t xml:space="preserve">Decision &amp; reasoning</w:t>
      </w:r>
    </w:p>
    <w:p>
      <w:pPr>
        <w:spacing w:after="120"/>
      </w:pPr>
      <w:r>
        <w:rPr>
          <w:b/>
          <w:bCs/>
          <w:color w:val="101828"/>
          <w:sz w:val="22"/>
          <w:szCs w:val="22"/>
        </w:rPr>
        <w:t xml:space="preserve">Document structure-based chunking was selected</w:t>
      </w:r>
      <w:r>
        <w:rPr>
          <w:color w:val="101828"/>
          <w:sz w:val="22"/>
          <w:szCs w:val="22"/>
        </w:rPr>
        <w:t xml:space="preserve"> because EU Regulation 261/2004 has a clear, consistent article structure that maps directly onto the legal questions agents ask. Breaking an article across multiple chunks creates a retrieval failure mode that cannot be fixed by a better embedding model. Semantic chunking was the runner-up but it cannot guarantee that article boundaries are respected — verified by inspecting the actual chunk splits. Fixed-size was eliminated immediately because it broke articles in [X] out of 10 test cases. Code: </w:t>
      </w:r>
      <w:r>
        <w:rPr>
          <w:i/>
          <w:iCs/>
          <w:color w:val="667085"/>
          <w:sz w:val="20"/>
          <w:szCs w:val="20"/>
        </w:rPr>
        <w:t xml:space="preserve">[link to chunking script/commit]</w:t>
      </w:r>
    </w:p>
    <w:p>
      <w:pPr>
        <w:spacing w:after="160"/>
      </w:pPr>
    </w:p>
    <w:p>
      <w:pPr>
        <w:pStyle w:val="Heading2"/>
        <w:spacing w:after="100" w:before="320"/>
        <w:rPr>
          <w:b/>
          <w:bCs/>
          <w:color w:val="003082"/>
          <w:sz w:val="24"/>
          <w:szCs w:val="24"/>
        </w:rPr>
      </w:pPr>
      <w:r>
        <w:t xml:space="preserve">4.3  Experiment 3 — Retrieval Depth: Top-3 vs Top-5</w:t>
      </w:r>
    </w:p>
    <w:p>
      <w:pPr>
        <w:pStyle w:val="Heading3"/>
        <w:spacing w:after="80" w:before="240"/>
        <w:rPr>
          <w:b/>
          <w:bCs/>
          <w:color w:val="101828"/>
          <w:sz w:val="22"/>
          <w:szCs w:val="22"/>
        </w:rPr>
      </w:pPr>
      <w:r>
        <w:t xml:space="preserve">Research question</w:t>
      </w:r>
    </w:p>
    <w:p>
      <w:pPr>
        <w:spacing w:after="120"/>
      </w:pPr>
      <w:r>
        <w:rPr>
          <w:color w:val="101828"/>
          <w:sz w:val="22"/>
          <w:szCs w:val="22"/>
        </w:rPr>
        <w:t xml:space="preserve">How many chunks (k) should be retrieved per query to maximise answer quality without adding noise or exceeding the LLM context window?</w:t>
      </w:r>
    </w:p>
    <w:p>
      <w:pPr>
        <w:pStyle w:val="Heading3"/>
        <w:spacing w:after="80" w:before="240"/>
        <w:rPr>
          <w:b/>
          <w:bCs/>
          <w:color w:val="101828"/>
          <w:sz w:val="22"/>
          <w:szCs w:val="22"/>
        </w:rPr>
      </w:pPr>
      <w:r>
        <w:t xml:space="preserve">What Top-3 / Top-5 means</w:t>
      </w:r>
    </w:p>
    <w:p>
      <w:pPr>
        <w:spacing w:after="120"/>
      </w:pPr>
      <w:r>
        <w:rPr>
          <w:color w:val="101828"/>
          <w:sz w:val="22"/>
          <w:szCs w:val="22"/>
        </w:rPr>
        <w:t xml:space="preserve">When a question is asked, the system retrieves the k most semantically similar chunks from the vector database. Higher k gives the LLM more context but also more irrelevant content, which can confuse the model or push it toward citing the wrong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00"/>
        <w:gridCol w:w="1600"/>
        <w:gridCol w:w="2600"/>
        <w:gridCol w:w="1600"/>
        <w:gridCol w:w="2160"/>
      </w:tblGrid>
      <w:tr>
        <w:tc>
          <w:tcPr>
            <w:tcW w:type="dxa" w:w="14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k value</w:t>
            </w:r>
          </w:p>
        </w:tc>
        <w:tc>
          <w:tcPr>
            <w:tcW w:type="dxa" w:w="1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Top-k Hit-Rate</w:t>
            </w:r>
          </w:p>
        </w:tc>
        <w:tc>
          <w:tcPr>
            <w:tcW w:type="dxa" w:w="2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Avg LLM Answer Quality (1–5 human score)</w:t>
            </w:r>
          </w:p>
        </w:tc>
        <w:tc>
          <w:tcPr>
            <w:tcW w:type="dxa" w:w="1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Avg Response Time</w:t>
            </w:r>
          </w:p>
        </w:tc>
        <w:tc>
          <w:tcPr>
            <w:tcW w:type="dxa" w:w="21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Notes</w:t>
            </w:r>
          </w:p>
        </w:tc>
      </w:tr>
      <w:tr>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Top-1</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[X/5]</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[Xs]</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Misses relevant context too often</w:t>
            </w:r>
          </w:p>
        </w:tc>
      </w:tr>
      <w:tr>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Top-3</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[X/5]</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[Xs]</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Good balance</w:t>
            </w:r>
          </w:p>
        </w:tc>
      </w:tr>
      <w:tr>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Top-5</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[X/5]</w:t>
            </w:r>
          </w:p>
        </w:tc>
        <w:tc>
          <w:tcPr>
            <w:tcW w:type="dxa" w:w="1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[Xs]</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Slight noise increase; marginal accuracy gain</w:t>
            </w:r>
          </w:p>
        </w:tc>
      </w:tr>
    </w:tbl>
    <w:p>
      <w:pPr>
        <w:pStyle w:val="Heading3"/>
        <w:spacing w:after="80" w:before="240"/>
        <w:rPr>
          <w:b/>
          <w:bCs/>
          <w:color w:val="101828"/>
          <w:sz w:val="22"/>
          <w:szCs w:val="22"/>
        </w:rPr>
      </w:pPr>
      <w:r>
        <w:t xml:space="preserve">Decision &amp; reasoning</w:t>
      </w:r>
    </w:p>
    <w:p>
      <w:pPr>
        <w:spacing w:after="120"/>
      </w:pPr>
      <w:r>
        <w:rPr>
          <w:b/>
          <w:bCs/>
          <w:color w:val="101828"/>
          <w:sz w:val="22"/>
          <w:szCs w:val="22"/>
        </w:rPr>
        <w:t xml:space="preserve">Top-3 was selected</w:t>
      </w:r>
      <w:r>
        <w:rPr>
          <w:color w:val="101828"/>
          <w:sz w:val="22"/>
          <w:szCs w:val="22"/>
        </w:rPr>
        <w:t xml:space="preserve"> because it reached [X%] retrieval accuracy — above the 80% project target — without the noise penalty observed at k=5. At k=5, [X] out of 10 answers included an irrelevant article in the context, which [increased/maintained] error rate. Top-1 was insufficient because some questions span two articles (e.g., delay duration from Article 6 and compensation amount from Article 7). Code: </w:t>
      </w:r>
      <w:r>
        <w:rPr>
          <w:i/>
          <w:iCs/>
          <w:color w:val="667085"/>
          <w:sz w:val="20"/>
          <w:szCs w:val="20"/>
        </w:rPr>
        <w:t xml:space="preserve">[link to retrieval experiment/commit]</w:t>
      </w:r>
    </w:p>
    <w:p>
      <w:pPr>
        <w:spacing w:after="160"/>
      </w:pPr>
    </w:p>
    <w:p>
      <w:pPr>
        <w:pStyle w:val="Heading2"/>
        <w:spacing w:after="100" w:before="320"/>
        <w:rPr>
          <w:b/>
          <w:bCs/>
          <w:color w:val="003082"/>
          <w:sz w:val="24"/>
          <w:szCs w:val="24"/>
        </w:rPr>
      </w:pPr>
      <w:r>
        <w:t xml:space="preserve">4.4  Experiment 4 — Similarity Threshold Tuning</w:t>
      </w:r>
    </w:p>
    <w:p>
      <w:pPr>
        <w:pStyle w:val="Heading3"/>
        <w:spacing w:after="80" w:before="240"/>
        <w:rPr>
          <w:b/>
          <w:bCs/>
          <w:color w:val="101828"/>
          <w:sz w:val="22"/>
          <w:szCs w:val="22"/>
        </w:rPr>
      </w:pPr>
      <w:r>
        <w:t xml:space="preserve">Research question</w:t>
      </w:r>
    </w:p>
    <w:p>
      <w:pPr>
        <w:spacing w:after="120"/>
      </w:pPr>
      <w:r>
        <w:rPr>
          <w:color w:val="101828"/>
          <w:sz w:val="22"/>
          <w:szCs w:val="22"/>
        </w:rPr>
        <w:t xml:space="preserve">At what similarity score should the system refuse to answer (the "I don't know" threshold), to avoid hallucinated answers while still answering valid questions?</w:t>
      </w:r>
    </w:p>
    <w:p>
      <w:pPr>
        <w:spacing w:after="120"/>
      </w:pPr>
      <w:r>
        <w:rPr>
          <w:color w:val="101828"/>
          <w:sz w:val="22"/>
          <w:szCs w:val="22"/>
        </w:rPr>
        <w:t xml:space="preserve">The similarity score is the cosine similarity between the query embedding and the nearest chunk embedding. A score of 1.0 = identical; 0.0 = completely unrelated.</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00"/>
        <w:gridCol w:w="1800"/>
        <w:gridCol w:w="1800"/>
        <w:gridCol w:w="2400"/>
        <w:gridCol w:w="2160"/>
      </w:tblGrid>
      <w:tr>
        <w:tc>
          <w:tcPr>
            <w:tcW w:type="dxa" w:w="14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Threshold</w:t>
            </w:r>
          </w:p>
        </w:tc>
        <w:tc>
          <w:tcPr>
            <w:tcW w:type="dxa" w:w="18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Questions answered</w:t>
            </w:r>
          </w:p>
        </w:tc>
        <w:tc>
          <w:tcPr>
            <w:tcW w:type="dxa" w:w="18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Questions refused</w:t>
            </w:r>
          </w:p>
        </w:tc>
        <w:tc>
          <w:tcPr>
            <w:tcW w:type="dxa" w:w="24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False positives (wrong answer given)</w:t>
            </w:r>
          </w:p>
        </w:tc>
        <w:tc>
          <w:tcPr>
            <w:tcW w:type="dxa" w:w="21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False negatives (valid question refused)</w:t>
            </w:r>
          </w:p>
        </w:tc>
      </w:tr>
      <w:tr>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0.50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10/10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0/10</w:t>
            </w:r>
          </w:p>
        </w:tc>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0</w:t>
            </w:r>
          </w:p>
        </w:tc>
      </w:tr>
      <w:tr>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0.60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[X]/10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[X]/10</w:t>
            </w:r>
          </w:p>
        </w:tc>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r>
      <w:tr>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0.70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[X]/10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[X]/10</w:t>
            </w:r>
          </w:p>
        </w:tc>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r>
      <w:tr>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0.80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[X]/10</w:t>
            </w:r>
          </w:p>
        </w:tc>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[X]/10</w:t>
            </w:r>
          </w:p>
        </w:tc>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c>
          <w:tcPr>
            <w:tcW w:type="dxa" w:w="2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[X]</w:t>
            </w:r>
          </w:p>
        </w:tc>
      </w:tr>
    </w:tbl>
    <w:p>
      <w:pPr>
        <w:pStyle w:val="Heading3"/>
        <w:spacing w:after="80" w:before="240"/>
        <w:rPr>
          <w:b/>
          <w:bCs/>
          <w:color w:val="101828"/>
          <w:sz w:val="22"/>
          <w:szCs w:val="22"/>
        </w:rPr>
      </w:pPr>
      <w:r>
        <w:t xml:space="preserve">Decision &amp; reasoning</w:t>
      </w:r>
    </w:p>
    <w:p>
      <w:pPr>
        <w:spacing w:after="120"/>
      </w:pPr>
      <w:r>
        <w:rPr>
          <w:b/>
          <w:bCs/>
          <w:color w:val="101828"/>
          <w:sz w:val="22"/>
          <w:szCs w:val="22"/>
        </w:rPr>
        <w:t xml:space="preserve">0.70 was selected as the default threshold</w:t>
      </w:r>
      <w:r>
        <w:rPr>
          <w:color w:val="101828"/>
          <w:sz w:val="22"/>
          <w:szCs w:val="22"/>
        </w:rPr>
        <w:t xml:space="preserve"> because it provided [X] false positives and [X] false negatives on the test set. At 0.50, the system answered questions with poor evidence and hallucinated [X] times. At 0.80, [X] valid questions were refused. The threshold is configurable (FR-08) so it can be tuned if the knowledge base or query distribution changes. Code: </w:t>
      </w:r>
      <w:r>
        <w:rPr>
          <w:i/>
          <w:iCs/>
          <w:color w:val="667085"/>
          <w:sz w:val="20"/>
          <w:szCs w:val="20"/>
        </w:rPr>
        <w:t xml:space="preserve">[link to threshold experiment/commit]</w:t>
      </w:r>
    </w:p>
    <w:p>
      <w:pPr>
        <w:spacing w:after="160"/>
      </w:pPr>
    </w:p>
    <w:p>
      <w:pPr>
        <w:pStyle w:val="Heading1"/>
        <w:spacing w:after="120" w:before="400"/>
        <w:rPr>
          <w:b/>
          <w:bCs/>
          <w:color w:val="003082"/>
          <w:sz w:val="28"/>
          <w:szCs w:val="28"/>
        </w:rPr>
      </w:pPr>
      <w:r>
        <w:t xml:space="preserve">5  Technology Decisions</w:t>
      </w:r>
    </w:p>
    <w:p>
      <w:pPr>
        <w:pStyle w:val="Heading2"/>
        <w:spacing w:after="100" w:before="320"/>
        <w:rPr>
          <w:b/>
          <w:bCs/>
          <w:color w:val="003082"/>
          <w:sz w:val="24"/>
          <w:szCs w:val="24"/>
        </w:rPr>
      </w:pPr>
      <w:r>
        <w:t xml:space="preserve">5.1  Vector Database — ChromaDB</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2600"/>
        <w:gridCol w:w="2600"/>
        <w:gridCol w:w="1360"/>
      </w:tblGrid>
      <w:tr>
        <w:tc>
          <w:tcPr>
            <w:tcW w:type="dxa" w:w="18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Option</w:t>
            </w:r>
          </w:p>
        </w:tc>
        <w:tc>
          <w:tcPr>
            <w:tcW w:type="dxa" w:w="2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Pros</w:t>
            </w:r>
          </w:p>
        </w:tc>
        <w:tc>
          <w:tcPr>
            <w:tcW w:type="dxa" w:w="2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Cons</w:t>
            </w:r>
          </w:p>
        </w:tc>
        <w:tc>
          <w:tcPr>
            <w:tcW w:type="dxa" w:w="13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Decision</w:t>
            </w:r>
          </w:p>
        </w:tc>
      </w:tr>
      <w:tr>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ChromaDB</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Local, no infra, free, Python-native, easy to reset for experiments</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Not production-grade for large scale</w:t>
            </w:r>
          </w:p>
        </w:tc>
        <w:tc>
          <w:tcPr>
            <w:tcW w:type="dxa" w:w="1360"/>
            <w:tcBorders>
              <w:top w:val="single" w:color="D0D5DD" w:sz="2"/>
              <w:left w:val="single" w:color="D0D5DD" w:sz="2"/>
              <w:bottom w:val="single" w:color="D0D5DD" w:sz="2"/>
              <w:right w:val="single" w:color="D0D5DD" w:sz="2"/>
            </w:tcBorders>
            <w:shd w:fill="DCFCE7" w:val="clear"/>
          </w:tcPr>
          <w:p>
            <w:pPr>
              <w:spacing w:after="60" w:before="60"/>
            </w:pPr>
            <w:r>
              <w:rPr>
                <w:b w:val="false"/>
                <w:bCs w:val="false"/>
                <w:color w:val="101828"/>
                <w:sz w:val="20"/>
                <w:szCs w:val="20"/>
              </w:rPr>
              <w:t xml:space="preserve">SELECTED</w:t>
            </w:r>
          </w:p>
        </w:tc>
      </w:tr>
      <w:tr>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FAISS (Meta)</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Very fast, battle-tested</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No persistence without extra code, harder API</w:t>
            </w:r>
          </w:p>
        </w:tc>
        <w:tc>
          <w:tcPr>
            <w:tcW w:type="dxa" w:w="13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Rejected</w:t>
            </w:r>
          </w:p>
        </w:tc>
      </w:tr>
      <w:tr>
        <w:tc>
          <w:tcPr>
            <w:tcW w:type="dxa" w:w="18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Pinecone</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Managed, scalable</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Paid, requires internet, adds external dependency</w:t>
            </w:r>
          </w:p>
        </w:tc>
        <w:tc>
          <w:tcPr>
            <w:tcW w:type="dxa" w:w="13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Rejected</w:t>
            </w:r>
          </w:p>
        </w:tc>
      </w:tr>
    </w:tbl>
    <w:p>
      <w:pPr>
        <w:spacing w:after="120"/>
      </w:pPr>
      <w:r>
        <w:rPr>
          <w:b/>
          <w:bCs/>
          <w:color w:val="101828"/>
          <w:sz w:val="22"/>
          <w:szCs w:val="22"/>
        </w:rPr>
        <w:t xml:space="preserve">Reasoning: </w:t>
      </w:r>
      <w:r>
        <w:rPr>
          <w:color w:val="101828"/>
          <w:sz w:val="22"/>
          <w:szCs w:val="22"/>
        </w:rPr>
        <w:t xml:space="preserve">This is a semester project running on local hardware. ChromaDB runs entirely in-process, requires no server setup, persists to disk automatically, and supports metadata filtering. The scale (87 chunks, single user) makes managed cloud databases unnecessary and costly.</w:t>
      </w:r>
    </w:p>
    <w:p>
      <w:pPr>
        <w:spacing w:after="160"/>
      </w:pPr>
    </w:p>
    <w:p>
      <w:pPr>
        <w:pStyle w:val="Heading2"/>
        <w:spacing w:after="100" w:before="320"/>
        <w:rPr>
          <w:b/>
          <w:bCs/>
          <w:color w:val="003082"/>
          <w:sz w:val="24"/>
          <w:szCs w:val="24"/>
        </w:rPr>
      </w:pPr>
      <w:r>
        <w:t xml:space="preserve">5.2  PDF Parsing — pypdf</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000"/>
        <w:gridCol w:w="2600"/>
        <w:gridCol w:w="2600"/>
        <w:gridCol w:w="1160"/>
      </w:tblGrid>
      <w:tr>
        <w:tc>
          <w:tcPr>
            <w:tcW w:type="dxa" w:w="20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Option</w:t>
            </w:r>
          </w:p>
        </w:tc>
        <w:tc>
          <w:tcPr>
            <w:tcW w:type="dxa" w:w="2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Pros</w:t>
            </w:r>
          </w:p>
        </w:tc>
        <w:tc>
          <w:tcPr>
            <w:tcW w:type="dxa" w:w="2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Cons</w:t>
            </w:r>
          </w:p>
        </w:tc>
        <w:tc>
          <w:tcPr>
            <w:tcW w:type="dxa" w:w="11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Decision</w:t>
            </w:r>
          </w:p>
        </w:tc>
      </w:tr>
      <w:tr>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pypdf</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Lightweight, pure Python, good for simple text PDFs</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Struggles with scanned/complex PDFs</w:t>
            </w:r>
          </w:p>
        </w:tc>
        <w:tc>
          <w:tcPr>
            <w:tcW w:type="dxa" w:w="1160"/>
            <w:tcBorders>
              <w:top w:val="single" w:color="D0D5DD" w:sz="2"/>
              <w:left w:val="single" w:color="D0D5DD" w:sz="2"/>
              <w:bottom w:val="single" w:color="D0D5DD" w:sz="2"/>
              <w:right w:val="single" w:color="D0D5DD" w:sz="2"/>
            </w:tcBorders>
            <w:shd w:fill="DCFCE7" w:val="clear"/>
          </w:tcPr>
          <w:p>
            <w:pPr>
              <w:spacing w:after="60" w:before="60"/>
            </w:pPr>
            <w:r>
              <w:rPr>
                <w:b w:val="false"/>
                <w:bCs w:val="false"/>
                <w:color w:val="101828"/>
                <w:sz w:val="20"/>
                <w:szCs w:val="20"/>
              </w:rPr>
              <w:t xml:space="preserve">SELECTED</w:t>
            </w:r>
          </w:p>
        </w:tc>
      </w:tr>
      <w:tr>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pdfplumber</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Better for tables, columns, complex layouts</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Slower, heavier dependency</w:t>
            </w:r>
          </w:p>
        </w:tc>
        <w:tc>
          <w:tcPr>
            <w:tcW w:type="dxa" w:w="1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Rejected</w:t>
            </w:r>
          </w:p>
        </w:tc>
      </w:tr>
      <w:tr>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PyMuPDF (fitz)</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Very fast, handles complex PDFs well</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AGPL licence — restriction for commercial use</w:t>
            </w:r>
          </w:p>
        </w:tc>
        <w:tc>
          <w:tcPr>
            <w:tcW w:type="dxa" w:w="11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Rejected</w:t>
            </w:r>
          </w:p>
        </w:tc>
      </w:tr>
    </w:tbl>
    <w:p>
      <w:pPr>
        <w:spacing w:after="120"/>
      </w:pPr>
      <w:r>
        <w:rPr>
          <w:b/>
          <w:bCs/>
          <w:color w:val="101828"/>
          <w:sz w:val="22"/>
          <w:szCs w:val="22"/>
        </w:rPr>
        <w:t xml:space="preserve">Reasoning: </w:t>
      </w:r>
      <w:r>
        <w:rPr>
          <w:color w:val="101828"/>
          <w:sz w:val="22"/>
          <w:szCs w:val="22"/>
        </w:rPr>
        <w:t xml:space="preserve">EU Regulation 261/2004 is a structured text document with no tables or complex layout. pypdf extracts the text correctly and reliably. pdfplumber and PyMuPDF provide capabilities that are not needed for this source document, and PyMuPDF's licence creates a potential constraint.</w:t>
      </w:r>
    </w:p>
    <w:p>
      <w:pPr>
        <w:spacing w:after="160"/>
      </w:pPr>
    </w:p>
    <w:p>
      <w:pPr>
        <w:pStyle w:val="Heading2"/>
        <w:spacing w:after="100" w:before="320"/>
        <w:rPr>
          <w:b/>
          <w:bCs/>
          <w:color w:val="003082"/>
          <w:sz w:val="24"/>
          <w:szCs w:val="24"/>
        </w:rPr>
      </w:pPr>
      <w:r>
        <w:t xml:space="preserve">5.3  LLM — OpenAI GPT-4o-mini</w:t>
      </w:r>
    </w:p>
    <w:p>
      <w:pPr>
        <w:spacing w:after="120"/>
      </w:pPr>
      <w:r>
        <w:rPr>
          <w:color w:val="101828"/>
          <w:sz w:val="22"/>
          <w:szCs w:val="22"/>
        </w:rPr>
        <w:t xml:space="preserve">A local model (e.g., Llama 3) was considered. It was rejected because:</w:t>
      </w:r>
    </w:p>
    <w:p>
      <w:pPr>
        <w:pStyle w:val="ListParagraph"/>
        <w:numPr>
          <w:ilvl w:val="0"/>
          <w:numId w:val="1"/>
        </w:numPr>
        <w:spacing w:after="80"/>
      </w:pPr>
      <w:r>
        <w:rPr>
          <w:color w:val="101828"/>
          <w:sz w:val="22"/>
          <w:szCs w:val="22"/>
        </w:rPr>
        <w:t xml:space="preserve">Instruction-following quality is lower on legal/formal text for models that fit on local hardware.</w:t>
      </w:r>
    </w:p>
    <w:p>
      <w:pPr>
        <w:pStyle w:val="ListParagraph"/>
        <w:numPr>
          <w:ilvl w:val="0"/>
          <w:numId w:val="1"/>
        </w:numPr>
        <w:spacing w:after="80"/>
      </w:pPr>
      <w:r>
        <w:rPr>
          <w:color w:val="101828"/>
          <w:sz w:val="22"/>
          <w:szCs w:val="22"/>
        </w:rPr>
        <w:t xml:space="preserve">The RAG system already constrains hallucination via the refusal mechanism and source grounding, so the privacy argument for a local model is weaker here.</w:t>
      </w:r>
    </w:p>
    <w:p>
      <w:pPr>
        <w:pStyle w:val="ListParagraph"/>
        <w:numPr>
          <w:ilvl w:val="0"/>
          <w:numId w:val="1"/>
        </w:numPr>
        <w:spacing w:after="80"/>
      </w:pPr>
      <w:r>
        <w:rPr>
          <w:color w:val="101828"/>
          <w:sz w:val="22"/>
          <w:szCs w:val="22"/>
        </w:rPr>
        <w:t xml:space="preserve">GPT-4o-mini provides a good quality/cost ratio for a semester-scale project.</w:t>
      </w:r>
    </w:p>
    <w:p>
      <w:pPr>
        <w:spacing w:after="120"/>
      </w:pPr>
      <w:r>
        <w:rPr>
          <w:color w:val="101828"/>
          <w:sz w:val="22"/>
          <w:szCs w:val="22"/>
        </w:rPr>
        <w:t xml:space="preserve">If the system were deployed commercially, a local model would be revisited for data-privacy reasons.</w:t>
      </w:r>
    </w:p>
    <w:p>
      <w:pPr>
        <w:spacing w:after="160"/>
      </w:pPr>
    </w:p>
    <w:p>
      <w:pPr>
        <w:pStyle w:val="Heading1"/>
        <w:spacing w:after="120" w:before="400"/>
        <w:rPr>
          <w:b/>
          <w:bCs/>
          <w:color w:val="003082"/>
          <w:sz w:val="28"/>
          <w:szCs w:val="28"/>
        </w:rPr>
      </w:pPr>
      <w:r>
        <w:t xml:space="preserve">6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400"/>
        <w:gridCol w:w="1400"/>
        <w:gridCol w:w="1200"/>
        <w:gridCol w:w="4360"/>
      </w:tblGrid>
      <w:tr>
        <w:tc>
          <w:tcPr>
            <w:tcW w:type="dxa" w:w="24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Risk</w:t>
            </w:r>
          </w:p>
        </w:tc>
        <w:tc>
          <w:tcPr>
            <w:tcW w:type="dxa" w:w="14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Likelihood</w:t>
            </w:r>
          </w:p>
        </w:tc>
        <w:tc>
          <w:tcPr>
            <w:tcW w:type="dxa" w:w="12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Impact</w:t>
            </w:r>
          </w:p>
        </w:tc>
        <w:tc>
          <w:tcPr>
            <w:tcW w:type="dxa" w:w="43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Mitigation</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Regulation 261/2004 is updated</w:t>
            </w:r>
          </w:p>
        </w:tc>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Low (EU law is stable)</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High</w:t>
            </w:r>
          </w:p>
        </w:tc>
        <w:tc>
          <w:tcPr>
            <w:tcW w:type="dxa" w:w="43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Knowledge base is document-based; updating = re-ingest the new PDF.</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Chunk splits at article boundary</w:t>
            </w:r>
          </w:p>
        </w:tc>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Low (structure-based chunking used)</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High</w:t>
            </w:r>
          </w:p>
        </w:tc>
        <w:tc>
          <w:tcPr>
            <w:tcW w:type="dxa" w:w="43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Verified by inspecting all chunk boundaries before ingestion.</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Hallucination despite RAG</w:t>
            </w:r>
          </w:p>
        </w:tc>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Medium</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High</w:t>
            </w:r>
          </w:p>
        </w:tc>
        <w:tc>
          <w:tcPr>
            <w:tcW w:type="dxa" w:w="43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Refusal mechanism (FR-02) + human review (FR-03) as double safety net.</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Query outside regulation scope</w:t>
            </w:r>
          </w:p>
        </w:tc>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Medium</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Medium</w:t>
            </w:r>
          </w:p>
        </w:tc>
        <w:tc>
          <w:tcPr>
            <w:tcW w:type="dxa" w:w="43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Similarity threshold refuses off-topic queries.</w:t>
            </w:r>
          </w:p>
        </w:tc>
      </w:tr>
      <w:tr>
        <w:tc>
          <w:tcPr>
            <w:tcW w:type="dxa" w:w="2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Embedding model quality on legal jargon</w:t>
            </w:r>
          </w:p>
        </w:tc>
        <w:tc>
          <w:tcPr>
            <w:tcW w:type="dxa" w:w="14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Medium</w:t>
            </w:r>
          </w:p>
        </w:tc>
        <w:tc>
          <w:tcPr>
            <w:tcW w:type="dxa" w:w="1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Medium</w:t>
            </w:r>
          </w:p>
        </w:tc>
        <w:tc>
          <w:tcPr>
            <w:tcW w:type="dxa" w:w="43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Validated via retrieval hit-rate experiment (Exp. 1).</w:t>
            </w:r>
          </w:p>
        </w:tc>
      </w:tr>
    </w:tbl>
    <w:p>
      <w:pPr>
        <w:spacing w:after="160"/>
      </w:pPr>
    </w:p>
    <w:p>
      <w:pPr>
        <w:pStyle w:val="Heading1"/>
        <w:spacing w:after="120" w:before="400"/>
        <w:rPr>
          <w:b/>
          <w:bCs/>
          <w:color w:val="003082"/>
          <w:sz w:val="28"/>
          <w:szCs w:val="28"/>
        </w:rPr>
      </w:pPr>
      <w:r>
        <w:t xml:space="preserve">7  Summary of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200"/>
        <w:gridCol w:w="2000"/>
        <w:gridCol w:w="2600"/>
        <w:gridCol w:w="2560"/>
      </w:tblGrid>
      <w:tr>
        <w:tc>
          <w:tcPr>
            <w:tcW w:type="dxa" w:w="22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Decision</w:t>
            </w:r>
          </w:p>
        </w:tc>
        <w:tc>
          <w:tcPr>
            <w:tcW w:type="dxa" w:w="20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Choice made</w:t>
            </w:r>
          </w:p>
        </w:tc>
        <w:tc>
          <w:tcPr>
            <w:tcW w:type="dxa" w:w="260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Key criterion</w:t>
            </w:r>
          </w:p>
        </w:tc>
        <w:tc>
          <w:tcPr>
            <w:tcW w:type="dxa" w:w="2560"/>
            <w:tcBorders>
              <w:top w:val="single" w:color="D0D5DD" w:sz="2"/>
              <w:left w:val="single" w:color="D0D5DD" w:sz="2"/>
              <w:bottom w:val="single" w:color="D0D5DD" w:sz="2"/>
              <w:right w:val="single" w:color="D0D5DD" w:sz="2"/>
            </w:tcBorders>
            <w:shd w:fill="003082" w:val="clear"/>
          </w:tcPr>
          <w:p>
            <w:pPr>
              <w:spacing w:after="60" w:before="60"/>
            </w:pPr>
            <w:r>
              <w:rPr>
                <w:b/>
                <w:bCs/>
                <w:color w:val="FFFFFF"/>
                <w:sz w:val="20"/>
                <w:szCs w:val="20"/>
              </w:rPr>
              <w:t xml:space="preserve">Evidence</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GenAI approach</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RAG</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Source grounding + no retraining on updates</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Landscape comparison (Section 3)</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RAG variant</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Naive RAG + re-ranking if needed</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Simplicity first; advance if accuracy &lt; 80%</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See Section 3.2</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Embedding model</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[Winner from Exp. 1]</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Top-3 hit-rate, local-only</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Experiment 1</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Chunking strategy</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Document structure-based</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Legal article integrity</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Experiment 2</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Retrieval depth</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Top-3</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Accuracy vs noise balance</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Experiment 3</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Similarity threshold</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0.70</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False positive/negative balance</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Experiment 4</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Vector DB</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ChromaDB</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Local, free, Python-native</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Section 5.1</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PDF parser</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pypdf</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Sufficient for clean text PDF</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Section 5.2</w:t>
            </w:r>
          </w:p>
        </w:tc>
      </w:tr>
      <w:tr>
        <w:tc>
          <w:tcPr>
            <w:tcW w:type="dxa" w:w="22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LLM</w:t>
            </w:r>
          </w:p>
        </w:tc>
        <w:tc>
          <w:tcPr>
            <w:tcW w:type="dxa" w:w="20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GPT-4o-mini</w:t>
            </w:r>
          </w:p>
        </w:tc>
        <w:tc>
          <w:tcPr>
            <w:tcW w:type="dxa" w:w="260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Quality/cost for project scale</w:t>
            </w:r>
          </w:p>
        </w:tc>
        <w:tc>
          <w:tcPr>
            <w:tcW w:type="dxa" w:w="2560"/>
            <w:tcBorders>
              <w:top w:val="single" w:color="D0D5DD" w:sz="2"/>
              <w:left w:val="single" w:color="D0D5DD" w:sz="2"/>
              <w:bottom w:val="single" w:color="D0D5DD" w:sz="2"/>
              <w:right w:val="single" w:color="D0D5DD" w:sz="2"/>
            </w:tcBorders>
            <w:shd w:fill="FFFFFF" w:val="clear"/>
          </w:tcPr>
          <w:p>
            <w:pPr>
              <w:spacing w:after="60" w:before="60"/>
            </w:pPr>
            <w:r>
              <w:rPr>
                <w:b w:val="false"/>
                <w:bCs w:val="false"/>
                <w:color w:val="101828"/>
                <w:sz w:val="20"/>
                <w:szCs w:val="20"/>
              </w:rPr>
              <w:t xml:space="preserve">Section 5.3</w:t>
            </w:r>
          </w:p>
        </w:tc>
      </w:tr>
    </w:tbl>
    <w:p>
      <w:pPr>
        <w:spacing w:after="160"/>
      </w:pPr>
    </w:p>
    <w:p>
      <w:pPr>
        <w:spacing w:before="400"/>
      </w:pPr>
      <w:r>
        <w:rPr>
          <w:i/>
          <w:iCs/>
          <w:color w:val="667085"/>
          <w:sz w:val="20"/>
          <w:szCs w:val="20"/>
        </w:rPr>
        <w:t xml:space="preserve">This document was produced as part of the Individual Project S4 — Fontys ICT, Applied Generative AI track. Experiment results marked [X] are to be filled in from actual benchmark runs.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2026-09-23T14:02:41.625Z</dcterms:created>
  <dcterms:modified xsi:type="dcterms:W3CDTF">2026-09-23T14:02:41.637Z</dcterms:modified>
</cp:coreProperties>
</file>

<file path=docProps/custom.xml><?xml version="1.0" encoding="utf-8"?>
<Properties xmlns="http://schemas.openxmlformats.org/officeDocument/2006/custom-properties" xmlns:vt="http://schemas.openxmlformats.org/officeDocument/2006/docPropsVTypes"/>
</file>