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003082"/>
          <w:sz w:val="56"/>
          <w:szCs w:val="56"/>
        </w:rPr>
        <w:t xml:space="preserve">Decision Log</w:t>
      </w:r>
    </w:p>
    <w:p>
      <w:pPr>
        <w:spacing w:after="60"/>
      </w:pPr>
      <w:r>
        <w:rPr>
          <w:color w:val="667085"/>
          <w:sz w:val="24"/>
          <w:szCs w:val="24"/>
        </w:rPr>
        <w:t xml:space="preserve">KLM Customer-Service RAG Assistant  ·  Individual Project S4</w:t>
      </w:r>
    </w:p>
    <w:p>
      <w:pPr>
        <w:spacing w:after="300"/>
      </w:pPr>
      <w:r>
        <w:rPr>
          <w:i/>
          <w:iCs/>
          <w:color w:val="667085"/>
          <w:sz w:val="20"/>
          <w:szCs w:val="20"/>
        </w:rPr>
        <w:t xml:space="preserve">One entry per significant technical decision. Fill in a new entry every time you face a choice that could have gone differently.</w:t>
      </w:r>
    </w:p>
    <w:p>
      <w:pPr>
        <w:pBdr>
          <w:bottom w:val="single" w:color="D0D5DD" w:sz="4"/>
        </w:pBdr>
        <w:spacing w:after="60" w:before="60"/>
      </w:pPr>
    </w:p>
    <w:p>
      <w:pPr>
        <w:spacing w:after="140"/>
      </w:pPr>
    </w:p>
    <w:p>
      <w:pPr>
        <w:pStyle w:val="Heading1"/>
        <w:spacing w:after="100" w:before="360"/>
        <w:rPr>
          <w:b/>
          <w:bCs/>
          <w:color w:val="003082"/>
          <w:sz w:val="28"/>
          <w:szCs w:val="28"/>
        </w:rPr>
      </w:pPr>
      <w:r>
        <w:t xml:space="preserve">How to Use This Log</w:t>
      </w:r>
    </w:p>
    <w:p>
      <w:pPr>
        <w:spacing w:after="100"/>
      </w:pPr>
      <w:r>
        <w:rPr>
          <w:color w:val="101828"/>
          <w:sz w:val="22"/>
          <w:szCs w:val="22"/>
        </w:rPr>
        <w:t xml:space="preserve">Write an entry every time you hit a decision point where the outcome could have gone differently and would have changed your project. Aim for 8–12 entries across the semester, covering all five learning outcomes.</w:t>
      </w:r>
    </w:p>
    <w:p>
      <w:pPr>
        <w:spacing w:after="100"/>
      </w:pPr>
      <w:r>
        <w:rPr>
          <w:color w:val="101828"/>
          <w:sz w:val="22"/>
          <w:szCs w:val="22"/>
        </w:rPr>
        <w:t xml:space="preserve">Each entry should take 30–45 minutes. Write it while the decision is fresh — do not reconstruct it from memory weeks later.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600"/>
        <w:gridCol w:w="3880"/>
        <w:gridCol w:w="3880"/>
      </w:tblGrid>
      <w:tr>
        <w:tc>
          <w:tcPr>
            <w:tcW w:type="dxa" w:w="1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LO</w:t>
            </w:r>
          </w:p>
        </w:tc>
        <w:tc>
          <w:tcPr>
            <w:tcW w:type="dxa" w:w="388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Typical decision type</w:t>
            </w:r>
          </w:p>
        </w:tc>
        <w:tc>
          <w:tcPr>
            <w:tcW w:type="dxa" w:w="388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Example from your project</w:t>
            </w:r>
          </w:p>
        </w:tc>
      </w:tr>
      <w:tr>
        <w:tc>
          <w:tcPr>
            <w:tcW w:type="dxa" w:w="1600"/>
            <w:tcBorders>
              <w:top w:val="single" w:color="D0D5DD" w:sz="2"/>
              <w:left w:val="single" w:color="D0D5DD" w:sz="2"/>
              <w:bottom w:val="single" w:color="D0D5DD" w:sz="2"/>
              <w:right w:val="single" w:color="D0D5DD" w:sz="2"/>
            </w:tcBorders>
            <w:shd w:fill="EFF4FF" w:val="clear"/>
          </w:tcPr>
          <w:p>
            <w:pPr>
              <w:spacing w:after="60" w:before="60"/>
            </w:pPr>
            <w:r>
              <w:rPr>
                <w:b/>
                <w:bCs/>
                <w:color w:val="003082"/>
                <w:sz w:val="20"/>
                <w:szCs w:val="20"/>
              </w:rPr>
              <w:t xml:space="preserve">Analysing</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color w:val="101828"/>
                <w:sz w:val="20"/>
                <w:szCs w:val="20"/>
              </w:rPr>
              <w:t xml:space="preserve">Which technical approach / model / strategy to use</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Embedding model, chunking strategy, retrieval k, threshold</w:t>
            </w:r>
          </w:p>
        </w:tc>
      </w:tr>
      <w:tr>
        <w:tc>
          <w:tcPr>
            <w:tcW w:type="dxa" w:w="1600"/>
            <w:tcBorders>
              <w:top w:val="single" w:color="D0D5DD" w:sz="2"/>
              <w:left w:val="single" w:color="D0D5DD" w:sz="2"/>
              <w:bottom w:val="single" w:color="D0D5DD" w:sz="2"/>
              <w:right w:val="single" w:color="D0D5DD" w:sz="2"/>
            </w:tcBorders>
            <w:shd w:fill="EFF4FF" w:val="clear"/>
          </w:tcPr>
          <w:p>
            <w:pPr>
              <w:spacing w:after="60" w:before="60"/>
            </w:pPr>
            <w:r>
              <w:rPr>
                <w:b/>
                <w:bCs/>
                <w:color w:val="003082"/>
                <w:sz w:val="20"/>
                <w:szCs w:val="20"/>
              </w:rPr>
              <w:t xml:space="preserve">Designing</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color w:val="101828"/>
                <w:sz w:val="20"/>
                <w:szCs w:val="20"/>
              </w:rPr>
              <w:t xml:space="preserve">Architecture and API design choices</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Why FastAPI, ChromaDB schema design, sequence flow</w:t>
            </w:r>
          </w:p>
        </w:tc>
      </w:tr>
      <w:tr>
        <w:tc>
          <w:tcPr>
            <w:tcW w:type="dxa" w:w="1600"/>
            <w:tcBorders>
              <w:top w:val="single" w:color="D0D5DD" w:sz="2"/>
              <w:left w:val="single" w:color="D0D5DD" w:sz="2"/>
              <w:bottom w:val="single" w:color="D0D5DD" w:sz="2"/>
              <w:right w:val="single" w:color="D0D5DD" w:sz="2"/>
            </w:tcBorders>
            <w:shd w:fill="EFF4FF" w:val="clear"/>
          </w:tcPr>
          <w:p>
            <w:pPr>
              <w:spacing w:after="60" w:before="60"/>
            </w:pPr>
            <w:r>
              <w:rPr>
                <w:b/>
                <w:bCs/>
                <w:color w:val="003082"/>
                <w:sz w:val="20"/>
                <w:szCs w:val="20"/>
              </w:rPr>
              <w:t xml:space="preserve">Realising</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color w:val="101828"/>
                <w:sz w:val="20"/>
                <w:szCs w:val="20"/>
              </w:rPr>
              <w:t xml:space="preserve">Implementation trade-offs and fixes when something broke</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Latency too high → changed approach; library limitation</w:t>
            </w:r>
          </w:p>
        </w:tc>
      </w:tr>
      <w:tr>
        <w:tc>
          <w:tcPr>
            <w:tcW w:type="dxa" w:w="1600"/>
            <w:tcBorders>
              <w:top w:val="single" w:color="D0D5DD" w:sz="2"/>
              <w:left w:val="single" w:color="D0D5DD" w:sz="2"/>
              <w:bottom w:val="single" w:color="D0D5DD" w:sz="2"/>
              <w:right w:val="single" w:color="D0D5DD" w:sz="2"/>
            </w:tcBorders>
            <w:shd w:fill="EFF4FF" w:val="clear"/>
          </w:tcPr>
          <w:p>
            <w:pPr>
              <w:spacing w:after="60" w:before="60"/>
            </w:pPr>
            <w:r>
              <w:rPr>
                <w:b/>
                <w:bCs/>
                <w:color w:val="003082"/>
                <w:sz w:val="20"/>
                <w:szCs w:val="20"/>
              </w:rPr>
              <w:t xml:space="preserve">Managing &amp; Control</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color w:val="101828"/>
                <w:sz w:val="20"/>
                <w:szCs w:val="20"/>
              </w:rPr>
              <w:t xml:space="preserve">How to measure and monitor quality</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Which metric to use, what test set covers</w:t>
            </w:r>
          </w:p>
        </w:tc>
      </w:tr>
      <w:tr>
        <w:tc>
          <w:tcPr>
            <w:tcW w:type="dxa" w:w="1600"/>
            <w:tcBorders>
              <w:top w:val="single" w:color="D0D5DD" w:sz="2"/>
              <w:left w:val="single" w:color="D0D5DD" w:sz="2"/>
              <w:bottom w:val="single" w:color="D0D5DD" w:sz="2"/>
              <w:right w:val="single" w:color="D0D5DD" w:sz="2"/>
            </w:tcBorders>
            <w:shd w:fill="EFF4FF" w:val="clear"/>
          </w:tcPr>
          <w:p>
            <w:pPr>
              <w:spacing w:after="60" w:before="60"/>
            </w:pPr>
            <w:r>
              <w:rPr>
                <w:b/>
                <w:bCs/>
                <w:color w:val="003082"/>
                <w:sz w:val="20"/>
                <w:szCs w:val="20"/>
              </w:rPr>
              <w:t xml:space="preserve">Advising</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color w:val="101828"/>
                <w:sz w:val="20"/>
                <w:szCs w:val="20"/>
              </w:rPr>
              <w:t xml:space="preserve">How to communicate technical choices to stakeholders</w:t>
            </w:r>
          </w:p>
        </w:tc>
        <w:tc>
          <w:tcPr>
            <w:tcW w:type="dxa" w:w="388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How to explain hallucination risk to a non-technical reviewer</w:t>
            </w:r>
          </w:p>
        </w:tc>
      </w:tr>
    </w:tbl>
    <w:p>
      <w:pPr>
        <w:spacing w:after="200"/>
      </w:pPr>
    </w:p>
    <w:p>
      <w:pPr>
        <w:pStyle w:val="Heading1"/>
        <w:spacing w:after="100" w:before="360"/>
        <w:rPr>
          <w:b/>
          <w:bCs/>
          <w:color w:val="003082"/>
          <w:sz w:val="28"/>
          <w:szCs w:val="28"/>
        </w:rPr>
      </w:pPr>
      <w:r>
        <w:t xml:space="preserve">Decision Log Entry Template</w:t>
      </w:r>
    </w:p>
    <w:p>
      <w:pPr>
        <w:spacing w:after="100"/>
      </w:pPr>
      <w:r>
        <w:rPr>
          <w:color w:val="101828"/>
          <w:sz w:val="22"/>
          <w:szCs w:val="22"/>
        </w:rPr>
        <w:t xml:space="preserve">Copy this section for each new entry. Keep completed entries in reverse chronological order (newest first).</w:t>
      </w:r>
    </w:p>
    <w:p>
      <w:pPr>
        <w:pBdr>
          <w:bottom w:val="single" w:color="D0D5DD" w:sz="4"/>
        </w:pBdr>
        <w:spacing w:after="60" w:before="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400"/>
        <w:gridCol w:w="6960"/>
      </w:tblGrid>
      <w:tr>
        <w:tc>
          <w:tcPr>
            <w:tcW w:type="dxa" w:w="2400"/>
            <w:tcBorders>
              <w:top w:val="single" w:color="D0D5DD" w:sz="2"/>
              <w:left w:val="single" w:color="D0D5DD" w:sz="2"/>
              <w:bottom w:val="single" w:color="D0D5DD" w:sz="2"/>
              <w:right w:val="single" w:color="D0D5DD" w:sz="2"/>
            </w:tcBorders>
            <w:shd w:fill="F2F4F7" w:val="clear"/>
          </w:tcPr>
          <w:p>
            <w:pPr>
              <w:spacing w:after="60" w:before="60"/>
            </w:pPr>
            <w:r>
              <w:rPr>
                <w:b/>
                <w:bCs/>
                <w:color w:val="101828"/>
                <w:sz w:val="20"/>
                <w:szCs w:val="20"/>
              </w:rPr>
              <w:t xml:space="preserve">Entry #</w:t>
            </w:r>
          </w:p>
        </w:tc>
        <w:tc>
          <w:tcPr>
            <w:tcW w:type="dxa" w:w="696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e.g. DL-01</w:t>
            </w:r>
          </w:p>
        </w:tc>
      </w:tr>
      <w:tr>
        <w:tc>
          <w:tcPr>
            <w:tcW w:type="dxa" w:w="2400"/>
            <w:tcBorders>
              <w:top w:val="single" w:color="D0D5DD" w:sz="2"/>
              <w:left w:val="single" w:color="D0D5DD" w:sz="2"/>
              <w:bottom w:val="single" w:color="D0D5DD" w:sz="2"/>
              <w:right w:val="single" w:color="D0D5DD" w:sz="2"/>
            </w:tcBorders>
            <w:shd w:fill="F2F4F7" w:val="clear"/>
          </w:tcPr>
          <w:p>
            <w:pPr>
              <w:spacing w:after="60" w:before="60"/>
            </w:pPr>
            <w:r>
              <w:rPr>
                <w:b/>
                <w:bCs/>
                <w:color w:val="101828"/>
                <w:sz w:val="20"/>
                <w:szCs w:val="20"/>
              </w:rPr>
              <w:t xml:space="preserve">Date</w:t>
            </w:r>
          </w:p>
        </w:tc>
        <w:tc>
          <w:tcPr>
            <w:tcW w:type="dxa" w:w="696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DD-MM-YYYY</w:t>
            </w:r>
          </w:p>
        </w:tc>
      </w:tr>
      <w:tr>
        <w:tc>
          <w:tcPr>
            <w:tcW w:type="dxa" w:w="2400"/>
            <w:tcBorders>
              <w:top w:val="single" w:color="D0D5DD" w:sz="2"/>
              <w:left w:val="single" w:color="D0D5DD" w:sz="2"/>
              <w:bottom w:val="single" w:color="D0D5DD" w:sz="2"/>
              <w:right w:val="single" w:color="D0D5DD" w:sz="2"/>
            </w:tcBorders>
            <w:shd w:fill="F2F4F7" w:val="clear"/>
          </w:tcPr>
          <w:p>
            <w:pPr>
              <w:spacing w:after="60" w:before="60"/>
            </w:pPr>
            <w:r>
              <w:rPr>
                <w:b/>
                <w:bCs/>
                <w:color w:val="101828"/>
                <w:sz w:val="20"/>
                <w:szCs w:val="20"/>
              </w:rPr>
              <w:t xml:space="preserve">Learning outcome</w:t>
            </w:r>
          </w:p>
        </w:tc>
        <w:tc>
          <w:tcPr>
            <w:tcW w:type="dxa" w:w="696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Analysing / Designing / Realising / Managing &amp; Control / Advising</w:t>
            </w:r>
          </w:p>
        </w:tc>
      </w:tr>
      <w:tr>
        <w:tc>
          <w:tcPr>
            <w:tcW w:type="dxa" w:w="2400"/>
            <w:tcBorders>
              <w:top w:val="single" w:color="D0D5DD" w:sz="2"/>
              <w:left w:val="single" w:color="D0D5DD" w:sz="2"/>
              <w:bottom w:val="single" w:color="D0D5DD" w:sz="2"/>
              <w:right w:val="single" w:color="D0D5DD" w:sz="2"/>
            </w:tcBorders>
            <w:shd w:fill="F2F4F7" w:val="clear"/>
          </w:tcPr>
          <w:p>
            <w:pPr>
              <w:spacing w:after="60" w:before="60"/>
            </w:pPr>
            <w:r>
              <w:rPr>
                <w:b/>
                <w:bCs/>
                <w:color w:val="101828"/>
                <w:sz w:val="20"/>
                <w:szCs w:val="20"/>
              </w:rPr>
              <w:t xml:space="preserve">Decision title</w:t>
            </w:r>
          </w:p>
        </w:tc>
        <w:tc>
          <w:tcPr>
            <w:tcW w:type="dxa" w:w="6960"/>
            <w:tcBorders>
              <w:top w:val="single" w:color="D0D5DD" w:sz="2"/>
              <w:left w:val="single" w:color="D0D5DD" w:sz="2"/>
              <w:bottom w:val="single" w:color="D0D5DD" w:sz="2"/>
              <w:right w:val="single" w:color="D0D5DD" w:sz="2"/>
            </w:tcBorders>
            <w:shd w:fill="FFFFFF" w:val="clear"/>
          </w:tcPr>
          <w:p>
            <w:pPr>
              <w:spacing w:after="60" w:before="60"/>
            </w:pPr>
            <w:r>
              <w:rPr>
                <w:i/>
                <w:iCs/>
                <w:color w:val="667085"/>
                <w:sz w:val="20"/>
                <w:szCs w:val="20"/>
              </w:rPr>
              <w:t xml:space="preserve">Short name for this decision (e.g. "Embedding model selection")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00"/>
        </w:tblCellMar>
      </w:tblPr>
      <w:tblGrid>
        <w:gridCol w:w="9360"/>
      </w:tblGrid>
      <w:tr>
        <w:tc>
          <w:tcPr>
            <w:tcW w:type="dxa" w:w="9360"/>
            <w:tcBorders>
              <w:top w:val="thick" w:color="003082" w:sz="8"/>
              <w:left w:val="single" w:color="D0D5DD" w:sz="2"/>
              <w:bottom w:val="single" w:color="D0D5DD" w:sz="2"/>
              <w:right w:val="single" w:color="D0D5DD" w:sz="2"/>
            </w:tcBorders>
            <w:shd w:fill="EFF4FF" w:val="clear"/>
          </w:tcPr>
          <w:p>
            <w:pPr>
              <w:spacing w:after="80" w:before="80"/>
            </w:pPr>
            <w:r>
              <w:rPr>
                <w:b/>
                <w:bCs/>
                <w:color w:val="003082"/>
                <w:sz w:val="22"/>
                <w:szCs w:val="22"/>
              </w:rPr>
              <w:t xml:space="preserve">1 ·  Context  —  Why does this decision exist right now?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What triggered this decision?</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Describe the situation. What are you trying to do? What is blocked until you make this choice? Give enough context that someone unfamiliar with your project would understand why this question exists.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00"/>
        </w:tblCellMar>
      </w:tblPr>
      <w:tblGrid>
        <w:gridCol w:w="9360"/>
      </w:tblGrid>
      <w:tr>
        <w:tc>
          <w:tcPr>
            <w:tcW w:type="dxa" w:w="9360"/>
            <w:tcBorders>
              <w:top w:val="thick" w:color="003082" w:sz="8"/>
              <w:left w:val="single" w:color="D0D5DD" w:sz="2"/>
              <w:bottom w:val="single" w:color="D0D5DD" w:sz="2"/>
              <w:right w:val="single" w:color="D0D5DD" w:sz="2"/>
            </w:tcBorders>
            <w:shd w:fill="EFF4FF" w:val="clear"/>
          </w:tcPr>
          <w:p>
            <w:pPr>
              <w:spacing w:after="80" w:before="80"/>
            </w:pPr>
            <w:r>
              <w:rPr>
                <w:b/>
                <w:bCs/>
                <w:color w:val="003082"/>
                <w:sz w:val="22"/>
                <w:szCs w:val="22"/>
              </w:rPr>
              <w:t xml:space="preserve">2 ·  Criteria  —  What makes a good decision here?</w:t>
            </w:r>
          </w:p>
        </w:tc>
      </w:tr>
    </w:tbl>
    <w:p>
      <w:pPr>
        <w:spacing w:after="40"/>
      </w:pPr>
    </w:p>
    <w:p>
      <w:pPr>
        <w:spacing w:after="100"/>
      </w:pPr>
      <w:r>
        <w:rPr>
          <w:color w:val="101828"/>
          <w:sz w:val="22"/>
          <w:szCs w:val="22"/>
        </w:rPr>
        <w:t xml:space="preserve">List 2–4 specific, testable criteria. "Fast" is not a criterion. "Inference time under 500ms per query on local hardware"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Criterion 1</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e.g. Retrieval hit-rate (Top-3 precision) above 80% on the 10-question test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Criterion 2</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e.g. Must run locally — no external API calls during retrieval.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Criterion 3 (optional)</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e.g. Inference time per batch under 10 seconds.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00"/>
        </w:tblCellMar>
      </w:tblPr>
      <w:tblGrid>
        <w:gridCol w:w="9360"/>
      </w:tblGrid>
      <w:tr>
        <w:tc>
          <w:tcPr>
            <w:tcW w:type="dxa" w:w="9360"/>
            <w:tcBorders>
              <w:top w:val="thick" w:color="003082" w:sz="8"/>
              <w:left w:val="single" w:color="D0D5DD" w:sz="2"/>
              <w:bottom w:val="single" w:color="D0D5DD" w:sz="2"/>
              <w:right w:val="single" w:color="D0D5DD" w:sz="2"/>
            </w:tcBorders>
            <w:shd w:fill="EFF4FF" w:val="clear"/>
          </w:tcPr>
          <w:p>
            <w:pPr>
              <w:spacing w:after="80" w:before="80"/>
            </w:pPr>
            <w:r>
              <w:rPr>
                <w:b/>
                <w:bCs/>
                <w:color w:val="003082"/>
                <w:sz w:val="22"/>
                <w:szCs w:val="22"/>
              </w:rPr>
              <w:t xml:space="preserve">3 ·  Options considered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200"/>
        <w:gridCol w:w="3580"/>
        <w:gridCol w:w="3580"/>
      </w:tblGrid>
      <w:tr>
        <w:tc>
          <w:tcPr>
            <w:tcW w:type="dxa" w:w="22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Option</w:t>
            </w:r>
          </w:p>
        </w:tc>
        <w:tc>
          <w:tcPr>
            <w:tcW w:type="dxa" w:w="358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Pros</w:t>
            </w:r>
          </w:p>
        </w:tc>
        <w:tc>
          <w:tcPr>
            <w:tcW w:type="dxa" w:w="358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Cons</w:t>
            </w:r>
          </w:p>
        </w:tc>
      </w:tr>
      <w:tr>
        <w:tc>
          <w:tcPr>
            <w:tcW w:type="dxa" w:w="220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Option A:</w:t>
            </w:r>
          </w:p>
        </w:tc>
        <w:tc>
          <w:tcPr>
            <w:tcW w:type="dxa" w:w="358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
            </w:r>
          </w:p>
        </w:tc>
        <w:tc>
          <w:tcPr>
            <w:tcW w:type="dxa" w:w="358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
            </w:r>
          </w:p>
        </w:tc>
      </w:tr>
      <w:tr>
        <w:tc>
          <w:tcPr>
            <w:tcW w:type="dxa" w:w="220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Option B:</w:t>
            </w:r>
          </w:p>
        </w:tc>
        <w:tc>
          <w:tcPr>
            <w:tcW w:type="dxa" w:w="358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
            </w:r>
          </w:p>
        </w:tc>
        <w:tc>
          <w:tcPr>
            <w:tcW w:type="dxa" w:w="358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
            </w:r>
          </w:p>
        </w:tc>
      </w:tr>
      <w:tr>
        <w:tc>
          <w:tcPr>
            <w:tcW w:type="dxa" w:w="220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Option C (optional):</w:t>
            </w:r>
          </w:p>
        </w:tc>
        <w:tc>
          <w:tcPr>
            <w:tcW w:type="dxa" w:w="358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
            </w:r>
          </w:p>
        </w:tc>
        <w:tc>
          <w:tcPr>
            <w:tcW w:type="dxa" w:w="3580"/>
            <w:tcBorders>
              <w:top w:val="single" w:color="D0D5DD" w:sz="2"/>
              <w:left w:val="single" w:color="D0D5DD" w:sz="2"/>
              <w:bottom w:val="single" w:color="D0D5DD" w:sz="2"/>
              <w:right w:val="single" w:color="D0D5DD" w:sz="2"/>
            </w:tcBorders>
            <w:shd w:fill="FFFFFF" w:val="clear"/>
          </w:tcPr>
          <w:p>
            <w:pPr>
              <w:spacing w:after="80" w:before="60"/>
            </w:pPr>
            <w:r>
              <w:rPr>
                <w:i/>
                <w:iCs/>
                <w:color w:val="667085"/>
                <w:sz w:val="20"/>
                <w:szCs w:val="20"/>
              </w:rPr>
              <w:t xml:space="preserve"/>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00"/>
        </w:tblCellMar>
      </w:tblPr>
      <w:tblGrid>
        <w:gridCol w:w="9360"/>
      </w:tblGrid>
      <w:tr>
        <w:tc>
          <w:tcPr>
            <w:tcW w:type="dxa" w:w="9360"/>
            <w:tcBorders>
              <w:top w:val="thick" w:color="003082" w:sz="8"/>
              <w:left w:val="single" w:color="D0D5DD" w:sz="2"/>
              <w:bottom w:val="single" w:color="D0D5DD" w:sz="2"/>
              <w:right w:val="single" w:color="D0D5DD" w:sz="2"/>
            </w:tcBorders>
            <w:shd w:fill="EFF4FF" w:val="clear"/>
          </w:tcPr>
          <w:p>
            <w:pPr>
              <w:spacing w:after="80" w:before="80"/>
            </w:pPr>
            <w:r>
              <w:rPr>
                <w:b/>
                <w:bCs/>
                <w:color w:val="003082"/>
                <w:sz w:val="22"/>
                <w:szCs w:val="22"/>
              </w:rPr>
              <w:t xml:space="preserve">4 ·  What I decided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Decision (one sentence)</w:t>
            </w:r>
          </w:p>
        </w:tc>
      </w:tr>
      <w:tr>
        <w:tc>
          <w:tcPr>
            <w:tcW w:type="dxa" w:w="9360"/>
            <w:tcBorders>
              <w:top w:val="nil"/>
              <w:left w:val="single" w:color="D0D5DD" w:sz="2"/>
              <w:bottom w:val="single" w:color="D0D5DD" w:sz="2"/>
              <w:right w:val="single" w:color="D0D5DD" w:sz="2"/>
            </w:tcBorders>
            <w:shd w:fill="DCFCE7" w:val="clear"/>
          </w:tcPr>
          <w:p>
            <w:pPr>
              <w:spacing w:after="200" w:before="80"/>
            </w:pPr>
            <w:r>
              <w:rPr>
                <w:i/>
                <w:iCs/>
                <w:color w:val="667085"/>
                <w:sz w:val="21"/>
                <w:szCs w:val="21"/>
              </w:rPr>
              <w:t xml:space="preserve">e.g. "I will use all-MiniLM-L6-v2 as the embedding model."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00"/>
        </w:tblCellMar>
      </w:tblPr>
      <w:tblGrid>
        <w:gridCol w:w="9360"/>
      </w:tblGrid>
      <w:tr>
        <w:tc>
          <w:tcPr>
            <w:tcW w:type="dxa" w:w="9360"/>
            <w:tcBorders>
              <w:top w:val="thick" w:color="003082" w:sz="8"/>
              <w:left w:val="single" w:color="D0D5DD" w:sz="2"/>
              <w:bottom w:val="single" w:color="D0D5DD" w:sz="2"/>
              <w:right w:val="single" w:color="D0D5DD" w:sz="2"/>
            </w:tcBorders>
            <w:shd w:fill="EFF4FF" w:val="clear"/>
          </w:tcPr>
          <w:p>
            <w:pPr>
              <w:spacing w:after="80" w:before="80"/>
            </w:pPr>
            <w:r>
              <w:rPr>
                <w:b/>
                <w:bCs/>
                <w:color w:val="003082"/>
                <w:sz w:val="22"/>
                <w:szCs w:val="22"/>
              </w:rPr>
              <w:t xml:space="preserve">5 ·  Why  —  Evidence and reasoning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Method: How did you investigate this?</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Describe what you actually did. Did you run an experiment? Read documentation and compare? Benchmark multiple options? Be specific about your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Evidence: What did you find?</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Paste your results here — numbers, table, benchmark output. Link to your experiment notebook, script, or git commit. Example: "all-MiniLM hit 78%, bge-small hit 74%, OpenAI embeddings hit 81% but require API. Link: [github.com/...]"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Reasoning: Why does this evidence support your decision?</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Connect the evidence to your criteria. Explain the trade-off you made. If you chose a lower-scoring option for another reason (cost, licence, simplicity), explain that here.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00"/>
        </w:tblCellMar>
      </w:tblPr>
      <w:tblGrid>
        <w:gridCol w:w="9360"/>
      </w:tblGrid>
      <w:tr>
        <w:tc>
          <w:tcPr>
            <w:tcW w:type="dxa" w:w="9360"/>
            <w:tcBorders>
              <w:top w:val="thick" w:color="003082" w:sz="8"/>
              <w:left w:val="single" w:color="D0D5DD" w:sz="2"/>
              <w:bottom w:val="single" w:color="D0D5DD" w:sz="2"/>
              <w:right w:val="single" w:color="D0D5DD" w:sz="2"/>
            </w:tcBorders>
            <w:shd w:fill="EFF4FF" w:val="clear"/>
          </w:tcPr>
          <w:p>
            <w:pPr>
              <w:spacing w:after="80" w:before="80"/>
            </w:pPr>
            <w:r>
              <w:rPr>
                <w:b/>
                <w:bCs/>
                <w:color w:val="003082"/>
                <w:sz w:val="22"/>
                <w:szCs w:val="22"/>
              </w:rPr>
              <w:t xml:space="preserve">6 ·  Does it hold up?</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Check against your criteria</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Go through each criterion from Section 2 and state whether the chosen option meets it. If it does not fully meet one, acknowledge that and explain the trade-off.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Assumptions and risks</w:t>
            </w:r>
          </w:p>
        </w:tc>
      </w:tr>
      <w:tr>
        <w:tc>
          <w:tcPr>
            <w:tcW w:type="dxa" w:w="9360"/>
            <w:tcBorders>
              <w:top w:val="nil"/>
              <w:left w:val="single" w:color="D0D5DD" w:sz="2"/>
              <w:bottom w:val="single" w:color="D0D5DD" w:sz="2"/>
              <w:right w:val="single" w:color="D0D5DD" w:sz="2"/>
            </w:tcBorders>
            <w:shd w:fill="FEF3C7" w:val="clear"/>
          </w:tcPr>
          <w:p>
            <w:pPr>
              <w:spacing w:after="200" w:before="80"/>
            </w:pPr>
            <w:r>
              <w:rPr>
                <w:i/>
                <w:iCs/>
                <w:color w:val="667085"/>
                <w:sz w:val="21"/>
                <w:szCs w:val="21"/>
              </w:rPr>
              <w:t xml:space="preserve">What are you assuming? What could make this decision wrong later? e.g. "Assumes test queries are representative of real user queries. If users ask in Dutch rather than English, retrieval quality may drop."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What surprised me</w:t>
            </w:r>
          </w:p>
        </w:tc>
      </w:tr>
      <w:tr>
        <w:tc>
          <w:tcPr>
            <w:tcW w:type="dxa" w:w="9360"/>
            <w:tcBorders>
              <w:top w:val="nil"/>
              <w:left w:val="single" w:color="D0D5DD" w:sz="2"/>
              <w:bottom w:val="single" w:color="D0D5DD" w:sz="2"/>
              <w:right w:val="single" w:color="D0D5DD" w:sz="2"/>
            </w:tcBorders>
            <w:shd w:fill="FEF3C7" w:val="clear"/>
          </w:tcPr>
          <w:p>
            <w:pPr>
              <w:spacing w:after="200" w:before="80"/>
            </w:pPr>
            <w:r>
              <w:rPr>
                <w:i/>
                <w:iCs/>
                <w:color w:val="667085"/>
                <w:sz w:val="21"/>
                <w:szCs w:val="21"/>
              </w:rPr>
              <w:t xml:space="preserve">Did the result match what you expected? If something surprised you, explain it here — this shows genuine investigation.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00"/>
        </w:tblCellMar>
      </w:tblPr>
      <w:tblGrid>
        <w:gridCol w:w="9360"/>
      </w:tblGrid>
      <w:tr>
        <w:tc>
          <w:tcPr>
            <w:tcW w:type="dxa" w:w="9360"/>
            <w:tcBorders>
              <w:top w:val="thick" w:color="003082" w:sz="8"/>
              <w:left w:val="single" w:color="D0D5DD" w:sz="2"/>
              <w:bottom w:val="single" w:color="D0D5DD" w:sz="2"/>
              <w:right w:val="single" w:color="D0D5DD" w:sz="2"/>
            </w:tcBorders>
            <w:shd w:fill="EFF4FF" w:val="clear"/>
          </w:tcPr>
          <w:p>
            <w:pPr>
              <w:spacing w:after="80" w:before="80"/>
            </w:pPr>
            <w:r>
              <w:rPr>
                <w:b/>
                <w:bCs/>
                <w:color w:val="003082"/>
                <w:sz w:val="22"/>
                <w:szCs w:val="22"/>
              </w:rPr>
              <w:t xml:space="preserve">7 ·  What this unlocks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What can I now do that I could not before?</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e.g. "I can now build the indexing pipeline. The embedding model is fixed, so chunking experiments can begin."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9360"/>
      </w:tblGrid>
      <w:tr>
        <w:tc>
          <w:tcPr>
            <w:tcW w:type="dxa" w:w="9360"/>
            <w:tcBorders>
              <w:top w:val="single" w:color="003082" w:sz="2"/>
              <w:left w:val="single" w:color="003082" w:sz="2"/>
              <w:bottom w:val="nil"/>
              <w:right w:val="single" w:color="003082" w:sz="2"/>
            </w:tcBorders>
            <w:shd w:fill="003082" w:val="clear"/>
          </w:tcPr>
          <w:p>
            <w:pPr>
              <w:spacing w:after="40" w:before="40"/>
            </w:pPr>
            <w:r>
              <w:rPr>
                <w:b/>
                <w:bCs/>
                <w:color w:val="FFFFFF"/>
                <w:sz w:val="18"/>
                <w:szCs w:val="18"/>
              </w:rPr>
              <w:t xml:space="preserve">How will I know if this decision was actually good?</w:t>
            </w:r>
          </w:p>
        </w:tc>
      </w:tr>
      <w:tr>
        <w:tc>
          <w:tcPr>
            <w:tcW w:type="dxa" w:w="9360"/>
            <w:tcBorders>
              <w:top w:val="nil"/>
              <w:left w:val="single" w:color="D0D5DD" w:sz="2"/>
              <w:bottom w:val="single" w:color="D0D5DD" w:sz="2"/>
              <w:right w:val="single" w:color="D0D5DD" w:sz="2"/>
            </w:tcBorders>
            <w:shd w:fill="EFF4FF" w:val="clear"/>
          </w:tcPr>
          <w:p>
            <w:pPr>
              <w:spacing w:after="200" w:before="80"/>
            </w:pPr>
            <w:r>
              <w:rPr>
                <w:i/>
                <w:iCs/>
                <w:color w:val="667085"/>
                <w:sz w:val="21"/>
                <w:szCs w:val="21"/>
              </w:rPr>
              <w:t xml:space="preserve">Define a future check. e.g. "If the full pipeline retrieval hit-rate on the 10-question test set is below 80%, I will revisit this model choice."</w:t>
            </w:r>
          </w:p>
        </w:tc>
      </w:tr>
    </w:tbl>
    <w:p>
      <w:pPr>
        <w:spacing w:after="200"/>
      </w:pPr>
    </w:p>
    <w:p>
      <w:pPr>
        <w:pBdr>
          <w:bottom w:val="single" w:color="D0D5DD" w:sz="4"/>
        </w:pBdr>
        <w:spacing w:after="60" w:before="60"/>
      </w:pPr>
    </w:p>
    <w:p>
      <w:pPr>
        <w:spacing w:before="200"/>
      </w:pPr>
      <w:r>
        <w:rPr>
          <w:i/>
          <w:iCs/>
          <w:color w:val="667085"/>
          <w:sz w:val="20"/>
          <w:szCs w:val="20"/>
        </w:rPr>
        <w:t xml:space="preserve">Copy the template section above for each new decision. Aim for 8–12 entries across the semester. Individual Project S4 — Fontys ICT.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2026-09-23T14:02:41.920Z</dcterms:created>
  <dcterms:modified xsi:type="dcterms:W3CDTF">2026-09-23T14:02:41.920Z</dcterms:modified>
</cp:coreProperties>
</file>

<file path=docProps/custom.xml><?xml version="1.0" encoding="utf-8"?>
<Properties xmlns="http://schemas.openxmlformats.org/officeDocument/2006/custom-properties" xmlns:vt="http://schemas.openxmlformats.org/officeDocument/2006/docPropsVTypes"/>
</file>