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3864"/>
          <w:sz w:val="32"/>
          <w:szCs w:val="32"/>
        </w:rPr>
        <w:t xml:space="preserve">Model, Dataset &amp; Metrics Mapping to Related Work</w:t>
      </w:r>
    </w:p>
    <w:p>
      <w:pPr>
        <w:spacing w:after="240"/>
        <w:jc w:val="center"/>
      </w:pPr>
      <w:r>
        <w:rPr>
          <w:i/>
          <w:iCs/>
          <w:color w:val="595959"/>
          <w:sz w:val="20"/>
          <w:szCs w:val="20"/>
        </w:rPr>
        <w:t xml:space="preserve">Intelligent Multi-Cloud LLM Serving  |  Ronak Rajput (x24195707)  |  Session 3 Progress</w:t>
      </w:r>
    </w:p>
    <w:p>
      <w:pPr>
        <w:spacing w:after="120"/>
      </w:pPr>
      <w:r>
        <w:rPr>
          <w:sz w:val="20"/>
          <w:szCs w:val="20"/>
        </w:rPr>
        <w:t xml:space="preserve">This document responds to the Session 2 feedback: identify the models used in this project, map them to the papers that use the same models or datasets, and record what each paper evaluated and on which metrics. It is organised in three parts: (1) the models this project serves and why; (2) a per-paper mapping of model, dataset, metrics and relevance; (3) how the chosen evaluation metrics for this project trace back to the literature.</w:t>
      </w:r>
    </w:p>
    <w:p>
      <w:pPr>
        <w:pStyle w:val="Heading1"/>
        <w:spacing w:after="120" w:before="240"/>
      </w:pPr>
      <w:r>
        <w:t xml:space="preserve">1. Models Served in This Project</w:t>
      </w:r>
    </w:p>
    <w:p>
      <w:pPr>
        <w:spacing w:after="120"/>
      </w:pPr>
      <w:r>
        <w:rPr>
          <w:sz w:val="20"/>
          <w:szCs w:val="20"/>
        </w:rPr>
        <w:t xml:space="preserve">The platform serves two open-weight instruction models behind vLLM, one on each cloud, deliberately chosen to create a non-trivial cost/quality choice for the router rather than an obvious default. Mistral-7B-Instruct is the cheaper, faster option that is good enough for short and medium queries; Llama-2-13B-Chat is the more capable, more expensive option reserved for longer or harder queries. Independent benchmarking confirms Mistral-7B and the Llama family share the same core architecture and run well on vLLM, so the difference the router exploits is cost and latency, not serving feasibility.</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2400"/>
        <w:gridCol w:w="3000"/>
        <w:gridCol w:w="1800"/>
      </w:tblGrid>
      <w:tr>
        <w:trPr>
          <w:tblHeader/>
        </w:trPr>
        <w:tc>
          <w:tcPr>
            <w:shd w:fill="1F3864" w:val="clear"/>
            <w:tcMar>
              <w:top w:type="dxa" w:w="60"/>
              <w:left w:type="dxa" w:w="90"/>
              <w:bottom w:type="dxa" w:w="60"/>
              <w:right w:type="dxa" w:w="90"/>
            </w:tcMar>
          </w:tcPr>
          <w:p>
            <w:r>
              <w:rPr>
                <w:b/>
                <w:bCs/>
                <w:color w:val="FFFFFF"/>
                <w:sz w:val="18"/>
                <w:szCs w:val="18"/>
              </w:rPr>
              <w:t xml:space="preserve">Model</w:t>
            </w:r>
          </w:p>
        </w:tc>
        <w:tc>
          <w:tcPr>
            <w:shd w:fill="1F3864" w:val="clear"/>
            <w:tcMar>
              <w:top w:type="dxa" w:w="60"/>
              <w:left w:type="dxa" w:w="90"/>
              <w:bottom w:type="dxa" w:w="60"/>
              <w:right w:type="dxa" w:w="90"/>
            </w:tcMar>
          </w:tcPr>
          <w:p>
            <w:r>
              <w:rPr>
                <w:b/>
                <w:bCs/>
                <w:color w:val="FFFFFF"/>
                <w:sz w:val="18"/>
                <w:szCs w:val="18"/>
              </w:rPr>
              <w:t xml:space="preserve">Role in router</w:t>
            </w:r>
          </w:p>
        </w:tc>
        <w:tc>
          <w:tcPr>
            <w:shd w:fill="1F3864" w:val="clear"/>
            <w:tcMar>
              <w:top w:type="dxa" w:w="60"/>
              <w:left w:type="dxa" w:w="90"/>
              <w:bottom w:type="dxa" w:w="60"/>
              <w:right w:type="dxa" w:w="90"/>
            </w:tcMar>
          </w:tcPr>
          <w:p>
            <w:r>
              <w:rPr>
                <w:b/>
                <w:bCs/>
                <w:color w:val="FFFFFF"/>
                <w:sz w:val="18"/>
                <w:szCs w:val="18"/>
              </w:rPr>
              <w:t xml:space="preserve">Why chosen</w:t>
            </w:r>
          </w:p>
        </w:tc>
        <w:tc>
          <w:tcPr>
            <w:shd w:fill="1F3864" w:val="clear"/>
            <w:tcMar>
              <w:top w:type="dxa" w:w="60"/>
              <w:left w:type="dxa" w:w="90"/>
              <w:bottom w:type="dxa" w:w="60"/>
              <w:right w:type="dxa" w:w="90"/>
            </w:tcMar>
          </w:tcPr>
          <w:p>
            <w:r>
              <w:rPr>
                <w:b/>
                <w:bCs/>
                <w:color w:val="FFFFFF"/>
                <w:sz w:val="18"/>
                <w:szCs w:val="18"/>
              </w:rPr>
              <w:t xml:space="preserve">Served via</w:t>
            </w:r>
          </w:p>
        </w:tc>
      </w:tr>
      <w:tr>
        <w:tc>
          <w:tcPr>
            <w:tcMar>
              <w:top w:type="dxa" w:w="60"/>
              <w:left w:type="dxa" w:w="90"/>
              <w:bottom w:type="dxa" w:w="60"/>
              <w:right w:type="dxa" w:w="90"/>
            </w:tcMar>
          </w:tcPr>
          <w:p>
            <w:r>
              <w:rPr>
                <w:b w:val="false"/>
                <w:bCs w:val="false"/>
                <w:color w:val="000000"/>
                <w:sz w:val="18"/>
                <w:szCs w:val="18"/>
              </w:rPr>
              <w:t xml:space="preserve">Mistral-7B-Instruct</w:t>
            </w:r>
          </w:p>
        </w:tc>
        <w:tc>
          <w:tcPr>
            <w:tcMar>
              <w:top w:type="dxa" w:w="60"/>
              <w:left w:type="dxa" w:w="90"/>
              <w:bottom w:type="dxa" w:w="60"/>
              <w:right w:type="dxa" w:w="90"/>
            </w:tcMar>
          </w:tcPr>
          <w:p>
            <w:r>
              <w:rPr>
                <w:b w:val="false"/>
                <w:bCs w:val="false"/>
                <w:color w:val="000000"/>
                <w:sz w:val="18"/>
                <w:szCs w:val="18"/>
              </w:rPr>
              <w:t xml:space="preserve">Cheap / fast tier (short, medium)</w:t>
            </w:r>
          </w:p>
        </w:tc>
        <w:tc>
          <w:tcPr>
            <w:tcMar>
              <w:top w:type="dxa" w:w="60"/>
              <w:left w:type="dxa" w:w="90"/>
              <w:bottom w:type="dxa" w:w="60"/>
              <w:right w:type="dxa" w:w="90"/>
            </w:tcMar>
          </w:tcPr>
          <w:p>
            <w:r>
              <w:rPr>
                <w:b w:val="false"/>
                <w:bCs w:val="false"/>
                <w:color w:val="000000"/>
                <w:sz w:val="18"/>
                <w:szCs w:val="18"/>
              </w:rPr>
              <w:t xml:space="preserve">Comparable quality to larger models on many queries at lower cost</w:t>
            </w:r>
          </w:p>
        </w:tc>
        <w:tc>
          <w:tcPr>
            <w:tcMar>
              <w:top w:type="dxa" w:w="60"/>
              <w:left w:type="dxa" w:w="90"/>
              <w:bottom w:type="dxa" w:w="60"/>
              <w:right w:type="dxa" w:w="90"/>
            </w:tcMar>
          </w:tcPr>
          <w:p>
            <w:r>
              <w:rPr>
                <w:b w:val="false"/>
                <w:bCs w:val="false"/>
                <w:color w:val="000000"/>
                <w:sz w:val="18"/>
                <w:szCs w:val="18"/>
              </w:rPr>
              <w:t xml:space="preserve">vLLM on A10G-class GPU</w:t>
            </w:r>
          </w:p>
        </w:tc>
      </w:tr>
      <w:tr>
        <w:tc>
          <w:tcPr>
            <w:shd w:fill="F2F2F2" w:val="clear"/>
            <w:tcMar>
              <w:top w:type="dxa" w:w="60"/>
              <w:left w:type="dxa" w:w="90"/>
              <w:bottom w:type="dxa" w:w="60"/>
              <w:right w:type="dxa" w:w="90"/>
            </w:tcMar>
          </w:tcPr>
          <w:p>
            <w:r>
              <w:rPr>
                <w:b w:val="false"/>
                <w:bCs w:val="false"/>
                <w:color w:val="000000"/>
                <w:sz w:val="18"/>
                <w:szCs w:val="18"/>
              </w:rPr>
              <w:t xml:space="preserve">Llama-2-13B-Chat</w:t>
            </w:r>
          </w:p>
        </w:tc>
        <w:tc>
          <w:tcPr>
            <w:shd w:fill="F2F2F2" w:val="clear"/>
            <w:tcMar>
              <w:top w:type="dxa" w:w="60"/>
              <w:left w:type="dxa" w:w="90"/>
              <w:bottom w:type="dxa" w:w="60"/>
              <w:right w:type="dxa" w:w="90"/>
            </w:tcMar>
          </w:tcPr>
          <w:p>
            <w:r>
              <w:rPr>
                <w:b w:val="false"/>
                <w:bCs w:val="false"/>
                <w:color w:val="000000"/>
                <w:sz w:val="18"/>
                <w:szCs w:val="18"/>
              </w:rPr>
              <w:t xml:space="preserve">Capable / costly tier (medium, long)</w:t>
            </w:r>
          </w:p>
        </w:tc>
        <w:tc>
          <w:tcPr>
            <w:shd w:fill="F2F2F2" w:val="clear"/>
            <w:tcMar>
              <w:top w:type="dxa" w:w="60"/>
              <w:left w:type="dxa" w:w="90"/>
              <w:bottom w:type="dxa" w:w="60"/>
              <w:right w:type="dxa" w:w="90"/>
            </w:tcMar>
          </w:tcPr>
          <w:p>
            <w:r>
              <w:rPr>
                <w:b w:val="false"/>
                <w:bCs w:val="false"/>
                <w:color w:val="000000"/>
                <w:sz w:val="18"/>
                <w:szCs w:val="18"/>
              </w:rPr>
              <w:t xml:space="preserve">Higher capability for long-context, complex queries; gives the router a real trade-off</w:t>
            </w:r>
          </w:p>
        </w:tc>
        <w:tc>
          <w:tcPr>
            <w:shd w:fill="F2F2F2" w:val="clear"/>
            <w:tcMar>
              <w:top w:type="dxa" w:w="60"/>
              <w:left w:type="dxa" w:w="90"/>
              <w:bottom w:type="dxa" w:w="60"/>
              <w:right w:type="dxa" w:w="90"/>
            </w:tcMar>
          </w:tcPr>
          <w:p>
            <w:r>
              <w:rPr>
                <w:b w:val="false"/>
                <w:bCs w:val="false"/>
                <w:color w:val="000000"/>
                <w:sz w:val="18"/>
                <w:szCs w:val="18"/>
              </w:rPr>
              <w:t xml:space="preserve">vLLM on A10G-class GPU</w:t>
            </w:r>
          </w:p>
        </w:tc>
      </w:tr>
    </w:tbl>
    <w:p/>
    <w:p>
      <w:pPr>
        <w:pStyle w:val="Heading1"/>
        <w:spacing w:after="120" w:before="240"/>
      </w:pPr>
      <w:r>
        <w:t xml:space="preserve">2. Per-Paper Mapping: Model, Dataset, Metrics</w:t>
      </w:r>
    </w:p>
    <w:p>
      <w:pPr>
        <w:spacing w:after="120"/>
      </w:pPr>
      <w:r>
        <w:rPr>
          <w:sz w:val="20"/>
          <w:szCs w:val="20"/>
        </w:rPr>
        <w:t xml:space="preserve">Each row records the model(s) and dataset the paper used, the metrics it evaluated on, and how it relates to the models/datasets in this project. Entries marked (verify) should be confirmed against the source PDF before the final write-up; they are drawn from the comparison tables already prepared rather than re-read line by line.</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500"/>
        <w:gridCol w:w="1800"/>
        <w:gridCol w:w="2100"/>
        <w:gridCol w:w="2400"/>
        <w:gridCol w:w="2200"/>
      </w:tblGrid>
      <w:tr>
        <w:trPr>
          <w:tblHeader/>
        </w:trPr>
        <w:tc>
          <w:tcPr>
            <w:shd w:fill="1F3864" w:val="clear"/>
            <w:tcMar>
              <w:top w:type="dxa" w:w="60"/>
              <w:left w:type="dxa" w:w="90"/>
              <w:bottom w:type="dxa" w:w="60"/>
              <w:right w:type="dxa" w:w="90"/>
            </w:tcMar>
          </w:tcPr>
          <w:p>
            <w:r>
              <w:rPr>
                <w:b/>
                <w:bCs/>
                <w:color w:val="FFFFFF"/>
                <w:sz w:val="18"/>
                <w:szCs w:val="18"/>
              </w:rPr>
              <w:t xml:space="preserve">Paper</w:t>
            </w:r>
          </w:p>
        </w:tc>
        <w:tc>
          <w:tcPr>
            <w:shd w:fill="1F3864" w:val="clear"/>
            <w:tcMar>
              <w:top w:type="dxa" w:w="60"/>
              <w:left w:type="dxa" w:w="90"/>
              <w:bottom w:type="dxa" w:w="60"/>
              <w:right w:type="dxa" w:w="90"/>
            </w:tcMar>
          </w:tcPr>
          <w:p>
            <w:r>
              <w:rPr>
                <w:b/>
                <w:bCs/>
                <w:color w:val="FFFFFF"/>
                <w:sz w:val="18"/>
                <w:szCs w:val="18"/>
              </w:rPr>
              <w:t xml:space="preserve">Model(s)</w:t>
            </w:r>
          </w:p>
        </w:tc>
        <w:tc>
          <w:tcPr>
            <w:shd w:fill="1F3864" w:val="clear"/>
            <w:tcMar>
              <w:top w:type="dxa" w:w="60"/>
              <w:left w:type="dxa" w:w="90"/>
              <w:bottom w:type="dxa" w:w="60"/>
              <w:right w:type="dxa" w:w="90"/>
            </w:tcMar>
          </w:tcPr>
          <w:p>
            <w:r>
              <w:rPr>
                <w:b/>
                <w:bCs/>
                <w:color w:val="FFFFFF"/>
                <w:sz w:val="18"/>
                <w:szCs w:val="18"/>
              </w:rPr>
              <w:t xml:space="preserve">Dataset</w:t>
            </w:r>
          </w:p>
        </w:tc>
        <w:tc>
          <w:tcPr>
            <w:shd w:fill="1F3864" w:val="clear"/>
            <w:tcMar>
              <w:top w:type="dxa" w:w="60"/>
              <w:left w:type="dxa" w:w="90"/>
              <w:bottom w:type="dxa" w:w="60"/>
              <w:right w:type="dxa" w:w="90"/>
            </w:tcMar>
          </w:tcPr>
          <w:p>
            <w:r>
              <w:rPr>
                <w:b/>
                <w:bCs/>
                <w:color w:val="FFFFFF"/>
                <w:sz w:val="18"/>
                <w:szCs w:val="18"/>
              </w:rPr>
              <w:t xml:space="preserve">Metrics evaluated</w:t>
            </w:r>
          </w:p>
        </w:tc>
        <w:tc>
          <w:tcPr>
            <w:shd w:fill="1F3864" w:val="clear"/>
            <w:tcMar>
              <w:top w:type="dxa" w:w="60"/>
              <w:left w:type="dxa" w:w="90"/>
              <w:bottom w:type="dxa" w:w="60"/>
              <w:right w:type="dxa" w:w="90"/>
            </w:tcMar>
          </w:tcPr>
          <w:p>
            <w:r>
              <w:rPr>
                <w:b/>
                <w:bCs/>
                <w:color w:val="FFFFFF"/>
                <w:sz w:val="18"/>
                <w:szCs w:val="18"/>
              </w:rPr>
              <w:t xml:space="preserve">Relation to this project</w:t>
            </w:r>
          </w:p>
        </w:tc>
      </w:tr>
      <w:tr>
        <w:tc>
          <w:tcPr>
            <w:tcMar>
              <w:top w:type="dxa" w:w="60"/>
              <w:left w:type="dxa" w:w="90"/>
              <w:bottom w:type="dxa" w:w="60"/>
              <w:right w:type="dxa" w:w="90"/>
            </w:tcMar>
          </w:tcPr>
          <w:p>
            <w:r>
              <w:rPr>
                <w:b w:val="false"/>
                <w:bCs w:val="false"/>
                <w:color w:val="000000"/>
                <w:sz w:val="18"/>
                <w:szCs w:val="18"/>
              </w:rPr>
              <w:t xml:space="preserve">RouteLLM
Ong et al. (2024)</w:t>
            </w:r>
          </w:p>
        </w:tc>
        <w:tc>
          <w:tcPr>
            <w:tcMar>
              <w:top w:type="dxa" w:w="60"/>
              <w:left w:type="dxa" w:w="90"/>
              <w:bottom w:type="dxa" w:w="60"/>
              <w:right w:type="dxa" w:w="90"/>
            </w:tcMar>
          </w:tcPr>
          <w:p>
            <w:r>
              <w:rPr>
                <w:b w:val="false"/>
                <w:bCs w:val="false"/>
                <w:color w:val="000000"/>
                <w:sz w:val="18"/>
                <w:szCs w:val="18"/>
              </w:rPr>
              <w:t xml:space="preserve">GPT-4 (strong) vs Mixtral-8x7B / Llama-class (weak) model pair</w:t>
            </w:r>
          </w:p>
        </w:tc>
        <w:tc>
          <w:tcPr>
            <w:tcMar>
              <w:top w:type="dxa" w:w="60"/>
              <w:left w:type="dxa" w:w="90"/>
              <w:bottom w:type="dxa" w:w="60"/>
              <w:right w:type="dxa" w:w="90"/>
            </w:tcMar>
          </w:tcPr>
          <w:p>
            <w:r>
              <w:rPr>
                <w:b w:val="false"/>
                <w:bCs w:val="false"/>
                <w:color w:val="000000"/>
                <w:sz w:val="18"/>
                <w:szCs w:val="18"/>
              </w:rPr>
              <w:t xml:space="preserve">Chatbot Arena preference data (training); evaluated on MT-Bench, MMLU, GSM8K</w:t>
            </w:r>
          </w:p>
        </w:tc>
        <w:tc>
          <w:tcPr>
            <w:tcMar>
              <w:top w:type="dxa" w:w="60"/>
              <w:left w:type="dxa" w:w="90"/>
              <w:bottom w:type="dxa" w:w="60"/>
              <w:right w:type="dxa" w:w="90"/>
            </w:tcMar>
          </w:tcPr>
          <w:p>
            <w:r>
              <w:rPr>
                <w:b w:val="false"/>
                <w:bCs w:val="false"/>
                <w:color w:val="000000"/>
                <w:sz w:val="18"/>
                <w:szCs w:val="18"/>
              </w:rPr>
              <w:t xml:space="preserve">Cost reduction at fixed quality; CPT (call-performance threshold), APGR, % GPT-4 calls</w:t>
            </w:r>
          </w:p>
        </w:tc>
        <w:tc>
          <w:tcPr>
            <w:tcMar>
              <w:top w:type="dxa" w:w="60"/>
              <w:left w:type="dxa" w:w="90"/>
              <w:bottom w:type="dxa" w:w="60"/>
              <w:right w:type="dxa" w:w="90"/>
            </w:tcMar>
          </w:tcPr>
          <w:p>
            <w:r>
              <w:rPr>
                <w:b w:val="false"/>
                <w:bCs w:val="false"/>
                <w:color w:val="000000"/>
                <w:sz w:val="18"/>
                <w:szCs w:val="18"/>
              </w:rPr>
              <w:t xml:space="preserve">Same family of routing problem; shares the Chatbot Arena lineage that this project's LMSYS-Arena-55k dataset is built from</w:t>
            </w:r>
          </w:p>
        </w:tc>
      </w:tr>
      <w:tr>
        <w:tc>
          <w:tcPr>
            <w:shd w:fill="F2F2F2" w:val="clear"/>
            <w:tcMar>
              <w:top w:type="dxa" w:w="60"/>
              <w:left w:type="dxa" w:w="90"/>
              <w:bottom w:type="dxa" w:w="60"/>
              <w:right w:type="dxa" w:w="90"/>
            </w:tcMar>
          </w:tcPr>
          <w:p>
            <w:r>
              <w:rPr>
                <w:b w:val="false"/>
                <w:bCs w:val="false"/>
                <w:color w:val="000000"/>
                <w:sz w:val="18"/>
                <w:szCs w:val="18"/>
              </w:rPr>
              <w:t xml:space="preserve">OmniRouter
Mei et al. (2025)</w:t>
            </w:r>
          </w:p>
        </w:tc>
        <w:tc>
          <w:tcPr>
            <w:shd w:fill="F2F2F2" w:val="clear"/>
            <w:tcMar>
              <w:top w:type="dxa" w:w="60"/>
              <w:left w:type="dxa" w:w="90"/>
              <w:bottom w:type="dxa" w:w="60"/>
              <w:right w:type="dxa" w:w="90"/>
            </w:tcMar>
          </w:tcPr>
          <w:p>
            <w:r>
              <w:rPr>
                <w:b w:val="false"/>
                <w:bCs w:val="false"/>
                <w:color w:val="000000"/>
                <w:sz w:val="18"/>
                <w:szCs w:val="18"/>
              </w:rPr>
              <w:t xml:space="preserve">Multiple LLMs (budget-constrained selection across a pool)</w:t>
            </w:r>
          </w:p>
        </w:tc>
        <w:tc>
          <w:tcPr>
            <w:shd w:fill="F2F2F2" w:val="clear"/>
            <w:tcMar>
              <w:top w:type="dxa" w:w="60"/>
              <w:left w:type="dxa" w:w="90"/>
              <w:bottom w:type="dxa" w:w="60"/>
              <w:right w:type="dxa" w:w="90"/>
            </w:tcMar>
          </w:tcPr>
          <w:p>
            <w:r>
              <w:rPr>
                <w:b w:val="false"/>
                <w:bCs w:val="false"/>
                <w:color w:val="000000"/>
                <w:sz w:val="18"/>
                <w:szCs w:val="18"/>
              </w:rPr>
              <w:t xml:space="preserve">Synthetic / budget-constrained scenarios (verify)</w:t>
            </w:r>
          </w:p>
        </w:tc>
        <w:tc>
          <w:tcPr>
            <w:shd w:fill="F2F2F2" w:val="clear"/>
            <w:tcMar>
              <w:top w:type="dxa" w:w="60"/>
              <w:left w:type="dxa" w:w="90"/>
              <w:bottom w:type="dxa" w:w="60"/>
              <w:right w:type="dxa" w:w="90"/>
            </w:tcMar>
          </w:tcPr>
          <w:p>
            <w:r>
              <w:rPr>
                <w:b w:val="false"/>
                <w:bCs w:val="false"/>
                <w:color w:val="000000"/>
                <w:sz w:val="18"/>
                <w:szCs w:val="18"/>
              </w:rPr>
              <w:t xml:space="preserve">Cost under budget constraint vs response quality; constrained-optimisation objective</w:t>
            </w:r>
          </w:p>
        </w:tc>
        <w:tc>
          <w:tcPr>
            <w:shd w:fill="F2F2F2" w:val="clear"/>
            <w:tcMar>
              <w:top w:type="dxa" w:w="60"/>
              <w:left w:type="dxa" w:w="90"/>
              <w:bottom w:type="dxa" w:w="60"/>
              <w:right w:type="dxa" w:w="90"/>
            </w:tcMar>
          </w:tcPr>
          <w:p>
            <w:r>
              <w:rPr>
                <w:b w:val="false"/>
                <w:bCs w:val="false"/>
                <w:color w:val="000000"/>
                <w:sz w:val="18"/>
                <w:szCs w:val="18"/>
              </w:rPr>
              <w:t xml:space="preserve">Directly extended: this project adds infrastructure + multi-cloud awareness on top of model selection</w:t>
            </w:r>
          </w:p>
        </w:tc>
      </w:tr>
      <w:tr>
        <w:tc>
          <w:tcPr>
            <w:tcMar>
              <w:top w:type="dxa" w:w="60"/>
              <w:left w:type="dxa" w:w="90"/>
              <w:bottom w:type="dxa" w:w="60"/>
              <w:right w:type="dxa" w:w="90"/>
            </w:tcMar>
          </w:tcPr>
          <w:p>
            <w:r>
              <w:rPr>
                <w:b w:val="false"/>
                <w:bCs w:val="false"/>
                <w:color w:val="000000"/>
                <w:sz w:val="18"/>
                <w:szCs w:val="18"/>
              </w:rPr>
              <w:t xml:space="preserve">Yu et al. (2025)
Instance routing</w:t>
            </w:r>
          </w:p>
        </w:tc>
        <w:tc>
          <w:tcPr>
            <w:tcMar>
              <w:top w:type="dxa" w:w="60"/>
              <w:left w:type="dxa" w:w="90"/>
              <w:bottom w:type="dxa" w:w="60"/>
              <w:right w:type="dxa" w:w="90"/>
            </w:tcMar>
          </w:tcPr>
          <w:p>
            <w:r>
              <w:rPr>
                <w:b w:val="false"/>
                <w:bCs w:val="false"/>
                <w:color w:val="000000"/>
                <w:sz w:val="18"/>
                <w:szCs w:val="18"/>
              </w:rPr>
              <w:t xml:space="preserve">LLM instances of a single model (verify which)</w:t>
            </w:r>
          </w:p>
        </w:tc>
        <w:tc>
          <w:tcPr>
            <w:tcMar>
              <w:top w:type="dxa" w:w="60"/>
              <w:left w:type="dxa" w:w="90"/>
              <w:bottom w:type="dxa" w:w="60"/>
              <w:right w:type="dxa" w:w="90"/>
            </w:tcMar>
          </w:tcPr>
          <w:p>
            <w:r>
              <w:rPr>
                <w:b w:val="false"/>
                <w:bCs w:val="false"/>
                <w:color w:val="000000"/>
                <w:sz w:val="18"/>
                <w:szCs w:val="18"/>
              </w:rPr>
              <w:t xml:space="preserve">Synthetic request traces</w:t>
            </w:r>
          </w:p>
        </w:tc>
        <w:tc>
          <w:tcPr>
            <w:tcMar>
              <w:top w:type="dxa" w:w="60"/>
              <w:left w:type="dxa" w:w="90"/>
              <w:bottom w:type="dxa" w:w="60"/>
              <w:right w:type="dxa" w:w="90"/>
            </w:tcMar>
          </w:tcPr>
          <w:p>
            <w:r>
              <w:rPr>
                <w:b w:val="false"/>
                <w:bCs w:val="false"/>
                <w:color w:val="000000"/>
                <w:sz w:val="18"/>
                <w:szCs w:val="18"/>
              </w:rPr>
              <w:t xml:space="preserve">Load, latency across instances; request distribution</w:t>
            </w:r>
          </w:p>
        </w:tc>
        <w:tc>
          <w:tcPr>
            <w:tcMar>
              <w:top w:type="dxa" w:w="60"/>
              <w:left w:type="dxa" w:w="90"/>
              <w:bottom w:type="dxa" w:w="60"/>
              <w:right w:type="dxa" w:w="90"/>
            </w:tcMar>
          </w:tcPr>
          <w:p>
            <w:r>
              <w:rPr>
                <w:b w:val="false"/>
                <w:bCs w:val="false"/>
                <w:color w:val="000000"/>
                <w:sz w:val="18"/>
                <w:szCs w:val="18"/>
              </w:rPr>
              <w:t xml:space="preserve">Adds the instance-selection idea this project combines with model + cloud selection</w:t>
            </w:r>
          </w:p>
        </w:tc>
      </w:tr>
      <w:tr>
        <w:tc>
          <w:tcPr>
            <w:shd w:fill="F2F2F2" w:val="clear"/>
            <w:tcMar>
              <w:top w:type="dxa" w:w="60"/>
              <w:left w:type="dxa" w:w="90"/>
              <w:bottom w:type="dxa" w:w="60"/>
              <w:right w:type="dxa" w:w="90"/>
            </w:tcMar>
          </w:tcPr>
          <w:p>
            <w:r>
              <w:rPr>
                <w:b w:val="false"/>
                <w:bCs w:val="false"/>
                <w:color w:val="000000"/>
                <w:sz w:val="18"/>
                <w:szCs w:val="18"/>
              </w:rPr>
              <w:t xml:space="preserve">Kodakandla (2023)
Multi-cloud K8s</w:t>
            </w:r>
          </w:p>
        </w:tc>
        <w:tc>
          <w:tcPr>
            <w:shd w:fill="F2F2F2" w:val="clear"/>
            <w:tcMar>
              <w:top w:type="dxa" w:w="60"/>
              <w:left w:type="dxa" w:w="90"/>
              <w:bottom w:type="dxa" w:w="60"/>
              <w:right w:type="dxa" w:w="90"/>
            </w:tcMar>
          </w:tcPr>
          <w:p>
            <w:r>
              <w:rPr>
                <w:b w:val="false"/>
                <w:bCs w:val="false"/>
                <w:color w:val="000000"/>
                <w:sz w:val="18"/>
                <w:szCs w:val="18"/>
              </w:rPr>
              <w:t xml:space="preserve">None (orchestration only, generic workloads)</w:t>
            </w:r>
          </w:p>
        </w:tc>
        <w:tc>
          <w:tcPr>
            <w:shd w:fill="F2F2F2" w:val="clear"/>
            <w:tcMar>
              <w:top w:type="dxa" w:w="60"/>
              <w:left w:type="dxa" w:w="90"/>
              <w:bottom w:type="dxa" w:w="60"/>
              <w:right w:type="dxa" w:w="90"/>
            </w:tcMar>
          </w:tcPr>
          <w:p>
            <w:r>
              <w:rPr>
                <w:b w:val="false"/>
                <w:bCs w:val="false"/>
                <w:color w:val="000000"/>
                <w:sz w:val="18"/>
                <w:szCs w:val="18"/>
              </w:rPr>
              <w:t xml:space="preserve">Generic workload benchmarks</w:t>
            </w:r>
          </w:p>
        </w:tc>
        <w:tc>
          <w:tcPr>
            <w:shd w:fill="F2F2F2" w:val="clear"/>
            <w:tcMar>
              <w:top w:type="dxa" w:w="60"/>
              <w:left w:type="dxa" w:w="90"/>
              <w:bottom w:type="dxa" w:w="60"/>
              <w:right w:type="dxa" w:w="90"/>
            </w:tcMar>
          </w:tcPr>
          <w:p>
            <w:r>
              <w:rPr>
                <w:b w:val="false"/>
                <w:bCs w:val="false"/>
                <w:color w:val="000000"/>
                <w:sz w:val="18"/>
                <w:szCs w:val="18"/>
              </w:rPr>
              <w:t xml:space="preserve">Scheduling / placement across clusters; not LLM-specific</w:t>
            </w:r>
          </w:p>
        </w:tc>
        <w:tc>
          <w:tcPr>
            <w:shd w:fill="F2F2F2" w:val="clear"/>
            <w:tcMar>
              <w:top w:type="dxa" w:w="60"/>
              <w:left w:type="dxa" w:w="90"/>
              <w:bottom w:type="dxa" w:w="60"/>
              <w:right w:type="dxa" w:w="90"/>
            </w:tcMar>
          </w:tcPr>
          <w:p>
            <w:r>
              <w:rPr>
                <w:b w:val="false"/>
                <w:bCs w:val="false"/>
                <w:color w:val="000000"/>
                <w:sz w:val="18"/>
                <w:szCs w:val="18"/>
              </w:rPr>
              <w:t xml:space="preserve">Source of the multi-cluster K8s patterns (namespace isolation, cost-tagged pools)</w:t>
            </w:r>
          </w:p>
        </w:tc>
      </w:tr>
      <w:tr>
        <w:tc>
          <w:tcPr>
            <w:tcMar>
              <w:top w:type="dxa" w:w="60"/>
              <w:left w:type="dxa" w:w="90"/>
              <w:bottom w:type="dxa" w:w="60"/>
              <w:right w:type="dxa" w:w="90"/>
            </w:tcMar>
          </w:tcPr>
          <w:p>
            <w:r>
              <w:rPr>
                <w:b w:val="false"/>
                <w:bCs w:val="false"/>
                <w:color w:val="000000"/>
                <w:sz w:val="18"/>
                <w:szCs w:val="18"/>
              </w:rPr>
              <w:t xml:space="preserve">Ye &amp; Ying (2024)
AI-aware orchestration</w:t>
            </w:r>
          </w:p>
        </w:tc>
        <w:tc>
          <w:tcPr>
            <w:tcMar>
              <w:top w:type="dxa" w:w="60"/>
              <w:left w:type="dxa" w:w="90"/>
              <w:bottom w:type="dxa" w:w="60"/>
              <w:right w:type="dxa" w:w="90"/>
            </w:tcMar>
          </w:tcPr>
          <w:p>
            <w:r>
              <w:rPr>
                <w:b w:val="false"/>
                <w:bCs w:val="false"/>
                <w:color w:val="000000"/>
                <w:sz w:val="18"/>
                <w:szCs w:val="18"/>
              </w:rPr>
              <w:t xml:space="preserve">LLM inference workloads (model unspecified, verify)</w:t>
            </w:r>
          </w:p>
        </w:tc>
        <w:tc>
          <w:tcPr>
            <w:tcMar>
              <w:top w:type="dxa" w:w="60"/>
              <w:left w:type="dxa" w:w="90"/>
              <w:bottom w:type="dxa" w:w="60"/>
              <w:right w:type="dxa" w:w="90"/>
            </w:tcMar>
          </w:tcPr>
          <w:p>
            <w:r>
              <w:rPr>
                <w:b w:val="false"/>
                <w:bCs w:val="false"/>
                <w:color w:val="000000"/>
                <w:sz w:val="18"/>
                <w:szCs w:val="18"/>
              </w:rPr>
              <w:t xml:space="preserve">LLM inference traces</w:t>
            </w:r>
          </w:p>
        </w:tc>
        <w:tc>
          <w:tcPr>
            <w:tcMar>
              <w:top w:type="dxa" w:w="60"/>
              <w:left w:type="dxa" w:w="90"/>
              <w:bottom w:type="dxa" w:w="60"/>
              <w:right w:type="dxa" w:w="90"/>
            </w:tcMar>
          </w:tcPr>
          <w:p>
            <w:r>
              <w:rPr>
                <w:b w:val="false"/>
                <w:bCs w:val="false"/>
                <w:color w:val="000000"/>
                <w:sz w:val="18"/>
                <w:szCs w:val="18"/>
              </w:rPr>
              <w:t xml:space="preserve">Token / attention-based scaling vs CPU-memory autoscaling</w:t>
            </w:r>
          </w:p>
        </w:tc>
        <w:tc>
          <w:tcPr>
            <w:tcMar>
              <w:top w:type="dxa" w:w="60"/>
              <w:left w:type="dxa" w:w="90"/>
              <w:bottom w:type="dxa" w:w="60"/>
              <w:right w:type="dxa" w:w="90"/>
            </w:tcMar>
          </w:tcPr>
          <w:p>
            <w:r>
              <w:rPr>
                <w:b w:val="false"/>
                <w:bCs w:val="false"/>
                <w:color w:val="000000"/>
                <w:sz w:val="18"/>
                <w:szCs w:val="18"/>
              </w:rPr>
              <w:t xml:space="preserve">Motivates LLM-specific scaling metrics in the K8s controller</w:t>
            </w:r>
          </w:p>
        </w:tc>
      </w:tr>
      <w:tr>
        <w:tc>
          <w:tcPr>
            <w:shd w:fill="F2F2F2" w:val="clear"/>
            <w:tcMar>
              <w:top w:type="dxa" w:w="60"/>
              <w:left w:type="dxa" w:w="90"/>
              <w:bottom w:type="dxa" w:w="60"/>
              <w:right w:type="dxa" w:w="90"/>
            </w:tcMar>
          </w:tcPr>
          <w:p>
            <w:r>
              <w:rPr>
                <w:b w:val="false"/>
                <w:bCs w:val="false"/>
                <w:color w:val="000000"/>
                <w:sz w:val="18"/>
                <w:szCs w:val="18"/>
              </w:rPr>
              <w:t xml:space="preserve">Laurent &amp; Reynolds (2026)
Predictive K8s</w:t>
            </w:r>
          </w:p>
        </w:tc>
        <w:tc>
          <w:tcPr>
            <w:shd w:fill="F2F2F2" w:val="clear"/>
            <w:tcMar>
              <w:top w:type="dxa" w:w="60"/>
              <w:left w:type="dxa" w:w="90"/>
              <w:bottom w:type="dxa" w:w="60"/>
              <w:right w:type="dxa" w:w="90"/>
            </w:tcMar>
          </w:tcPr>
          <w:p>
            <w:r>
              <w:rPr>
                <w:b w:val="false"/>
                <w:bCs w:val="false"/>
                <w:color w:val="000000"/>
                <w:sz w:val="18"/>
                <w:szCs w:val="18"/>
              </w:rPr>
              <w:t xml:space="preserve">ML pipelines (not LLM-specific)</w:t>
            </w:r>
          </w:p>
        </w:tc>
        <w:tc>
          <w:tcPr>
            <w:shd w:fill="F2F2F2" w:val="clear"/>
            <w:tcMar>
              <w:top w:type="dxa" w:w="60"/>
              <w:left w:type="dxa" w:w="90"/>
              <w:bottom w:type="dxa" w:w="60"/>
              <w:right w:type="dxa" w:w="90"/>
            </w:tcMar>
          </w:tcPr>
          <w:p>
            <w:r>
              <w:rPr>
                <w:b w:val="false"/>
                <w:bCs w:val="false"/>
                <w:color w:val="000000"/>
                <w:sz w:val="18"/>
                <w:szCs w:val="18"/>
              </w:rPr>
              <w:t xml:space="preserve">ML pipeline benchmarks</w:t>
            </w:r>
          </w:p>
        </w:tc>
        <w:tc>
          <w:tcPr>
            <w:shd w:fill="F2F2F2" w:val="clear"/>
            <w:tcMar>
              <w:top w:type="dxa" w:w="60"/>
              <w:left w:type="dxa" w:w="90"/>
              <w:bottom w:type="dxa" w:w="60"/>
              <w:right w:type="dxa" w:w="90"/>
            </w:tcMar>
          </w:tcPr>
          <w:p>
            <w:r>
              <w:rPr>
                <w:b w:val="false"/>
                <w:bCs w:val="false"/>
                <w:color w:val="000000"/>
                <w:sz w:val="18"/>
                <w:szCs w:val="18"/>
              </w:rPr>
              <w:t xml:space="preserve">Cold-start time, over-provisioning cost; predictive scaling accuracy</w:t>
            </w:r>
          </w:p>
        </w:tc>
        <w:tc>
          <w:tcPr>
            <w:shd w:fill="F2F2F2" w:val="clear"/>
            <w:tcMar>
              <w:top w:type="dxa" w:w="60"/>
              <w:left w:type="dxa" w:w="90"/>
              <w:bottom w:type="dxa" w:w="60"/>
              <w:right w:type="dxa" w:w="90"/>
            </w:tcMar>
          </w:tcPr>
          <w:p>
            <w:r>
              <w:rPr>
                <w:b w:val="false"/>
                <w:bCs w:val="false"/>
                <w:color w:val="000000"/>
                <w:sz w:val="18"/>
                <w:szCs w:val="18"/>
              </w:rPr>
              <w:t xml:space="preserve">Source of the predictive (vs reactive) scaling paradigm this project applies to multi-cloud</w:t>
            </w:r>
          </w:p>
        </w:tc>
      </w:tr>
      <w:tr>
        <w:tc>
          <w:tcPr>
            <w:tcMar>
              <w:top w:type="dxa" w:w="60"/>
              <w:left w:type="dxa" w:w="90"/>
              <w:bottom w:type="dxa" w:w="60"/>
              <w:right w:type="dxa" w:w="90"/>
            </w:tcMar>
          </w:tcPr>
          <w:p>
            <w:r>
              <w:rPr>
                <w:b w:val="false"/>
                <w:bCs w:val="false"/>
                <w:color w:val="000000"/>
                <w:sz w:val="18"/>
                <w:szCs w:val="18"/>
              </w:rPr>
              <w:t xml:space="preserve">He et al. (2024)
LLM offloading</w:t>
            </w:r>
          </w:p>
        </w:tc>
        <w:tc>
          <w:tcPr>
            <w:tcMar>
              <w:top w:type="dxa" w:w="60"/>
              <w:left w:type="dxa" w:w="90"/>
              <w:bottom w:type="dxa" w:w="60"/>
              <w:right w:type="dxa" w:w="90"/>
            </w:tcMar>
          </w:tcPr>
          <w:p>
            <w:r>
              <w:rPr>
                <w:b w:val="false"/>
                <w:bCs w:val="false"/>
                <w:color w:val="000000"/>
                <w:sz w:val="18"/>
                <w:szCs w:val="18"/>
              </w:rPr>
              <w:t xml:space="preserve">LLM inference requests (cloud vs edge)</w:t>
            </w:r>
          </w:p>
        </w:tc>
        <w:tc>
          <w:tcPr>
            <w:tcMar>
              <w:top w:type="dxa" w:w="60"/>
              <w:left w:type="dxa" w:w="90"/>
              <w:bottom w:type="dxa" w:w="60"/>
              <w:right w:type="dxa" w:w="90"/>
            </w:tcMar>
          </w:tcPr>
          <w:p>
            <w:r>
              <w:rPr>
                <w:b w:val="false"/>
                <w:bCs w:val="false"/>
                <w:color w:val="000000"/>
                <w:sz w:val="18"/>
                <w:szCs w:val="18"/>
              </w:rPr>
              <w:t xml:space="preserve">Synthetic request traces</w:t>
            </w:r>
          </w:p>
        </w:tc>
        <w:tc>
          <w:tcPr>
            <w:tcMar>
              <w:top w:type="dxa" w:w="60"/>
              <w:left w:type="dxa" w:w="90"/>
              <w:bottom w:type="dxa" w:w="60"/>
              <w:right w:type="dxa" w:w="90"/>
            </w:tcMar>
          </w:tcPr>
          <w:p>
            <w:r>
              <w:rPr>
                <w:b w:val="false"/>
                <w:bCs w:val="false"/>
                <w:color w:val="000000"/>
                <w:sz w:val="18"/>
                <w:szCs w:val="18"/>
              </w:rPr>
              <w:t xml:space="preserve">Latency, resource limits; fixed edge cost model</w:t>
            </w:r>
          </w:p>
        </w:tc>
        <w:tc>
          <w:tcPr>
            <w:tcMar>
              <w:top w:type="dxa" w:w="60"/>
              <w:left w:type="dxa" w:w="90"/>
              <w:bottom w:type="dxa" w:w="60"/>
              <w:right w:type="dxa" w:w="90"/>
            </w:tcMar>
          </w:tcPr>
          <w:p>
            <w:r>
              <w:rPr>
                <w:b w:val="false"/>
                <w:bCs w:val="false"/>
                <w:color w:val="000000"/>
                <w:sz w:val="18"/>
                <w:szCs w:val="18"/>
              </w:rPr>
              <w:t xml:space="preserve">Request-level routing precedent; this project replaces fixed cost with live cross-cloud pricing</w:t>
            </w:r>
          </w:p>
        </w:tc>
      </w:tr>
      <w:tr>
        <w:tc>
          <w:tcPr>
            <w:shd w:fill="F2F2F2" w:val="clear"/>
            <w:tcMar>
              <w:top w:type="dxa" w:w="60"/>
              <w:left w:type="dxa" w:w="90"/>
              <w:bottom w:type="dxa" w:w="60"/>
              <w:right w:type="dxa" w:w="90"/>
            </w:tcMar>
          </w:tcPr>
          <w:p>
            <w:r>
              <w:rPr>
                <w:b w:val="false"/>
                <w:bCs w:val="false"/>
                <w:color w:val="000000"/>
                <w:sz w:val="18"/>
                <w:szCs w:val="18"/>
              </w:rPr>
              <w:t xml:space="preserve">Junior &amp; Marcon (2025)
OPTIC billing</w:t>
            </w:r>
          </w:p>
        </w:tc>
        <w:tc>
          <w:tcPr>
            <w:shd w:fill="F2F2F2" w:val="clear"/>
            <w:tcMar>
              <w:top w:type="dxa" w:w="60"/>
              <w:left w:type="dxa" w:w="90"/>
              <w:bottom w:type="dxa" w:w="60"/>
              <w:right w:type="dxa" w:w="90"/>
            </w:tcMar>
          </w:tcPr>
          <w:p>
            <w:r>
              <w:rPr>
                <w:b w:val="false"/>
                <w:bCs w:val="false"/>
                <w:color w:val="000000"/>
                <w:sz w:val="18"/>
                <w:szCs w:val="18"/>
              </w:rPr>
              <w:t xml:space="preserve">None (LLM used for billing analysis, not served)</w:t>
            </w:r>
          </w:p>
        </w:tc>
        <w:tc>
          <w:tcPr>
            <w:shd w:fill="F2F2F2" w:val="clear"/>
            <w:tcMar>
              <w:top w:type="dxa" w:w="60"/>
              <w:left w:type="dxa" w:w="90"/>
              <w:bottom w:type="dxa" w:w="60"/>
              <w:right w:type="dxa" w:w="90"/>
            </w:tcMar>
          </w:tcPr>
          <w:p>
            <w:r>
              <w:rPr>
                <w:b w:val="false"/>
                <w:bCs w:val="false"/>
                <w:color w:val="000000"/>
                <w:sz w:val="18"/>
                <w:szCs w:val="18"/>
              </w:rPr>
              <w:t xml:space="preserve">Real AWS + Azure billing data (FOCUS standard)</w:t>
            </w:r>
          </w:p>
        </w:tc>
        <w:tc>
          <w:tcPr>
            <w:shd w:fill="F2F2F2" w:val="clear"/>
            <w:tcMar>
              <w:top w:type="dxa" w:w="60"/>
              <w:left w:type="dxa" w:w="90"/>
              <w:bottom w:type="dxa" w:w="60"/>
              <w:right w:type="dxa" w:w="90"/>
            </w:tcMar>
          </w:tcPr>
          <w:p>
            <w:r>
              <w:rPr>
                <w:b w:val="false"/>
                <w:bCs w:val="false"/>
                <w:color w:val="000000"/>
                <w:sz w:val="18"/>
                <w:szCs w:val="18"/>
              </w:rPr>
              <w:t xml:space="preserve">Cost-anomaly detection; billing normalisation accuracy</w:t>
            </w:r>
          </w:p>
        </w:tc>
        <w:tc>
          <w:tcPr>
            <w:shd w:fill="F2F2F2" w:val="clear"/>
            <w:tcMar>
              <w:top w:type="dxa" w:w="60"/>
              <w:left w:type="dxa" w:w="90"/>
              <w:bottom w:type="dxa" w:w="60"/>
              <w:right w:type="dxa" w:w="90"/>
            </w:tcMar>
          </w:tcPr>
          <w:p>
            <w:r>
              <w:rPr>
                <w:b w:val="false"/>
                <w:bCs w:val="false"/>
                <w:color w:val="000000"/>
                <w:sz w:val="18"/>
                <w:szCs w:val="18"/>
              </w:rPr>
              <w:t xml:space="preserve">Provides the FOCUS cost-telemetry normalisation this project's cost signal depends on</w:t>
            </w:r>
          </w:p>
        </w:tc>
      </w:tr>
      <w:tr>
        <w:tc>
          <w:tcPr>
            <w:tcMar>
              <w:top w:type="dxa" w:w="60"/>
              <w:left w:type="dxa" w:w="90"/>
              <w:bottom w:type="dxa" w:w="60"/>
              <w:right w:type="dxa" w:w="90"/>
            </w:tcMar>
          </w:tcPr>
          <w:p>
            <w:r>
              <w:rPr>
                <w:b w:val="false"/>
                <w:bCs w:val="false"/>
                <w:color w:val="000000"/>
                <w:sz w:val="18"/>
                <w:szCs w:val="18"/>
              </w:rPr>
              <w:t xml:space="preserve">Singh &amp; Sarma (2025)
Deployment options</w:t>
            </w:r>
          </w:p>
        </w:tc>
        <w:tc>
          <w:tcPr>
            <w:tcMar>
              <w:top w:type="dxa" w:w="60"/>
              <w:left w:type="dxa" w:w="90"/>
              <w:bottom w:type="dxa" w:w="60"/>
              <w:right w:type="dxa" w:w="90"/>
            </w:tcMar>
          </w:tcPr>
          <w:p>
            <w:r>
              <w:rPr>
                <w:b w:val="false"/>
                <w:bCs w:val="false"/>
                <w:color w:val="000000"/>
                <w:sz w:val="18"/>
                <w:szCs w:val="18"/>
              </w:rPr>
              <w:t xml:space="preserve">LLMs in general (deployment comparison)</w:t>
            </w:r>
          </w:p>
        </w:tc>
        <w:tc>
          <w:tcPr>
            <w:tcMar>
              <w:top w:type="dxa" w:w="60"/>
              <w:left w:type="dxa" w:w="90"/>
              <w:bottom w:type="dxa" w:w="60"/>
              <w:right w:type="dxa" w:w="90"/>
            </w:tcMar>
          </w:tcPr>
          <w:p>
            <w:r>
              <w:rPr>
                <w:b w:val="false"/>
                <w:bCs w:val="false"/>
                <w:color w:val="000000"/>
                <w:sz w:val="18"/>
                <w:szCs w:val="18"/>
              </w:rPr>
              <w:t xml:space="preserve">Deployment case studies</w:t>
            </w:r>
          </w:p>
        </w:tc>
        <w:tc>
          <w:tcPr>
            <w:tcMar>
              <w:top w:type="dxa" w:w="60"/>
              <w:left w:type="dxa" w:w="90"/>
              <w:bottom w:type="dxa" w:w="60"/>
              <w:right w:type="dxa" w:w="90"/>
            </w:tcMar>
          </w:tcPr>
          <w:p>
            <w:r>
              <w:rPr>
                <w:b w:val="false"/>
                <w:bCs w:val="false"/>
                <w:color w:val="000000"/>
                <w:sz w:val="18"/>
                <w:szCs w:val="18"/>
              </w:rPr>
              <w:t xml:space="preserve">High-level cost, elasticity, operational complexity</w:t>
            </w:r>
          </w:p>
        </w:tc>
        <w:tc>
          <w:tcPr>
            <w:tcMar>
              <w:top w:type="dxa" w:w="60"/>
              <w:left w:type="dxa" w:w="90"/>
              <w:bottom w:type="dxa" w:w="60"/>
              <w:right w:type="dxa" w:w="90"/>
            </w:tcMar>
          </w:tcPr>
          <w:p>
            <w:r>
              <w:rPr>
                <w:b w:val="false"/>
                <w:bCs w:val="false"/>
                <w:color w:val="000000"/>
                <w:sz w:val="18"/>
                <w:szCs w:val="18"/>
              </w:rPr>
              <w:t xml:space="preserve">Justifies dynamic multi-cloud as the cost/complexity middle ground</w:t>
            </w:r>
          </w:p>
        </w:tc>
      </w:tr>
      <w:tr>
        <w:tc>
          <w:tcPr>
            <w:shd w:fill="F2F2F2" w:val="clear"/>
            <w:tcMar>
              <w:top w:type="dxa" w:w="60"/>
              <w:left w:type="dxa" w:w="90"/>
              <w:bottom w:type="dxa" w:w="60"/>
              <w:right w:type="dxa" w:w="90"/>
            </w:tcMar>
          </w:tcPr>
          <w:p>
            <w:r>
              <w:rPr>
                <w:b w:val="false"/>
                <w:bCs w:val="false"/>
                <w:color w:val="000000"/>
                <w:sz w:val="18"/>
                <w:szCs w:val="18"/>
              </w:rPr>
              <w:t xml:space="preserve">Madupati et al. (2025)
Data pipelines</w:t>
            </w:r>
          </w:p>
        </w:tc>
        <w:tc>
          <w:tcPr>
            <w:shd w:fill="F2F2F2" w:val="clear"/>
            <w:tcMar>
              <w:top w:type="dxa" w:w="60"/>
              <w:left w:type="dxa" w:w="90"/>
              <w:bottom w:type="dxa" w:w="60"/>
              <w:right w:type="dxa" w:w="90"/>
            </w:tcMar>
          </w:tcPr>
          <w:p>
            <w:r>
              <w:rPr>
                <w:b w:val="false"/>
                <w:bCs w:val="false"/>
                <w:color w:val="000000"/>
                <w:sz w:val="18"/>
                <w:szCs w:val="18"/>
              </w:rPr>
              <w:t xml:space="preserve">None (pipeline design, multi-cloud)</w:t>
            </w:r>
          </w:p>
        </w:tc>
        <w:tc>
          <w:tcPr>
            <w:shd w:fill="F2F2F2" w:val="clear"/>
            <w:tcMar>
              <w:top w:type="dxa" w:w="60"/>
              <w:left w:type="dxa" w:w="90"/>
              <w:bottom w:type="dxa" w:w="60"/>
              <w:right w:type="dxa" w:w="90"/>
            </w:tcMar>
          </w:tcPr>
          <w:p>
            <w:r>
              <w:rPr>
                <w:b w:val="false"/>
                <w:bCs w:val="false"/>
                <w:color w:val="000000"/>
                <w:sz w:val="18"/>
                <w:szCs w:val="18"/>
              </w:rPr>
              <w:t xml:space="preserve">Enterprise LLM pipeline scenarios</w:t>
            </w:r>
          </w:p>
        </w:tc>
        <w:tc>
          <w:tcPr>
            <w:shd w:fill="F2F2F2" w:val="clear"/>
            <w:tcMar>
              <w:top w:type="dxa" w:w="60"/>
              <w:left w:type="dxa" w:w="90"/>
              <w:bottom w:type="dxa" w:w="60"/>
              <w:right w:type="dxa" w:w="90"/>
            </w:tcMar>
          </w:tcPr>
          <w:p>
            <w:r>
              <w:rPr>
                <w:b w:val="false"/>
                <w:bCs w:val="false"/>
                <w:color w:val="000000"/>
                <w:sz w:val="18"/>
                <w:szCs w:val="18"/>
              </w:rPr>
              <w:t xml:space="preserve">Descriptive; data-sovereignty constraints</w:t>
            </w:r>
          </w:p>
        </w:tc>
        <w:tc>
          <w:tcPr>
            <w:shd w:fill="F2F2F2" w:val="clear"/>
            <w:tcMar>
              <w:top w:type="dxa" w:w="60"/>
              <w:left w:type="dxa" w:w="90"/>
              <w:bottom w:type="dxa" w:w="60"/>
              <w:right w:type="dxa" w:w="90"/>
            </w:tcMar>
          </w:tcPr>
          <w:p>
            <w:r>
              <w:rPr>
                <w:b w:val="false"/>
                <w:bCs w:val="false"/>
                <w:color w:val="000000"/>
                <w:sz w:val="18"/>
                <w:szCs w:val="18"/>
              </w:rPr>
              <w:t xml:space="preserve">Source of the compliance / region-restriction constraint in the router</w:t>
            </w:r>
          </w:p>
        </w:tc>
      </w:tr>
      <w:tr>
        <w:tc>
          <w:tcPr>
            <w:tcMar>
              <w:top w:type="dxa" w:w="60"/>
              <w:left w:type="dxa" w:w="90"/>
              <w:bottom w:type="dxa" w:w="60"/>
              <w:right w:type="dxa" w:w="90"/>
            </w:tcMar>
          </w:tcPr>
          <w:p>
            <w:r>
              <w:rPr>
                <w:b w:val="false"/>
                <w:bCs w:val="false"/>
                <w:color w:val="000000"/>
                <w:sz w:val="18"/>
                <w:szCs w:val="18"/>
              </w:rPr>
              <w:t xml:space="preserve">Mohan &amp; Ranganathan (2025)
Containers</w:t>
            </w:r>
          </w:p>
        </w:tc>
        <w:tc>
          <w:tcPr>
            <w:tcMar>
              <w:top w:type="dxa" w:w="60"/>
              <w:left w:type="dxa" w:w="90"/>
              <w:bottom w:type="dxa" w:w="60"/>
              <w:right w:type="dxa" w:w="90"/>
            </w:tcMar>
          </w:tcPr>
          <w:p>
            <w:r>
              <w:rPr>
                <w:b w:val="false"/>
                <w:bCs w:val="false"/>
                <w:color w:val="000000"/>
                <w:sz w:val="18"/>
                <w:szCs w:val="18"/>
              </w:rPr>
              <w:t xml:space="preserve">LLM workflows (containerised, multi-cloud)</w:t>
            </w:r>
          </w:p>
        </w:tc>
        <w:tc>
          <w:tcPr>
            <w:tcMar>
              <w:top w:type="dxa" w:w="60"/>
              <w:left w:type="dxa" w:w="90"/>
              <w:bottom w:type="dxa" w:w="60"/>
              <w:right w:type="dxa" w:w="90"/>
            </w:tcMar>
          </w:tcPr>
          <w:p>
            <w:r>
              <w:rPr>
                <w:b w:val="false"/>
                <w:bCs w:val="false"/>
                <w:color w:val="000000"/>
                <w:sz w:val="18"/>
                <w:szCs w:val="18"/>
              </w:rPr>
              <w:t xml:space="preserve">Multi-cloud deployment scenarios</w:t>
            </w:r>
          </w:p>
        </w:tc>
        <w:tc>
          <w:tcPr>
            <w:tcMar>
              <w:top w:type="dxa" w:w="60"/>
              <w:left w:type="dxa" w:w="90"/>
              <w:bottom w:type="dxa" w:w="60"/>
              <w:right w:type="dxa" w:w="90"/>
            </w:tcMar>
          </w:tcPr>
          <w:p>
            <w:r>
              <w:rPr>
                <w:b w:val="false"/>
                <w:bCs w:val="false"/>
                <w:color w:val="000000"/>
                <w:sz w:val="18"/>
                <w:szCs w:val="18"/>
              </w:rPr>
              <w:t xml:space="preserve">Container security overhead (signing, policies, encryption)</w:t>
            </w:r>
          </w:p>
        </w:tc>
        <w:tc>
          <w:tcPr>
            <w:tcMar>
              <w:top w:type="dxa" w:w="60"/>
              <w:left w:type="dxa" w:w="90"/>
              <w:bottom w:type="dxa" w:w="60"/>
              <w:right w:type="dxa" w:w="90"/>
            </w:tcMar>
          </w:tcPr>
          <w:p>
            <w:r>
              <w:rPr>
                <w:b w:val="false"/>
                <w:bCs w:val="false"/>
                <w:color w:val="000000"/>
                <w:sz w:val="18"/>
                <w:szCs w:val="18"/>
              </w:rPr>
              <w:t xml:space="preserve">Confirms secure multi-cloud container deployment is low-overhead</w:t>
            </w:r>
          </w:p>
        </w:tc>
      </w:tr>
      <w:tr>
        <w:tc>
          <w:tcPr>
            <w:shd w:fill="F2F2F2" w:val="clear"/>
            <w:tcMar>
              <w:top w:type="dxa" w:w="60"/>
              <w:left w:type="dxa" w:w="90"/>
              <w:bottom w:type="dxa" w:w="60"/>
              <w:right w:type="dxa" w:w="90"/>
            </w:tcMar>
          </w:tcPr>
          <w:p>
            <w:r>
              <w:rPr>
                <w:b w:val="false"/>
                <w:bCs w:val="false"/>
                <w:color w:val="000000"/>
                <w:sz w:val="18"/>
                <w:szCs w:val="18"/>
              </w:rPr>
              <w:t xml:space="preserve">This Work (2025)</w:t>
            </w:r>
          </w:p>
        </w:tc>
        <w:tc>
          <w:tcPr>
            <w:shd w:fill="F2F2F2" w:val="clear"/>
            <w:tcMar>
              <w:top w:type="dxa" w:w="60"/>
              <w:left w:type="dxa" w:w="90"/>
              <w:bottom w:type="dxa" w:w="60"/>
              <w:right w:type="dxa" w:w="90"/>
            </w:tcMar>
          </w:tcPr>
          <w:p>
            <w:r>
              <w:rPr>
                <w:b w:val="false"/>
                <w:bCs w:val="false"/>
                <w:color w:val="000000"/>
                <w:sz w:val="18"/>
                <w:szCs w:val="18"/>
              </w:rPr>
              <w:t xml:space="preserve">Mistral-7B-Instruct + Llama-2-13B-Chat</w:t>
            </w:r>
          </w:p>
        </w:tc>
        <w:tc>
          <w:tcPr>
            <w:shd w:fill="F2F2F2" w:val="clear"/>
            <w:tcMar>
              <w:top w:type="dxa" w:w="60"/>
              <w:left w:type="dxa" w:w="90"/>
              <w:bottom w:type="dxa" w:w="60"/>
              <w:right w:type="dxa" w:w="90"/>
            </w:tcMar>
          </w:tcPr>
          <w:p>
            <w:r>
              <w:rPr>
                <w:b w:val="false"/>
                <w:bCs w:val="false"/>
                <w:color w:val="000000"/>
                <w:sz w:val="18"/>
                <w:szCs w:val="18"/>
              </w:rPr>
              <w:t xml:space="preserve">LMSYS-Arena-55k (short/medium) + CodeFeedback-Filtered 2-3k subset (long)</w:t>
            </w:r>
          </w:p>
        </w:tc>
        <w:tc>
          <w:tcPr>
            <w:shd w:fill="F2F2F2" w:val="clear"/>
            <w:tcMar>
              <w:top w:type="dxa" w:w="60"/>
              <w:left w:type="dxa" w:w="90"/>
              <w:bottom w:type="dxa" w:w="60"/>
              <w:right w:type="dxa" w:w="90"/>
            </w:tcMar>
          </w:tcPr>
          <w:p>
            <w:r>
              <w:rPr>
                <w:b w:val="false"/>
                <w:bCs w:val="false"/>
                <w:color w:val="000000"/>
                <w:sz w:val="18"/>
                <w:szCs w:val="18"/>
              </w:rPr>
              <w:t xml:space="preserve">Cost per 1k tokens, P95 latency (normal + 5x burst), completion rate, autoscale reaction, cost variance, router overhead</w:t>
            </w:r>
          </w:p>
        </w:tc>
        <w:tc>
          <w:tcPr>
            <w:shd w:fill="F2F2F2" w:val="clear"/>
            <w:tcMar>
              <w:top w:type="dxa" w:w="60"/>
              <w:left w:type="dxa" w:w="90"/>
              <w:bottom w:type="dxa" w:w="60"/>
              <w:right w:type="dxa" w:w="90"/>
            </w:tcMar>
          </w:tcPr>
          <w:p>
            <w:r>
              <w:rPr>
                <w:b w:val="false"/>
                <w:bCs w:val="false"/>
                <w:color w:val="000000"/>
                <w:sz w:val="18"/>
                <w:szCs w:val="18"/>
              </w:rPr>
              <w:t xml:space="preserve">First to unify model + instance + cloud routing with real-time cost telemetry</w:t>
            </w:r>
          </w:p>
        </w:tc>
      </w:tr>
    </w:tbl>
    <w:p/>
    <w:p>
      <w:pPr>
        <w:pStyle w:val="Heading1"/>
        <w:spacing w:after="120" w:before="240"/>
      </w:pPr>
      <w:r>
        <w:t xml:space="preserve">3. How This Project's Metrics Trace to the Literature</w:t>
      </w:r>
    </w:p>
    <w:p>
      <w:pPr>
        <w:spacing w:after="120"/>
      </w:pPr>
      <w:r>
        <w:rPr>
          <w:sz w:val="20"/>
          <w:szCs w:val="20"/>
        </w:rPr>
        <w:t xml:space="preserve">The evaluation metrics in Section 3.3 of the proposal are not arbitrary; each maps to a precedent in the reviewed work, which is the link the supervisor asked to see made explicit.</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3200"/>
        <w:gridCol w:w="1200"/>
        <w:gridCol w:w="4600"/>
      </w:tblGrid>
      <w:tr>
        <w:trPr>
          <w:tblHeader/>
        </w:trPr>
        <w:tc>
          <w:tcPr>
            <w:shd w:fill="1F3864" w:val="clear"/>
            <w:tcMar>
              <w:top w:type="dxa" w:w="60"/>
              <w:left w:type="dxa" w:w="90"/>
              <w:bottom w:type="dxa" w:w="60"/>
              <w:right w:type="dxa" w:w="90"/>
            </w:tcMar>
          </w:tcPr>
          <w:p>
            <w:r>
              <w:rPr>
                <w:b/>
                <w:bCs/>
                <w:color w:val="FFFFFF"/>
                <w:sz w:val="18"/>
                <w:szCs w:val="18"/>
              </w:rPr>
              <w:t xml:space="preserve">Metric (this project)</w:t>
            </w:r>
          </w:p>
        </w:tc>
        <w:tc>
          <w:tcPr>
            <w:shd w:fill="1F3864" w:val="clear"/>
            <w:tcMar>
              <w:top w:type="dxa" w:w="60"/>
              <w:left w:type="dxa" w:w="90"/>
              <w:bottom w:type="dxa" w:w="60"/>
              <w:right w:type="dxa" w:w="90"/>
            </w:tcMar>
          </w:tcPr>
          <w:p>
            <w:r>
              <w:rPr>
                <w:b/>
                <w:bCs/>
                <w:color w:val="FFFFFF"/>
                <w:sz w:val="18"/>
                <w:szCs w:val="18"/>
              </w:rPr>
              <w:t xml:space="preserve">Hypothesis</w:t>
            </w:r>
          </w:p>
        </w:tc>
        <w:tc>
          <w:tcPr>
            <w:shd w:fill="1F3864" w:val="clear"/>
            <w:tcMar>
              <w:top w:type="dxa" w:w="60"/>
              <w:left w:type="dxa" w:w="90"/>
              <w:bottom w:type="dxa" w:w="60"/>
              <w:right w:type="dxa" w:w="90"/>
            </w:tcMar>
          </w:tcPr>
          <w:p>
            <w:r>
              <w:rPr>
                <w:b/>
                <w:bCs/>
                <w:color w:val="FFFFFF"/>
                <w:sz w:val="18"/>
                <w:szCs w:val="18"/>
              </w:rPr>
              <w:t xml:space="preserve">Traced to</w:t>
            </w:r>
          </w:p>
        </w:tc>
      </w:tr>
      <w:tr>
        <w:tc>
          <w:tcPr>
            <w:tcMar>
              <w:top w:type="dxa" w:w="60"/>
              <w:left w:type="dxa" w:w="90"/>
              <w:bottom w:type="dxa" w:w="60"/>
              <w:right w:type="dxa" w:w="90"/>
            </w:tcMar>
          </w:tcPr>
          <w:p>
            <w:r>
              <w:rPr>
                <w:b w:val="false"/>
                <w:bCs w:val="false"/>
                <w:color w:val="000000"/>
                <w:sz w:val="18"/>
                <w:szCs w:val="18"/>
              </w:rPr>
              <w:t xml:space="preserve">Cost per 1k tokens; cost variance</w:t>
            </w:r>
          </w:p>
        </w:tc>
        <w:tc>
          <w:tcPr>
            <w:tcMar>
              <w:top w:type="dxa" w:w="60"/>
              <w:left w:type="dxa" w:w="90"/>
              <w:bottom w:type="dxa" w:w="60"/>
              <w:right w:type="dxa" w:w="90"/>
            </w:tcMar>
          </w:tcPr>
          <w:p>
            <w:r>
              <w:rPr>
                <w:b w:val="false"/>
                <w:bCs w:val="false"/>
                <w:color w:val="000000"/>
                <w:sz w:val="18"/>
                <w:szCs w:val="18"/>
              </w:rPr>
              <w:t xml:space="preserve">H1</w:t>
            </w:r>
          </w:p>
        </w:tc>
        <w:tc>
          <w:tcPr>
            <w:tcMar>
              <w:top w:type="dxa" w:w="60"/>
              <w:left w:type="dxa" w:w="90"/>
              <w:bottom w:type="dxa" w:w="60"/>
              <w:right w:type="dxa" w:w="90"/>
            </w:tcMar>
          </w:tcPr>
          <w:p>
            <w:r>
              <w:rPr>
                <w:b w:val="false"/>
                <w:bCs w:val="false"/>
                <w:color w:val="000000"/>
                <w:sz w:val="18"/>
                <w:szCs w:val="18"/>
              </w:rPr>
              <w:t xml:space="preserve">RouteLLM / OmniRouter cost-reduction framing; OPTIC FOCUS-normalised billing</w:t>
            </w:r>
          </w:p>
        </w:tc>
      </w:tr>
      <w:tr>
        <w:tc>
          <w:tcPr>
            <w:shd w:fill="F2F2F2" w:val="clear"/>
            <w:tcMar>
              <w:top w:type="dxa" w:w="60"/>
              <w:left w:type="dxa" w:w="90"/>
              <w:bottom w:type="dxa" w:w="60"/>
              <w:right w:type="dxa" w:w="90"/>
            </w:tcMar>
          </w:tcPr>
          <w:p>
            <w:r>
              <w:rPr>
                <w:b w:val="false"/>
                <w:bCs w:val="false"/>
                <w:color w:val="000000"/>
                <w:sz w:val="18"/>
                <w:szCs w:val="18"/>
              </w:rPr>
              <w:t xml:space="preserve">P95 latency, normal + burst</w:t>
            </w:r>
          </w:p>
        </w:tc>
        <w:tc>
          <w:tcPr>
            <w:shd w:fill="F2F2F2" w:val="clear"/>
            <w:tcMar>
              <w:top w:type="dxa" w:w="60"/>
              <w:left w:type="dxa" w:w="90"/>
              <w:bottom w:type="dxa" w:w="60"/>
              <w:right w:type="dxa" w:w="90"/>
            </w:tcMar>
          </w:tcPr>
          <w:p>
            <w:r>
              <w:rPr>
                <w:b w:val="false"/>
                <w:bCs w:val="false"/>
                <w:color w:val="000000"/>
                <w:sz w:val="18"/>
                <w:szCs w:val="18"/>
              </w:rPr>
              <w:t xml:space="preserve">H2</w:t>
            </w:r>
          </w:p>
        </w:tc>
        <w:tc>
          <w:tcPr>
            <w:shd w:fill="F2F2F2" w:val="clear"/>
            <w:tcMar>
              <w:top w:type="dxa" w:w="60"/>
              <w:left w:type="dxa" w:w="90"/>
              <w:bottom w:type="dxa" w:w="60"/>
              <w:right w:type="dxa" w:w="90"/>
            </w:tcMar>
          </w:tcPr>
          <w:p>
            <w:r>
              <w:rPr>
                <w:b w:val="false"/>
                <w:bCs w:val="false"/>
                <w:color w:val="000000"/>
                <w:sz w:val="18"/>
                <w:szCs w:val="18"/>
              </w:rPr>
              <w:t xml:space="preserve">Yu et al. instance-latency routing; vLLM serving-latency benchmarks</w:t>
            </w:r>
          </w:p>
        </w:tc>
      </w:tr>
      <w:tr>
        <w:tc>
          <w:tcPr>
            <w:tcMar>
              <w:top w:type="dxa" w:w="60"/>
              <w:left w:type="dxa" w:w="90"/>
              <w:bottom w:type="dxa" w:w="60"/>
              <w:right w:type="dxa" w:w="90"/>
            </w:tcMar>
          </w:tcPr>
          <w:p>
            <w:r>
              <w:rPr>
                <w:b w:val="false"/>
                <w:bCs w:val="false"/>
                <w:color w:val="000000"/>
                <w:sz w:val="18"/>
                <w:szCs w:val="18"/>
              </w:rPr>
              <w:t xml:space="preserve">Autoscale reaction time</w:t>
            </w:r>
          </w:p>
        </w:tc>
        <w:tc>
          <w:tcPr>
            <w:tcMar>
              <w:top w:type="dxa" w:w="60"/>
              <w:left w:type="dxa" w:w="90"/>
              <w:bottom w:type="dxa" w:w="60"/>
              <w:right w:type="dxa" w:w="90"/>
            </w:tcMar>
          </w:tcPr>
          <w:p>
            <w:r>
              <w:rPr>
                <w:b w:val="false"/>
                <w:bCs w:val="false"/>
                <w:color w:val="000000"/>
                <w:sz w:val="18"/>
                <w:szCs w:val="18"/>
              </w:rPr>
              <w:t xml:space="preserve">H2/H3</w:t>
            </w:r>
          </w:p>
        </w:tc>
        <w:tc>
          <w:tcPr>
            <w:tcMar>
              <w:top w:type="dxa" w:w="60"/>
              <w:left w:type="dxa" w:w="90"/>
              <w:bottom w:type="dxa" w:w="60"/>
              <w:right w:type="dxa" w:w="90"/>
            </w:tcMar>
          </w:tcPr>
          <w:p>
            <w:r>
              <w:rPr>
                <w:b w:val="false"/>
                <w:bCs w:val="false"/>
                <w:color w:val="000000"/>
                <w:sz w:val="18"/>
                <w:szCs w:val="18"/>
              </w:rPr>
              <w:t xml:space="preserve">Ye &amp; Ying LLM-aware scaling; Laurent &amp; Reynolds predictive scaling</w:t>
            </w:r>
          </w:p>
        </w:tc>
      </w:tr>
      <w:tr>
        <w:tc>
          <w:tcPr>
            <w:shd w:fill="F2F2F2" w:val="clear"/>
            <w:tcMar>
              <w:top w:type="dxa" w:w="60"/>
              <w:left w:type="dxa" w:w="90"/>
              <w:bottom w:type="dxa" w:w="60"/>
              <w:right w:type="dxa" w:w="90"/>
            </w:tcMar>
          </w:tcPr>
          <w:p>
            <w:r>
              <w:rPr>
                <w:b w:val="false"/>
                <w:bCs w:val="false"/>
                <w:color w:val="000000"/>
                <w:sz w:val="18"/>
                <w:szCs w:val="18"/>
              </w:rPr>
              <w:t xml:space="preserve">Request completion rate (reliability)</w:t>
            </w:r>
          </w:p>
        </w:tc>
        <w:tc>
          <w:tcPr>
            <w:shd w:fill="F2F2F2" w:val="clear"/>
            <w:tcMar>
              <w:top w:type="dxa" w:w="60"/>
              <w:left w:type="dxa" w:w="90"/>
              <w:bottom w:type="dxa" w:w="60"/>
              <w:right w:type="dxa" w:w="90"/>
            </w:tcMar>
          </w:tcPr>
          <w:p>
            <w:r>
              <w:rPr>
                <w:b w:val="false"/>
                <w:bCs w:val="false"/>
                <w:color w:val="000000"/>
                <w:sz w:val="18"/>
                <w:szCs w:val="18"/>
              </w:rPr>
              <w:t xml:space="preserve">H3</w:t>
            </w:r>
          </w:p>
        </w:tc>
        <w:tc>
          <w:tcPr>
            <w:shd w:fill="F2F2F2" w:val="clear"/>
            <w:tcMar>
              <w:top w:type="dxa" w:w="60"/>
              <w:left w:type="dxa" w:w="90"/>
              <w:bottom w:type="dxa" w:w="60"/>
              <w:right w:type="dxa" w:w="90"/>
            </w:tcMar>
          </w:tcPr>
          <w:p>
            <w:r>
              <w:rPr>
                <w:b w:val="false"/>
                <w:bCs w:val="false"/>
                <w:color w:val="000000"/>
                <w:sz w:val="18"/>
                <w:szCs w:val="18"/>
              </w:rPr>
              <w:t xml:space="preserve">Multi-cloud availability arguments (Singh &amp; Sarma)</w:t>
            </w:r>
          </w:p>
        </w:tc>
      </w:tr>
      <w:tr>
        <w:tc>
          <w:tcPr>
            <w:tcMar>
              <w:top w:type="dxa" w:w="60"/>
              <w:left w:type="dxa" w:w="90"/>
              <w:bottom w:type="dxa" w:w="60"/>
              <w:right w:type="dxa" w:w="90"/>
            </w:tcMar>
          </w:tcPr>
          <w:p>
            <w:r>
              <w:rPr>
                <w:b w:val="false"/>
                <w:bCs w:val="false"/>
                <w:color w:val="000000"/>
                <w:sz w:val="18"/>
                <w:szCs w:val="18"/>
              </w:rPr>
              <w:t xml:space="preserve">Router decision overhead (&lt;5ms)</w:t>
            </w:r>
          </w:p>
        </w:tc>
        <w:tc>
          <w:tcPr>
            <w:tcMar>
              <w:top w:type="dxa" w:w="60"/>
              <w:left w:type="dxa" w:w="90"/>
              <w:bottom w:type="dxa" w:w="60"/>
              <w:right w:type="dxa" w:w="90"/>
            </w:tcMar>
          </w:tcPr>
          <w:p>
            <w:r>
              <w:rPr>
                <w:b w:val="false"/>
                <w:bCs w:val="false"/>
                <w:color w:val="000000"/>
                <w:sz w:val="18"/>
                <w:szCs w:val="18"/>
              </w:rPr>
              <w:t xml:space="preserve">H2</w:t>
            </w:r>
          </w:p>
        </w:tc>
        <w:tc>
          <w:tcPr>
            <w:tcMar>
              <w:top w:type="dxa" w:w="60"/>
              <w:left w:type="dxa" w:w="90"/>
              <w:bottom w:type="dxa" w:w="60"/>
              <w:right w:type="dxa" w:w="90"/>
            </w:tcMar>
          </w:tcPr>
          <w:p>
            <w:r>
              <w:rPr>
                <w:b w:val="false"/>
                <w:bCs w:val="false"/>
                <w:color w:val="000000"/>
                <w:sz w:val="18"/>
                <w:szCs w:val="18"/>
              </w:rPr>
              <w:t xml:space="preserve">Keeps routing cost negligible vs RouteLLM-style model-level routing</w:t>
            </w:r>
          </w:p>
        </w:tc>
      </w:tr>
    </w:tbl>
    <w:p/>
    <w:p>
      <w:pPr>
        <w:pStyle w:val="Heading1"/>
        <w:spacing w:after="120" w:before="240"/>
      </w:pPr>
      <w:r>
        <w:t xml:space="preserve">4. Immediate Next Steps (Implementation)</w:t>
      </w:r>
    </w:p>
    <w:p>
      <w:pPr>
        <w:spacing w:after="120"/>
      </w:pPr>
      <w:r>
        <w:rPr>
          <w:sz w:val="20"/>
          <w:szCs w:val="20"/>
        </w:rPr>
        <w:t xml:space="preserve">A runnable router skeleton already exists and was demonstrated end-to-end on a simulated query stream across all four experimental conditions (static AWS, static Azure, round-robin, predictive). It loads queries, buckets them by token length, predicts cost and latency per (cloud, model) endpoint from a TTL-bounded telemetry cache, and selects an endpoint under a latency SLO. Only the telemetry source changes when real clusters come online.</w:t>
      </w:r>
    </w:p>
    <w:p>
      <w:pPr>
        <w:spacing w:after="120"/>
      </w:pPr>
      <w:r>
        <w:rPr>
          <w:sz w:val="20"/>
          <w:szCs w:val="20"/>
        </w:rPr>
        <w:t xml:space="preserve">Week-1 priorities: (a) request Azure A10 GPU quota now, as approval can take 1-2 days; (b) confirm the real AWS/Azure A10 price gap is large enough to support the H1 25% target, using on-demand ~$1.00/hr (AWS g5.xlarge) vs ~$0.45/hr (Azure NV6ads_A10_v5) as anchors; (c) given the combined ~$400 credit, plan short measured windows (2-4h) rather than the full 72h, and state this constraint in the methodology.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2026-05-31T14:09:16.260Z</dcterms:created>
  <dcterms:modified xsi:type="dcterms:W3CDTF">2026-05-31T14:09:16.260Z</dcterms:modified>
</cp:coreProperties>
</file>

<file path=docProps/custom.xml><?xml version="1.0" encoding="utf-8"?>
<Properties xmlns="http://schemas.openxmlformats.org/officeDocument/2006/custom-properties" xmlns:vt="http://schemas.openxmlformats.org/officeDocument/2006/docPropsVTypes"/>
</file>