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Arial" w:hAnsi="Arial"/>
          <w:b/>
          <w:i w:val="0"/>
          <w:color w:val="000000"/>
          <w:sz w:val="50"/>
        </w:rPr>
        <w:t>SOFTWARE REQUIREMENTS</w:t>
        <w:br/>
        <w:t>SPECIFICATION</w:t>
      </w:r>
    </w:p>
    <w:p>
      <w:pPr>
        <w:spacing w:after="60"/>
        <w:jc w:val="center"/>
      </w:pPr>
      <w:r>
        <w:rPr>
          <w:rFonts w:ascii="Arial" w:hAnsi="Arial"/>
          <w:b/>
          <w:i w:val="0"/>
          <w:color w:val="333333"/>
          <w:sz w:val="46"/>
        </w:rPr>
        <w:t>Career Copilot</w:t>
      </w:r>
    </w:p>
    <w:p>
      <w:pPr>
        <w:spacing w:after="360"/>
        <w:jc w:val="center"/>
      </w:pPr>
      <w:r>
        <w:rPr>
          <w:rFonts w:ascii="Arial" w:hAnsi="Arial"/>
          <w:b w:val="0"/>
          <w:i/>
          <w:color w:val="333333"/>
          <w:sz w:val="23"/>
        </w:rPr>
        <w:t>Private, evidence-grounded career development workspace</w:t>
      </w:r>
    </w:p>
    <w:tbl>
      <w:tblPr>
        <w:tblW w:w="10030" w:type="dxa"/>
        <w:tblInd w:w="80" w:type="dxa"/>
        <w:tblStyle w:val="TableGrid"/>
        <w:jc w:val="left"/>
        <w:tblLayout w:type="fixed"/>
        <w:tblLook w:firstColumn="1" w:firstRow="1" w:lastColumn="0" w:lastRow="0" w:noHBand="0" w:noVBand="1" w:val="04A0"/>
      </w:tblPr>
      <w:tblGrid>
        <w:gridCol w:w="2150"/>
        <w:gridCol w:w="7880"/>
      </w:tblGrid>
      <w:tr>
        <w:trPr>
          <w:tblHeader w:val="true"/>
        </w:trPr>
        <w:tc>
          <w:tcPr>
            <w:tcW w:type="dxa" w:w="215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8"/>
              </w:rPr>
              <w:t>Document</w:t>
            </w:r>
          </w:p>
        </w:tc>
        <w:tc>
          <w:tcPr>
            <w:tcW w:type="dxa" w:w="788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8"/>
              </w:rPr>
              <w:t>Value</w:t>
            </w:r>
          </w:p>
        </w:tc>
      </w:tr>
      <w:tr>
        <w:trPr>
          <w:cantSplit/>
        </w:trPr>
        <w:tc>
          <w:tcPr>
            <w:tcW w:type="dxa" w:w="215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Organization</w:t>
            </w:r>
          </w:p>
        </w:tc>
        <w:tc>
          <w:tcPr>
            <w:tcW w:type="dxa" w:w="788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CDAC Mumbai</w:t>
            </w:r>
          </w:p>
        </w:tc>
      </w:tr>
      <w:tr>
        <w:trPr>
          <w:cantSplit/>
        </w:trPr>
        <w:tc>
          <w:tcPr>
            <w:tcW w:type="dxa" w:w="215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Version / status</w:t>
            </w:r>
          </w:p>
        </w:tc>
        <w:tc>
          <w:tcPr>
            <w:tcW w:type="dxa" w:w="788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1.0 / Baseline SRS</w:t>
            </w:r>
          </w:p>
        </w:tc>
      </w:tr>
      <w:tr>
        <w:trPr>
          <w:cantSplit/>
        </w:trPr>
        <w:tc>
          <w:tcPr>
            <w:tcW w:type="dxa" w:w="215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Repository baseline</w:t>
            </w:r>
          </w:p>
        </w:tc>
        <w:tc>
          <w:tcPr>
            <w:tcW w:type="dxa" w:w="788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main @ bfa1f05ec597dec32f9c0b4fe9bb544d129a7327</w:t>
            </w:r>
          </w:p>
        </w:tc>
      </w:tr>
      <w:tr>
        <w:trPr>
          <w:cantSplit/>
        </w:trPr>
        <w:tc>
          <w:tcPr>
            <w:tcW w:type="dxa" w:w="215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Prepared on</w:t>
            </w:r>
          </w:p>
        </w:tc>
        <w:tc>
          <w:tcPr>
            <w:tcW w:type="dxa" w:w="788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09 August 2026</w:t>
            </w:r>
          </w:p>
        </w:tc>
      </w:tr>
    </w:tbl>
    <w:p>
      <w:pPr>
        <w:spacing w:after="0" w:before="40"/>
      </w:pPr>
    </w:p>
    <w:p>
      <w:pPr>
        <w:spacing w:before="260" w:after="100"/>
        <w:jc w:val="center"/>
      </w:pPr>
      <w:r>
        <w:rPr>
          <w:rFonts w:ascii="Arial" w:hAnsi="Arial"/>
          <w:b/>
          <w:i w:val="0"/>
          <w:color w:val="000000"/>
          <w:sz w:val="21"/>
        </w:rPr>
        <w:t>Prepared by</w:t>
      </w:r>
    </w:p>
    <w:p>
      <w:pPr>
        <w:spacing w:after="20"/>
        <w:jc w:val="center"/>
      </w:pPr>
      <w:r>
        <w:rPr>
          <w:rFonts w:ascii="Arial" w:hAnsi="Arial"/>
          <w:b w:val="0"/>
          <w:i w:val="0"/>
          <w:color w:val="000000"/>
          <w:sz w:val="21"/>
        </w:rPr>
        <w:t>Daji Adelkar</w:t>
      </w:r>
    </w:p>
    <w:p>
      <w:pPr>
        <w:spacing w:after="20"/>
        <w:jc w:val="center"/>
      </w:pPr>
      <w:r>
        <w:rPr>
          <w:rFonts w:ascii="Arial" w:hAnsi="Arial"/>
          <w:b w:val="0"/>
          <w:i w:val="0"/>
          <w:color w:val="000000"/>
          <w:sz w:val="21"/>
        </w:rPr>
        <w:t>Faizan Khan</w:t>
      </w:r>
    </w:p>
    <w:p>
      <w:pPr>
        <w:spacing w:after="20"/>
        <w:jc w:val="center"/>
      </w:pPr>
      <w:r>
        <w:rPr>
          <w:rFonts w:ascii="Arial" w:hAnsi="Arial"/>
          <w:b w:val="0"/>
          <w:i w:val="0"/>
          <w:color w:val="000000"/>
          <w:sz w:val="21"/>
        </w:rPr>
        <w:t>Pratik Bamhane</w:t>
      </w:r>
    </w:p>
    <w:p>
      <w:pPr>
        <w:spacing w:after="20"/>
        <w:jc w:val="center"/>
      </w:pPr>
      <w:r>
        <w:rPr>
          <w:rFonts w:ascii="Arial" w:hAnsi="Arial"/>
          <w:b w:val="0"/>
          <w:i w:val="0"/>
          <w:color w:val="000000"/>
          <w:sz w:val="21"/>
        </w:rPr>
        <w:t>Priyansu Pattnaik</w:t>
      </w:r>
    </w:p>
    <w:p>
      <w:pPr>
        <w:spacing w:after="20"/>
        <w:jc w:val="center"/>
      </w:pPr>
      <w:r>
        <w:rPr>
          <w:rFonts w:ascii="Arial" w:hAnsi="Arial"/>
          <w:b w:val="0"/>
          <w:i w:val="0"/>
          <w:color w:val="000000"/>
          <w:sz w:val="21"/>
        </w:rPr>
        <w:t>Ronak Kudal</w:t>
      </w:r>
    </w:p>
    <w:p>
      <w:pPr>
        <w:spacing w:after="0"/>
      </w:pPr>
      <w:r>
        <w:br w:type="page"/>
      </w:r>
    </w:p>
    <w:p>
      <w:pPr>
        <w:pStyle w:val="Heading1"/>
        <w:keepNext/>
      </w:pPr>
      <w:r>
        <w:rPr>
          <w:rFonts w:ascii="Arial" w:hAnsi="Arial"/>
          <w:b/>
          <w:i w:val="0"/>
          <w:color w:val="000000"/>
          <w:sz w:val="29"/>
        </w:rPr>
        <w:t>Document Control</w:t>
      </w:r>
    </w:p>
    <w:tbl>
      <w:tblPr>
        <w:tblW w:w="10030" w:type="dxa"/>
        <w:tblInd w:w="80" w:type="dxa"/>
        <w:tblStyle w:val="TableGrid"/>
        <w:jc w:val="left"/>
        <w:tblLayout w:type="fixed"/>
        <w:tblLook w:firstColumn="1" w:firstRow="1" w:lastColumn="0" w:lastRow="0" w:noHBand="0" w:noVBand="1" w:val="04A0"/>
      </w:tblPr>
      <w:tblGrid>
        <w:gridCol w:w="2150"/>
        <w:gridCol w:w="7880"/>
      </w:tblGrid>
      <w:tr>
        <w:trPr>
          <w:tblHeader w:val="true"/>
        </w:trPr>
        <w:tc>
          <w:tcPr>
            <w:tcW w:type="dxa" w:w="215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7"/>
              </w:rPr>
              <w:t>Item</w:t>
            </w:r>
          </w:p>
        </w:tc>
        <w:tc>
          <w:tcPr>
            <w:tcW w:type="dxa" w:w="788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7"/>
              </w:rPr>
              <w:t>Specification</w:t>
            </w:r>
          </w:p>
        </w:tc>
      </w:tr>
      <w:tr>
        <w:trPr>
          <w:cantSplit/>
        </w:trPr>
        <w:tc>
          <w:tcPr>
            <w:tcW w:type="dxa" w:w="215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Purpose</w:t>
            </w:r>
          </w:p>
        </w:tc>
        <w:tc>
          <w:tcPr>
            <w:tcW w:type="dxa" w:w="788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Defines verifiable software requirements for the current Career Copilot candidate application.</w:t>
            </w:r>
          </w:p>
        </w:tc>
      </w:tr>
      <w:tr>
        <w:trPr>
          <w:cantSplit/>
        </w:trPr>
        <w:tc>
          <w:tcPr>
            <w:tcW w:type="dxa" w:w="215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Source of truth</w:t>
            </w:r>
          </w:p>
        </w:tc>
        <w:tc>
          <w:tcPr>
            <w:tcW w:type="dxa" w:w="788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Reviewed repository and its canonical documentation; secret values are excluded.</w:t>
            </w:r>
          </w:p>
        </w:tc>
      </w:tr>
      <w:tr>
        <w:trPr>
          <w:cantSplit/>
        </w:trPr>
        <w:tc>
          <w:tcPr>
            <w:tcW w:type="dxa" w:w="215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Requirement words</w:t>
            </w:r>
          </w:p>
        </w:tc>
        <w:tc>
          <w:tcPr>
            <w:tcW w:type="dxa" w:w="788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Shall = mandatory; should = recommended; may = optional capability.</w:t>
            </w:r>
          </w:p>
        </w:tc>
      </w:tr>
      <w:tr>
        <w:trPr>
          <w:cantSplit/>
        </w:trPr>
        <w:tc>
          <w:tcPr>
            <w:tcW w:type="dxa" w:w="215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Priority</w:t>
            </w:r>
          </w:p>
        </w:tc>
        <w:tc>
          <w:tcPr>
            <w:tcW w:type="dxa" w:w="788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H = release-critical; M = important; L = optional enhancement.</w:t>
            </w:r>
          </w:p>
        </w:tc>
      </w:tr>
      <w:tr>
        <w:trPr>
          <w:cantSplit/>
        </w:trPr>
        <w:tc>
          <w:tcPr>
            <w:tcW w:type="dxa" w:w="215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Change control</w:t>
            </w:r>
          </w:p>
        </w:tc>
        <w:tc>
          <w:tcPr>
            <w:tcW w:type="dxa" w:w="788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Requirement changes require a new version and impact review of linked tests/components.</w:t>
            </w:r>
          </w:p>
        </w:tc>
      </w:tr>
    </w:tbl>
    <w:p>
      <w:pPr>
        <w:spacing w:after="0" w:before="40"/>
      </w:pPr>
    </w:p>
    <w:p>
      <w:pPr>
        <w:pStyle w:val="Heading1"/>
        <w:keepNext/>
      </w:pPr>
      <w:r>
        <w:rPr>
          <w:rFonts w:ascii="Arial" w:hAnsi="Arial"/>
          <w:b/>
          <w:i w:val="0"/>
          <w:color w:val="000000"/>
          <w:sz w:val="29"/>
        </w:rPr>
        <w:t>Table of Contents</w:t>
      </w:r>
    </w:p>
    <w:tbl>
      <w:tblPr>
        <w:tblW w:w="10030" w:type="dxa"/>
        <w:tblInd w:w="80" w:type="dxa"/>
        <w:tblStyle w:val="TableGrid"/>
        <w:jc w:val="left"/>
        <w:tblLayout w:type="fixed"/>
        <w:tblLook w:firstColumn="1" w:firstRow="1" w:lastColumn="0" w:lastRow="0" w:noHBand="0" w:noVBand="1" w:val="04A0"/>
      </w:tblPr>
      <w:tblGrid>
        <w:gridCol w:w="900"/>
        <w:gridCol w:w="8170"/>
        <w:gridCol w:w="960"/>
      </w:tblGrid>
      <w:tr>
        <w:trPr>
          <w:tblHeader w:val="true"/>
        </w:trPr>
        <w:tc>
          <w:tcPr>
            <w:tcW w:type="dxa" w:w="90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8"/>
              </w:rPr>
              <w:t>Section</w:t>
            </w:r>
          </w:p>
        </w:tc>
        <w:tc>
          <w:tcPr>
            <w:tcW w:type="dxa" w:w="817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8"/>
              </w:rPr>
              <w:t>Title</w:t>
            </w:r>
          </w:p>
        </w:tc>
        <w:tc>
          <w:tcPr>
            <w:tcW w:type="dxa" w:w="96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8"/>
              </w:rPr>
              <w:t>Page</w:t>
            </w:r>
          </w:p>
        </w:tc>
      </w:tr>
      <w:tr>
        <w:trPr>
          <w:cantSplit/>
        </w:trPr>
        <w:tc>
          <w:tcPr>
            <w:tcW w:type="dxa" w:w="9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1</w:t>
            </w:r>
          </w:p>
        </w:tc>
        <w:tc>
          <w:tcPr>
            <w:tcW w:type="dxa" w:w="817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8"/>
              </w:rPr>
              <w:t>Introduction</w:t>
            </w:r>
          </w:p>
        </w:tc>
        <w:tc>
          <w:tcPr>
            <w:tcW w:type="dxa" w:w="96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3</w:t>
            </w:r>
          </w:p>
        </w:tc>
      </w:tr>
      <w:tr>
        <w:trPr>
          <w:cantSplit/>
        </w:trPr>
        <w:tc>
          <w:tcPr>
            <w:tcW w:type="dxa" w:w="9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2</w:t>
            </w:r>
          </w:p>
        </w:tc>
        <w:tc>
          <w:tcPr>
            <w:tcW w:type="dxa" w:w="817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8"/>
              </w:rPr>
              <w:t>Overall Description</w:t>
            </w:r>
          </w:p>
        </w:tc>
        <w:tc>
          <w:tcPr>
            <w:tcW w:type="dxa" w:w="96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3</w:t>
            </w:r>
          </w:p>
        </w:tc>
      </w:tr>
      <w:tr>
        <w:trPr>
          <w:cantSplit/>
        </w:trPr>
        <w:tc>
          <w:tcPr>
            <w:tcW w:type="dxa" w:w="9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3</w:t>
            </w:r>
          </w:p>
        </w:tc>
        <w:tc>
          <w:tcPr>
            <w:tcW w:type="dxa" w:w="817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8"/>
              </w:rPr>
              <w:t>External Interface Requirements and Context Model</w:t>
            </w:r>
          </w:p>
        </w:tc>
        <w:tc>
          <w:tcPr>
            <w:tcW w:type="dxa" w:w="96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4</w:t>
            </w:r>
          </w:p>
        </w:tc>
      </w:tr>
      <w:tr>
        <w:trPr>
          <w:cantSplit/>
        </w:trPr>
        <w:tc>
          <w:tcPr>
            <w:tcW w:type="dxa" w:w="9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4</w:t>
            </w:r>
          </w:p>
        </w:tc>
        <w:tc>
          <w:tcPr>
            <w:tcW w:type="dxa" w:w="817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8"/>
              </w:rPr>
              <w:t>System Features and Functional Requirements</w:t>
            </w:r>
          </w:p>
        </w:tc>
        <w:tc>
          <w:tcPr>
            <w:tcW w:type="dxa" w:w="96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5-7</w:t>
            </w:r>
          </w:p>
        </w:tc>
      </w:tr>
      <w:tr>
        <w:trPr>
          <w:cantSplit/>
        </w:trPr>
        <w:tc>
          <w:tcPr>
            <w:tcW w:type="dxa" w:w="9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5</w:t>
            </w:r>
          </w:p>
        </w:tc>
        <w:tc>
          <w:tcPr>
            <w:tcW w:type="dxa" w:w="817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8"/>
              </w:rPr>
              <w:t>Data Requirements, Business Rules and Dependencies</w:t>
            </w:r>
          </w:p>
        </w:tc>
        <w:tc>
          <w:tcPr>
            <w:tcW w:type="dxa" w:w="96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8</w:t>
            </w:r>
          </w:p>
        </w:tc>
      </w:tr>
      <w:tr>
        <w:trPr>
          <w:cantSplit/>
        </w:trPr>
        <w:tc>
          <w:tcPr>
            <w:tcW w:type="dxa" w:w="9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6</w:t>
            </w:r>
          </w:p>
        </w:tc>
        <w:tc>
          <w:tcPr>
            <w:tcW w:type="dxa" w:w="817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8"/>
              </w:rPr>
              <w:t>Other Nonfunctional Requirements</w:t>
            </w:r>
          </w:p>
        </w:tc>
        <w:tc>
          <w:tcPr>
            <w:tcW w:type="dxa" w:w="96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9</w:t>
            </w:r>
          </w:p>
        </w:tc>
      </w:tr>
      <w:tr>
        <w:trPr>
          <w:cantSplit/>
        </w:trPr>
        <w:tc>
          <w:tcPr>
            <w:tcW w:type="dxa" w:w="9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7</w:t>
            </w:r>
          </w:p>
        </w:tc>
        <w:tc>
          <w:tcPr>
            <w:tcW w:type="dxa" w:w="817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8"/>
              </w:rPr>
              <w:t>Traceability, Acceptance, Glossary and References</w:t>
            </w:r>
          </w:p>
        </w:tc>
        <w:tc>
          <w:tcPr>
            <w:tcW w:type="dxa" w:w="96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8"/>
              </w:rPr>
              <w:t>10</w:t>
            </w:r>
          </w:p>
        </w:tc>
      </w:tr>
    </w:tbl>
    <w:p>
      <w:pPr>
        <w:spacing w:after="0" w:before="40"/>
      </w:pPr>
    </w:p>
    <w:p>
      <w:pPr>
        <w:spacing w:before="0" w:after="0" w:line="250" w:lineRule="auto"/>
      </w:pPr>
      <w:r>
        <w:rPr>
          <w:rFonts w:ascii="Arial" w:hAnsi="Arial"/>
          <w:b w:val="0"/>
          <w:i w:val="0"/>
          <w:color w:val="000000"/>
          <w:sz w:val="17"/>
        </w:rPr>
        <w:t>IEEE alignment: the section vocabulary and requirement pattern are adapted from the supplied IEEE Software Requirements Specification template; placeholder instructions have been removed.</w:t>
      </w:r>
    </w:p>
    <w:p>
      <w:pPr>
        <w:spacing w:after="0"/>
      </w:pPr>
      <w:r>
        <w:br w:type="page"/>
      </w:r>
    </w:p>
    <w:p>
      <w:pPr>
        <w:pStyle w:val="Heading1"/>
        <w:keepNext/>
      </w:pPr>
      <w:r>
        <w:rPr>
          <w:rFonts w:ascii="Arial" w:hAnsi="Arial"/>
          <w:b/>
          <w:i w:val="0"/>
          <w:color w:val="000000"/>
          <w:sz w:val="29"/>
        </w:rPr>
        <w:t>1. Introduction</w:t>
      </w:r>
    </w:p>
    <w:p>
      <w:pPr>
        <w:pStyle w:val="Heading2"/>
        <w:keepNext/>
      </w:pPr>
      <w:r>
        <w:rPr>
          <w:rFonts w:ascii="Arial" w:hAnsi="Arial"/>
          <w:b/>
          <w:i w:val="0"/>
          <w:color w:val="000000"/>
          <w:sz w:val="21"/>
        </w:rPr>
        <w:t>1.1 Purpose and Audience</w:t>
      </w:r>
    </w:p>
    <w:p>
      <w:pPr>
        <w:spacing w:before="0" w:after="50" w:line="250" w:lineRule="auto"/>
      </w:pPr>
      <w:r>
        <w:rPr>
          <w:rFonts w:ascii="Arial" w:hAnsi="Arial"/>
          <w:b w:val="0"/>
          <w:i w:val="0"/>
          <w:color w:val="000000"/>
          <w:sz w:val="18"/>
        </w:rPr>
        <w:t>This SRS defines the behavior, interfaces, constraints and acceptance basis for Career Copilot. It is intended for CDAC Mumbai evaluators, the development team, testers and maintainers. Functional requirements are uniquely identified so they can be traced to implementation and verification evidence.</w:t>
      </w:r>
    </w:p>
    <w:p>
      <w:pPr>
        <w:pStyle w:val="Heading2"/>
        <w:keepNext/>
      </w:pPr>
      <w:r>
        <w:rPr>
          <w:rFonts w:ascii="Arial" w:hAnsi="Arial"/>
          <w:b/>
          <w:i w:val="0"/>
          <w:color w:val="000000"/>
          <w:sz w:val="21"/>
        </w:rPr>
        <w:t>1.2 Product Scope</w:t>
      </w:r>
    </w:p>
    <w:p>
      <w:pPr>
        <w:spacing w:before="0" w:after="50" w:line="250" w:lineRule="auto"/>
      </w:pPr>
      <w:r>
        <w:rPr>
          <w:rFonts w:ascii="Arial" w:hAnsi="Arial"/>
          <w:b w:val="0"/>
          <w:i w:val="0"/>
          <w:color w:val="000000"/>
          <w:sz w:val="18"/>
        </w:rPr>
        <w:t>Career Copilot helps one signed-in candidate maintain a structured profile, review and confirm resume/job-description extraction, run transparent ATS analysis, improve a resume, practise interviews, generate learning paths and manage job recommendations. The governing rule is evidence over invention: unconfirmed or unsupported career facts must not drive product outputs.</w:t>
      </w:r>
    </w:p>
    <w:tbl>
      <w:tblPr>
        <w:tblW w:w="10030" w:type="dxa"/>
        <w:tblInd w:w="80" w:type="dxa"/>
        <w:tblStyle w:val="TableGrid"/>
        <w:jc w:val="left"/>
        <w:tblLayout w:type="fixed"/>
        <w:tblLook w:firstColumn="1" w:firstRow="1" w:lastColumn="0" w:lastRow="0" w:noHBand="0" w:noVBand="1" w:val="04A0"/>
      </w:tblPr>
      <w:tblGrid>
        <w:gridCol w:w="5015"/>
        <w:gridCol w:w="5015"/>
      </w:tblGrid>
      <w:tr>
        <w:trPr>
          <w:tblHeader w:val="true"/>
        </w:trPr>
        <w:tc>
          <w:tcPr>
            <w:tcW w:type="dxa" w:w="5015"/>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7"/>
              </w:rPr>
              <w:t>In scope</w:t>
            </w:r>
          </w:p>
        </w:tc>
        <w:tc>
          <w:tcPr>
            <w:tcW w:type="dxa" w:w="5015"/>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7"/>
              </w:rPr>
              <w:t>Out of scope / non-goal</w:t>
            </w:r>
          </w:p>
        </w:tc>
      </w:tr>
      <w:tr>
        <w:trPr>
          <w:cantSplit/>
        </w:trPr>
        <w:tc>
          <w:tcPr>
            <w:tcW w:type="dxa" w:w="501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Candidate identity, profile and preferences</w:t>
            </w:r>
          </w:p>
        </w:tc>
        <w:tc>
          <w:tcPr>
            <w:tcW w:type="dxa" w:w="501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Recruiter or employer portal</w:t>
            </w:r>
          </w:p>
        </w:tc>
      </w:tr>
      <w:tr>
        <w:trPr>
          <w:cantSplit/>
        </w:trPr>
        <w:tc>
          <w:tcPr>
            <w:tcW w:type="dxa" w:w="5015"/>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Resume/JD review-confirm lifecycle and versioning</w:t>
            </w:r>
          </w:p>
        </w:tc>
        <w:tc>
          <w:tcPr>
            <w:tcW w:type="dxa" w:w="5015"/>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AI hiring or employment decisions</w:t>
            </w:r>
          </w:p>
        </w:tc>
      </w:tr>
      <w:tr>
        <w:trPr>
          <w:cantSplit/>
        </w:trPr>
        <w:tc>
          <w:tcPr>
            <w:tcW w:type="dxa" w:w="501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Deterministic ATS evidence and grounded enrichment</w:t>
            </w:r>
          </w:p>
        </w:tc>
        <w:tc>
          <w:tcPr>
            <w:tcW w:type="dxa" w:w="501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Embedding/cosine product ATS scoring</w:t>
            </w:r>
          </w:p>
        </w:tc>
      </w:tr>
      <w:tr>
        <w:trPr>
          <w:cantSplit/>
        </w:trPr>
        <w:tc>
          <w:tcPr>
            <w:tcW w:type="dxa" w:w="5015"/>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Interview practice, learning and job tracking</w:t>
            </w:r>
          </w:p>
        </w:tc>
        <w:tc>
          <w:tcPr>
            <w:tcW w:type="dxa" w:w="5015"/>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Invented skills, metrics, employers or media IDs</w:t>
            </w:r>
          </w:p>
        </w:tc>
      </w:tr>
    </w:tbl>
    <w:p>
      <w:pPr>
        <w:spacing w:after="0" w:before="40"/>
      </w:pPr>
    </w:p>
    <w:p>
      <w:pPr>
        <w:pStyle w:val="Heading1"/>
        <w:keepNext/>
      </w:pPr>
      <w:r>
        <w:rPr>
          <w:rFonts w:ascii="Arial" w:hAnsi="Arial"/>
          <w:b/>
          <w:i w:val="0"/>
          <w:color w:val="000000"/>
          <w:sz w:val="29"/>
        </w:rPr>
        <w:t>2. Overall Description</w:t>
      </w:r>
    </w:p>
    <w:p>
      <w:pPr>
        <w:pStyle w:val="Heading2"/>
        <w:keepNext/>
      </w:pPr>
      <w:r>
        <w:rPr>
          <w:rFonts w:ascii="Arial" w:hAnsi="Arial"/>
          <w:b/>
          <w:i w:val="0"/>
          <w:color w:val="000000"/>
          <w:sz w:val="21"/>
        </w:rPr>
        <w:t>2.1 Perspective and Users</w:t>
      </w:r>
    </w:p>
    <w:p>
      <w:pPr>
        <w:spacing w:before="0" w:after="50" w:line="250" w:lineRule="auto"/>
      </w:pPr>
      <w:r>
        <w:rPr>
          <w:rFonts w:ascii="Arial" w:hAnsi="Arial"/>
          <w:b w:val="0"/>
          <w:i w:val="0"/>
          <w:color w:val="000000"/>
          <w:sz w:val="18"/>
        </w:rPr>
        <w:t>The product is a split web application: a React/Vite single-page frontend uses a FastAPI modular monolith. FastAPI alone accesses structured Firestore data and private Supabase object storage. The primary user is the candidate; infrastructure operators maintain deployments and provider configuration without a product-level administrator portal.</w:t>
      </w:r>
    </w:p>
    <w:p>
      <w:pPr>
        <w:pStyle w:val="Heading2"/>
        <w:keepNext/>
      </w:pPr>
      <w:r>
        <w:rPr>
          <w:rFonts w:ascii="Arial" w:hAnsi="Arial"/>
          <w:b/>
          <w:i w:val="0"/>
          <w:color w:val="000000"/>
          <w:sz w:val="21"/>
        </w:rPr>
        <w:t>2.2 Major Product Functions</w:t>
      </w:r>
    </w:p>
    <w:p>
      <w:pPr>
        <w:pStyle w:val="ListBullet"/>
        <w:spacing w:before="0" w:after="30" w:line="247" w:lineRule="auto"/>
        <w:ind w:left="547" w:hanging="274"/>
      </w:pPr>
      <w:r>
        <w:rPr>
          <w:rFonts w:ascii="Arial" w:hAnsi="Arial"/>
          <w:b w:val="0"/>
          <w:i w:val="0"/>
          <w:color w:val="000000"/>
          <w:sz w:val="18"/>
        </w:rPr>
        <w:t xml:space="preserve"> Authenticate and isolate each candidate's records and stored files.</w:t>
      </w:r>
    </w:p>
    <w:p>
      <w:pPr>
        <w:pStyle w:val="ListBullet"/>
        <w:spacing w:before="0" w:after="30" w:line="247" w:lineRule="auto"/>
        <w:ind w:left="547" w:hanging="274"/>
      </w:pPr>
      <w:r>
        <w:rPr>
          <w:rFonts w:ascii="Arial" w:hAnsi="Arial"/>
          <w:b w:val="0"/>
          <w:i w:val="0"/>
          <w:color w:val="000000"/>
          <w:sz w:val="18"/>
        </w:rPr>
        <w:t xml:space="preserve"> Extract, review, correct and confirm resume/JD content before downstream use.</w:t>
      </w:r>
    </w:p>
    <w:p>
      <w:pPr>
        <w:pStyle w:val="ListBullet"/>
        <w:spacing w:before="0" w:after="30" w:line="247" w:lineRule="auto"/>
        <w:ind w:left="547" w:hanging="274"/>
      </w:pPr>
      <w:r>
        <w:rPr>
          <w:rFonts w:ascii="Arial" w:hAnsi="Arial"/>
          <w:b w:val="0"/>
          <w:i w:val="0"/>
          <w:color w:val="000000"/>
          <w:sz w:val="18"/>
        </w:rPr>
        <w:t xml:space="preserve"> Generate deterministic ATS evidence, grounded improvements and iterative resume versions.</w:t>
      </w:r>
    </w:p>
    <w:p>
      <w:pPr>
        <w:pStyle w:val="ListBullet"/>
        <w:spacing w:before="0" w:after="30" w:line="247" w:lineRule="auto"/>
        <w:ind w:left="547" w:hanging="274"/>
      </w:pPr>
      <w:r>
        <w:rPr>
          <w:rFonts w:ascii="Arial" w:hAnsi="Arial"/>
          <w:b w:val="0"/>
          <w:i w:val="0"/>
          <w:color w:val="000000"/>
          <w:sz w:val="18"/>
        </w:rPr>
        <w:t xml:space="preserve"> Provide optional interview, learning and job workflows with controlled provider fallbacks.</w:t>
      </w:r>
    </w:p>
    <w:p>
      <w:pPr>
        <w:pStyle w:val="Heading2"/>
        <w:keepNext/>
      </w:pPr>
      <w:r>
        <w:rPr>
          <w:rFonts w:ascii="Arial" w:hAnsi="Arial"/>
          <w:b/>
          <w:i w:val="0"/>
          <w:color w:val="000000"/>
          <w:sz w:val="21"/>
        </w:rPr>
        <w:t>2.3 Operating Environment and Constraints</w:t>
      </w:r>
    </w:p>
    <w:p>
      <w:pPr>
        <w:spacing w:before="0" w:after="50" w:line="250" w:lineRule="auto"/>
      </w:pPr>
      <w:r>
        <w:rPr>
          <w:rFonts w:ascii="Arial" w:hAnsi="Arial"/>
          <w:b w:val="0"/>
          <w:i w:val="0"/>
          <w:color w:val="000000"/>
          <w:sz w:val="18"/>
        </w:rPr>
        <w:t>Client: modern desktop/mobile browser. Runtime: Node.js 20+ and Python 3.11-3.13. Current deployment: Vercel frontend and Render backend, with Firebase, Firestore and Supabase services. Product work is synchronous request/response; external AI, media and career-data services may be unavailable, rate-limited or disabled.</w:t>
      </w:r>
    </w:p>
    <w:p>
      <w:pPr>
        <w:spacing w:after="0"/>
      </w:pPr>
      <w:r>
        <w:br w:type="page"/>
      </w:r>
    </w:p>
    <w:p>
      <w:pPr>
        <w:pStyle w:val="Heading1"/>
        <w:keepNext/>
      </w:pPr>
      <w:r>
        <w:rPr>
          <w:rFonts w:ascii="Arial" w:hAnsi="Arial"/>
          <w:b/>
          <w:i w:val="0"/>
          <w:color w:val="000000"/>
          <w:sz w:val="29"/>
        </w:rPr>
        <w:t>3. External Interface Requirements</w:t>
      </w:r>
    </w:p>
    <w:tbl>
      <w:tblPr>
        <w:tblW w:w="10030" w:type="dxa"/>
        <w:tblInd w:w="80" w:type="dxa"/>
        <w:tblStyle w:val="TableGrid"/>
        <w:jc w:val="left"/>
        <w:tblLayout w:type="fixed"/>
        <w:tblLook w:firstColumn="1" w:firstRow="1" w:lastColumn="0" w:lastRow="0" w:noHBand="0" w:noVBand="1" w:val="04A0"/>
      </w:tblPr>
      <w:tblGrid>
        <w:gridCol w:w="1900"/>
        <w:gridCol w:w="8130"/>
      </w:tblGrid>
      <w:tr>
        <w:trPr>
          <w:tblHeader w:val="true"/>
        </w:trPr>
        <w:tc>
          <w:tcPr>
            <w:tcW w:type="dxa" w:w="190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7"/>
              </w:rPr>
              <w:t>Interface</w:t>
            </w:r>
          </w:p>
        </w:tc>
        <w:tc>
          <w:tcPr>
            <w:tcW w:type="dxa" w:w="813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7"/>
              </w:rPr>
              <w:t>Requirement summary</w:t>
            </w:r>
          </w:p>
        </w:tc>
      </w:tr>
      <w:tr>
        <w:trPr>
          <w:cantSplit/>
        </w:trPr>
        <w:tc>
          <w:tcPr>
            <w:tcW w:type="dxa" w:w="19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User interface</w:t>
            </w:r>
          </w:p>
        </w:tc>
        <w:tc>
          <w:tcPr>
            <w:tcW w:type="dxa" w:w="813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Responsive React SPA with landing, auth, onboarding, dashboard, resume/ATS, interview, learning, jobs and settings routes. Loading, error and expired-session states shall be visible.</w:t>
            </w:r>
          </w:p>
        </w:tc>
      </w:tr>
      <w:tr>
        <w:trPr>
          <w:cantSplit/>
        </w:trPr>
        <w:tc>
          <w:tcPr>
            <w:tcW w:type="dxa" w:w="19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Hardware</w:t>
            </w:r>
          </w:p>
        </w:tc>
        <w:tc>
          <w:tcPr>
            <w:tcW w:type="dxa" w:w="813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No dedicated hardware is required. Microphone/camera access is optional for browser speech and gaze features; text interview flow remains available.</w:t>
            </w:r>
          </w:p>
        </w:tc>
      </w:tr>
      <w:tr>
        <w:trPr>
          <w:cantSplit/>
        </w:trPr>
        <w:tc>
          <w:tcPr>
            <w:tcW w:type="dxa" w:w="19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Software</w:t>
            </w:r>
          </w:p>
        </w:tc>
        <w:tc>
          <w:tcPr>
            <w:tcW w:type="dxa" w:w="813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FastAPI integrates with Firebase/Supabase identity, Firestore, Supabase Storage, Groq/NVIDIA, optional OmniRoute/Fish Audio, YouTube Data API and Adzuna.</w:t>
            </w:r>
          </w:p>
        </w:tc>
      </w:tr>
      <w:tr>
        <w:trPr>
          <w:cantSplit/>
        </w:trPr>
        <w:tc>
          <w:tcPr>
            <w:tcW w:type="dxa" w:w="19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Communications</w:t>
            </w:r>
          </w:p>
        </w:tc>
        <w:tc>
          <w:tcPr>
            <w:tcW w:type="dxa" w:w="813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Browser JSON APIs use HTTPS REST and an app JWT. Authenticated file URLs remain same-origin. Provider and data-service credentials remain server-side.</w:t>
            </w:r>
          </w:p>
        </w:tc>
      </w:tr>
    </w:tbl>
    <w:p>
      <w:pPr>
        <w:spacing w:after="0" w:before="40"/>
      </w:pPr>
    </w:p>
    <w:p>
      <w:pPr>
        <w:spacing w:before="40" w:after="20"/>
        <w:jc w:val="center"/>
      </w:pPr>
      <w:r>
        <w:drawing>
          <wp:inline xmlns:a="http://schemas.openxmlformats.org/drawingml/2006/main" xmlns:pic="http://schemas.openxmlformats.org/drawingml/2006/picture">
            <wp:extent cx="6172200" cy="2366009"/>
            <wp:docPr id="1" name="Picture 1" title="Career Copilot current system context" descr="Candidate uses the React and Vite web application, which calls the authenticated FastAPI service. FastAPI alone accesses Firestore, private Supabase Storage, identity services, AI providers, YouTube and Adzuna."/>
            <wp:cNvGraphicFramePr>
              <a:graphicFrameLocks noChangeAspect="1"/>
            </wp:cNvGraphicFramePr>
            <a:graphic>
              <a:graphicData uri="http://schemas.openxmlformats.org/drawingml/2006/picture">
                <pic:pic>
                  <pic:nvPicPr>
                    <pic:cNvPr id="0" name="career_copilot_context.png"/>
                    <pic:cNvPicPr/>
                  </pic:nvPicPr>
                  <pic:blipFill>
                    <a:blip r:embed="rId11"/>
                    <a:stretch>
                      <a:fillRect/>
                    </a:stretch>
                  </pic:blipFill>
                  <pic:spPr>
                    <a:xfrm>
                      <a:off x="0" y="0"/>
                      <a:ext cx="6172200" cy="2366009"/>
                    </a:xfrm>
                    <a:prstGeom prst="rect"/>
                  </pic:spPr>
                </pic:pic>
              </a:graphicData>
            </a:graphic>
          </wp:inline>
        </w:drawing>
      </w:r>
    </w:p>
    <w:p>
      <w:pPr>
        <w:pStyle w:val="Caption"/>
        <w:jc w:val="center"/>
      </w:pPr>
      <w:r>
        <w:rPr>
          <w:rFonts w:ascii="Arial" w:hAnsi="Arial"/>
          <w:b w:val="0"/>
          <w:i/>
          <w:color w:val="333333"/>
          <w:sz w:val="16"/>
        </w:rPr>
        <w:t>Figure 1. Current Career Copilot system context and trust boundary.</w:t>
      </w:r>
    </w:p>
    <w:p>
      <w:pPr>
        <w:spacing w:before="0" w:after="0" w:line="250" w:lineRule="auto"/>
      </w:pPr>
      <w:r>
        <w:rPr>
          <w:rFonts w:ascii="Arial" w:hAnsi="Arial"/>
          <w:b/>
          <w:i w:val="0"/>
          <w:color w:val="000000"/>
          <w:sz w:val="17"/>
        </w:rPr>
        <w:t>Interface failure behavior:</w:t>
      </w:r>
      <w:r>
        <w:rPr>
          <w:rFonts w:ascii="Arial" w:hAnsi="Arial"/>
          <w:b w:val="0"/>
          <w:i w:val="0"/>
          <w:color w:val="000000"/>
          <w:sz w:val="17"/>
        </w:rPr>
        <w:t xml:space="preserve"> optional provider failures shall produce a bounded fallback or controlled error and shall not expose service credentials or bypass ownership checks.</w:t>
      </w:r>
    </w:p>
    <w:p>
      <w:pPr>
        <w:spacing w:after="0"/>
      </w:pPr>
      <w:r>
        <w:br w:type="page"/>
      </w:r>
    </w:p>
    <w:p>
      <w:pPr>
        <w:pStyle w:val="Heading1"/>
        <w:keepNext/>
      </w:pPr>
      <w:r>
        <w:rPr>
          <w:rFonts w:ascii="Arial" w:hAnsi="Arial"/>
          <w:b/>
          <w:i w:val="0"/>
          <w:color w:val="000000"/>
          <w:sz w:val="29"/>
        </w:rPr>
        <w:t>4. System Features - Identity, Profile and Documents</w:t>
      </w:r>
    </w:p>
    <w:p>
      <w:pPr>
        <w:spacing w:before="0" w:after="60" w:line="250" w:lineRule="auto"/>
      </w:pPr>
      <w:r>
        <w:rPr>
          <w:rFonts w:ascii="Arial" w:hAnsi="Arial"/>
          <w:b w:val="0"/>
          <w:i w:val="0"/>
          <w:color w:val="000000"/>
          <w:sz w:val="17"/>
        </w:rPr>
        <w:t>Feature priorities: authentication, source review and the confirm gate are release-critical because every downstream evidence flow depends on them.</w:t>
      </w:r>
    </w:p>
    <w:tbl>
      <w:tblPr>
        <w:tblW w:w="10030" w:type="dxa"/>
        <w:tblInd w:w="80" w:type="dxa"/>
        <w:tblStyle w:val="TableGrid"/>
        <w:jc w:val="left"/>
        <w:tblLayout w:type="fixed"/>
        <w:tblLook w:firstColumn="1" w:firstRow="1" w:lastColumn="0" w:lastRow="0" w:noHBand="0" w:noVBand="1" w:val="04A0"/>
      </w:tblPr>
      <w:tblGrid>
        <w:gridCol w:w="1300"/>
        <w:gridCol w:w="6940"/>
        <w:gridCol w:w="520"/>
        <w:gridCol w:w="1270"/>
      </w:tblGrid>
      <w:tr>
        <w:trPr>
          <w:tblHeader w:val="true"/>
        </w:trPr>
        <w:tc>
          <w:tcPr>
            <w:tcW w:type="dxa" w:w="130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6"/>
              </w:rPr>
              <w:t>ID</w:t>
            </w:r>
          </w:p>
        </w:tc>
        <w:tc>
          <w:tcPr>
            <w:tcW w:type="dxa" w:w="694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6"/>
              </w:rPr>
              <w:t>Normative requirement</w:t>
            </w:r>
          </w:p>
        </w:tc>
        <w:tc>
          <w:tcPr>
            <w:tcW w:type="dxa" w:w="52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6"/>
              </w:rPr>
              <w:t>P</w:t>
            </w:r>
          </w:p>
        </w:tc>
        <w:tc>
          <w:tcPr>
            <w:tcW w:type="dxa" w:w="127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6"/>
              </w:rPr>
              <w:t>Verification</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FR-AUTH-01</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system shall support Supabase email/password sign-in and Firebase Google token exchange, and shall issue a Career Copilot app JWT after server verification.</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API test</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FR-AUTH-02</w:t>
            </w:r>
          </w:p>
        </w:tc>
        <w:tc>
          <w:tcPr>
            <w:tcW w:type="dxa" w:w="694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client shall send the app JWT as a Bearer token and maintain the session cookie required for authenticated file GET requests.</w:t>
            </w:r>
          </w:p>
        </w:tc>
        <w:tc>
          <w:tcPr>
            <w:tcW w:type="dxa" w:w="52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Integration</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FR-AUTH-03</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Protected APIs shall reject missing, invalid or expired tokens; the client shall clear session state after a 401 response.</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API/UI test</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FR-AUTH-04</w:t>
            </w:r>
          </w:p>
        </w:tc>
        <w:tc>
          <w:tcPr>
            <w:tcW w:type="dxa" w:w="694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Account deletion shall require the exact confirmation phrase and matching email before owned records and stored objects are purged.</w:t>
            </w:r>
          </w:p>
        </w:tc>
        <w:tc>
          <w:tcPr>
            <w:tcW w:type="dxa" w:w="52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API test</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FR-PRO-01</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candidate shall create and maintain profile skills, experience, projects, education, certifications, languages, links and preferences.</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CRUD test</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FR-PRO-02</w:t>
            </w:r>
          </w:p>
        </w:tc>
        <w:tc>
          <w:tcPr>
            <w:tcW w:type="dxa" w:w="694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system shall recalculate profile completion after profile mutations and display a 0-100 completion value.</w:t>
            </w:r>
          </w:p>
        </w:tc>
        <w:tc>
          <w:tcPr>
            <w:tcW w:type="dxa" w:w="52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M</w:t>
            </w:r>
          </w:p>
        </w:tc>
        <w:tc>
          <w:tcPr>
            <w:tcW w:type="dxa" w:w="127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Unit/UI test</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FR-PRO-03</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Fill-from-resume shall return an evidence-filtered preview and shall write only the rows explicitly selected by the candidate.</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Service test</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FR-PRO-04</w:t>
            </w:r>
          </w:p>
        </w:tc>
        <w:tc>
          <w:tcPr>
            <w:tcW w:type="dxa" w:w="694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Avatar upload shall accept configured JPEG, PNG or WebP limits and shall expose the file only through an authenticated file route.</w:t>
            </w:r>
          </w:p>
        </w:tc>
        <w:tc>
          <w:tcPr>
            <w:tcW w:type="dxa" w:w="52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M</w:t>
            </w:r>
          </w:p>
        </w:tc>
        <w:tc>
          <w:tcPr>
            <w:tcW w:type="dxa" w:w="127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API test</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FR-DOC-01</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system shall accept PDF/DOCX resumes and PDF/DOCX or pasted-text job descriptions, subject to configured MIME and size limits.</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Upload test</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FR-DOC-02</w:t>
            </w:r>
          </w:p>
        </w:tc>
        <w:tc>
          <w:tcPr>
            <w:tcW w:type="dxa" w:w="694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parsing pipeline shall extract plain text and structured sections and shall reject empty or unusable extraction results.</w:t>
            </w:r>
          </w:p>
        </w:tc>
        <w:tc>
          <w:tcPr>
            <w:tcW w:type="dxa" w:w="52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Unit test</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FR-DOC-03</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New extractions shall enter review_required; the candidate shall be able to correct them before explicit confirmation.</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Workflow</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FR-DOC-04</w:t>
            </w:r>
          </w:p>
        </w:tc>
        <w:tc>
          <w:tcPr>
            <w:tcW w:type="dxa" w:w="694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Only confirmed resume versions and job descriptions shall be eligible for ATS, job-match, learning and interview-evidence flows.</w:t>
            </w:r>
          </w:p>
        </w:tc>
        <w:tc>
          <w:tcPr>
            <w:tcW w:type="dxa" w:w="52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Gate test</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FR-DOC-05</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system shall preserve resume versions and shall use soft deletion for resume parents unless account deletion is requested.</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M</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Repository</w:t>
            </w:r>
          </w:p>
        </w:tc>
      </w:tr>
    </w:tbl>
    <w:p>
      <w:pPr>
        <w:spacing w:after="0" w:before="40"/>
      </w:pPr>
    </w:p>
    <w:p>
      <w:pPr>
        <w:spacing w:before="0" w:after="0" w:line="250" w:lineRule="auto"/>
      </w:pPr>
      <w:r>
        <w:rPr>
          <w:rFonts w:ascii="Arial" w:hAnsi="Arial"/>
          <w:b w:val="0"/>
          <w:i w:val="0"/>
          <w:color w:val="000000"/>
          <w:sz w:val="16"/>
        </w:rPr>
        <w:t>Stimulus/response example: upload -&gt; validate/extract -&gt; review_required -&gt; optional correction -&gt; confirm -&gt; eligible downstream evidence source.</w:t>
      </w:r>
    </w:p>
    <w:p>
      <w:pPr>
        <w:spacing w:after="0"/>
      </w:pPr>
      <w:r>
        <w:br w:type="page"/>
      </w:r>
    </w:p>
    <w:p>
      <w:pPr>
        <w:pStyle w:val="Heading1"/>
        <w:keepNext/>
      </w:pPr>
      <w:r>
        <w:rPr>
          <w:rFonts w:ascii="Arial" w:hAnsi="Arial"/>
          <w:b/>
          <w:i w:val="0"/>
          <w:color w:val="000000"/>
          <w:sz w:val="29"/>
        </w:rPr>
        <w:t>4. System Features - ATS, Improvement and Interview</w:t>
      </w:r>
    </w:p>
    <w:p>
      <w:pPr>
        <w:spacing w:before="0" w:after="60" w:line="250" w:lineRule="auto"/>
      </w:pPr>
      <w:r>
        <w:rPr>
          <w:rFonts w:ascii="Arial" w:hAnsi="Arial"/>
          <w:b w:val="0"/>
          <w:i w:val="0"/>
          <w:color w:val="000000"/>
          <w:sz w:val="17"/>
        </w:rPr>
        <w:t>ATS scoring is deterministic; LLM participation is limited to optional enrichment, grounded rewrites, question generation and coaching fallbacks.</w:t>
      </w:r>
    </w:p>
    <w:tbl>
      <w:tblPr>
        <w:tblW w:w="10030" w:type="dxa"/>
        <w:tblInd w:w="80" w:type="dxa"/>
        <w:tblStyle w:val="TableGrid"/>
        <w:jc w:val="left"/>
        <w:tblLayout w:type="fixed"/>
        <w:tblLook w:firstColumn="1" w:firstRow="1" w:lastColumn="0" w:lastRow="0" w:noHBand="0" w:noVBand="1" w:val="04A0"/>
      </w:tblPr>
      <w:tblGrid>
        <w:gridCol w:w="1300"/>
        <w:gridCol w:w="6940"/>
        <w:gridCol w:w="520"/>
        <w:gridCol w:w="1270"/>
      </w:tblGrid>
      <w:tr>
        <w:trPr>
          <w:tblHeader w:val="true"/>
        </w:trPr>
        <w:tc>
          <w:tcPr>
            <w:tcW w:type="dxa" w:w="130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6"/>
              </w:rPr>
              <w:t>ID</w:t>
            </w:r>
          </w:p>
        </w:tc>
        <w:tc>
          <w:tcPr>
            <w:tcW w:type="dxa" w:w="694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6"/>
              </w:rPr>
              <w:t>Normative requirement</w:t>
            </w:r>
          </w:p>
        </w:tc>
        <w:tc>
          <w:tcPr>
            <w:tcW w:type="dxa" w:w="52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6"/>
              </w:rPr>
              <w:t>P</w:t>
            </w:r>
          </w:p>
        </w:tc>
        <w:tc>
          <w:tcPr>
            <w:tcW w:type="dxa" w:w="127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6"/>
              </w:rPr>
              <w:t>Verification</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FR-ATS-01</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ATS analysis shall require a confirmed resume version and confirmed job description and shall use evidence-keyword-coverage-v4.</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Unit/API</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FR-ATS-02</w:t>
            </w:r>
          </w:p>
        </w:tc>
        <w:tc>
          <w:tcPr>
            <w:tcW w:type="dxa" w:w="694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ATS score shall be deterministic, range from 0 to 100, and classify terms as strong, partial or missing using weighted coverage.</w:t>
            </w:r>
          </w:p>
        </w:tc>
        <w:tc>
          <w:tcPr>
            <w:tcW w:type="dxa" w:w="52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Unit test</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FR-ATS-03</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Each matched term shall be persisted with an exact resume quote or an explicit null value when evidence is absent.</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Data test</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FR-ATS-04</w:t>
            </w:r>
          </w:p>
        </w:tc>
        <w:tc>
          <w:tcPr>
            <w:tcW w:type="dxa" w:w="694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system shall reuse an unchanged analysis fingerprint and may add an LLM improvement brief without changing the deterministic score.</w:t>
            </w:r>
          </w:p>
        </w:tc>
        <w:tc>
          <w:tcPr>
            <w:tcW w:type="dxa" w:w="52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M</w:t>
            </w:r>
          </w:p>
        </w:tc>
        <w:tc>
          <w:tcPr>
            <w:tcW w:type="dxa" w:w="127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Service test</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FR-IMP-01</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A resume-improvement run shall use ATS gaps and existing resume blocks as its source evidence.</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M</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Service test</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FR-IMP-02</w:t>
            </w:r>
          </w:p>
        </w:tc>
        <w:tc>
          <w:tcPr>
            <w:tcW w:type="dxa" w:w="694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Generated suggestions shall be validated and shall not introduce unsupported skills, employers, metrics or experience.</w:t>
            </w:r>
          </w:p>
        </w:tc>
        <w:tc>
          <w:tcPr>
            <w:tcW w:type="dxa" w:w="52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Validation</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FR-IMP-03</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candidate shall accept, reject or edit suggestions; applying accepted changes shall create a new resume version.</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Workflow</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FR-IMP-04</w:t>
            </w:r>
          </w:p>
        </w:tc>
        <w:tc>
          <w:tcPr>
            <w:tcW w:type="dxa" w:w="694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system shall support configured DOCX/PDF resume exports and retain export metadata for the owner.</w:t>
            </w:r>
          </w:p>
        </w:tc>
        <w:tc>
          <w:tcPr>
            <w:tcW w:type="dxa" w:w="52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M</w:t>
            </w:r>
          </w:p>
        </w:tc>
        <w:tc>
          <w:tcPr>
            <w:tcW w:type="dxa" w:w="127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Export test</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FR-INT-01</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candidate shall create, start, answer and complete an interview session; completion shall require every generated question to be answered.</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M</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API test</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FR-INT-02</w:t>
            </w:r>
          </w:p>
        </w:tc>
        <w:tc>
          <w:tcPr>
            <w:tcW w:type="dxa" w:w="694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Interview questions shall prefer grounded structured generation and shall fall back to templates when the provider is unavailable or invalid.</w:t>
            </w:r>
          </w:p>
        </w:tc>
        <w:tc>
          <w:tcPr>
            <w:tcW w:type="dxa" w:w="52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M</w:t>
            </w:r>
          </w:p>
        </w:tc>
        <w:tc>
          <w:tcPr>
            <w:tcW w:type="dxa" w:w="127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Fallback test</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FR-INT-03</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system shall persist questions, responses, evaluation feedback and an evidence-report-v2 coaching report.</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M</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Data test</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FR-INT-04</w:t>
            </w:r>
          </w:p>
        </w:tc>
        <w:tc>
          <w:tcPr>
            <w:tcW w:type="dxa" w:w="694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Browser speech-to-text and gaze metrics, and Fish Audio text-to-speech, shall remain optional and shall not block text-based practice.</w:t>
            </w:r>
          </w:p>
        </w:tc>
        <w:tc>
          <w:tcPr>
            <w:tcW w:type="dxa" w:w="52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L</w:t>
            </w:r>
          </w:p>
        </w:tc>
        <w:tc>
          <w:tcPr>
            <w:tcW w:type="dxa" w:w="127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UI test</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FR-INT-05</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Interview output shall be presented as practice coaching and shall not make a hire/no-hire decision.</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Review</w:t>
            </w:r>
          </w:p>
        </w:tc>
      </w:tr>
    </w:tbl>
    <w:p>
      <w:pPr>
        <w:spacing w:after="0" w:before="40"/>
      </w:pPr>
    </w:p>
    <w:p>
      <w:pPr>
        <w:spacing w:before="0" w:after="0" w:line="250" w:lineRule="auto"/>
      </w:pPr>
      <w:r>
        <w:rPr>
          <w:rFonts w:ascii="Arial" w:hAnsi="Arial"/>
          <w:b w:val="0"/>
          <w:i w:val="0"/>
          <w:color w:val="000000"/>
          <w:sz w:val="16"/>
        </w:rPr>
        <w:t>Stimulus/response example: confirmed resume + confirmed JD -&gt; fingerprint -&gt; deterministic score/evidence -&gt; optional brief -&gt; persisted analysis/report.</w:t>
      </w:r>
    </w:p>
    <w:p>
      <w:pPr>
        <w:spacing w:after="0"/>
      </w:pPr>
      <w:r>
        <w:br w:type="page"/>
      </w:r>
    </w:p>
    <w:p>
      <w:pPr>
        <w:pStyle w:val="Heading1"/>
        <w:keepNext/>
      </w:pPr>
      <w:r>
        <w:rPr>
          <w:rFonts w:ascii="Arial" w:hAnsi="Arial"/>
          <w:b/>
          <w:i w:val="0"/>
          <w:color w:val="000000"/>
          <w:sz w:val="29"/>
        </w:rPr>
        <w:t>4. System Features - Learning, Jobs and Settings</w:t>
      </w:r>
    </w:p>
    <w:p>
      <w:pPr>
        <w:spacing w:before="0" w:after="60" w:line="250" w:lineRule="auto"/>
      </w:pPr>
      <w:r>
        <w:rPr>
          <w:rFonts w:ascii="Arial" w:hAnsi="Arial"/>
          <w:b w:val="0"/>
          <w:i w:val="0"/>
          <w:color w:val="000000"/>
          <w:sz w:val="17"/>
        </w:rPr>
        <w:t>Learning and job resources must be materialized from verified services or safe search URLs; absent provider configuration degrades only the dependent feature.</w:t>
      </w:r>
    </w:p>
    <w:tbl>
      <w:tblPr>
        <w:tblW w:w="10030" w:type="dxa"/>
        <w:tblInd w:w="80" w:type="dxa"/>
        <w:tblStyle w:val="TableGrid"/>
        <w:jc w:val="left"/>
        <w:tblLayout w:type="fixed"/>
        <w:tblLook w:firstColumn="1" w:firstRow="1" w:lastColumn="0" w:lastRow="0" w:noHBand="0" w:noVBand="1" w:val="04A0"/>
      </w:tblPr>
      <w:tblGrid>
        <w:gridCol w:w="1300"/>
        <w:gridCol w:w="6940"/>
        <w:gridCol w:w="520"/>
        <w:gridCol w:w="1270"/>
      </w:tblGrid>
      <w:tr>
        <w:trPr>
          <w:tblHeader w:val="true"/>
        </w:trPr>
        <w:tc>
          <w:tcPr>
            <w:tcW w:type="dxa" w:w="130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6"/>
              </w:rPr>
              <w:t>ID</w:t>
            </w:r>
          </w:p>
        </w:tc>
        <w:tc>
          <w:tcPr>
            <w:tcW w:type="dxa" w:w="694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6"/>
              </w:rPr>
              <w:t>Normative requirement</w:t>
            </w:r>
          </w:p>
        </w:tc>
        <w:tc>
          <w:tcPr>
            <w:tcW w:type="dxa" w:w="52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6"/>
              </w:rPr>
              <w:t>P</w:t>
            </w:r>
          </w:p>
        </w:tc>
        <w:tc>
          <w:tcPr>
            <w:tcW w:type="dxa" w:w="127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6"/>
              </w:rPr>
              <w:t>Verification</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FR-LRN-01</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Learning-path generation shall start from gaps in a completed ATS analysis and shall plan resources by topic or skill.</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M</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Service test</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FR-LRN-02</w:t>
            </w:r>
          </w:p>
        </w:tc>
        <w:tc>
          <w:tcPr>
            <w:tcW w:type="dxa" w:w="694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Video resources shall use YouTube Data API watch IDs when available or YouTube search URLs; article searches shall use the configured allowlist.</w:t>
            </w:r>
          </w:p>
        </w:tc>
        <w:tc>
          <w:tcPr>
            <w:tcW w:type="dxa" w:w="52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Validation</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FR-LRN-03</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system shall persist paths, items and resources and shall recalculate progress when an item status changes.</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M</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API test</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FR-JOB-01</w:t>
            </w:r>
          </w:p>
        </w:tc>
        <w:tc>
          <w:tcPr>
            <w:tcW w:type="dxa" w:w="694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system shall list active jobs from the local catalog and may synchronize one page of Adzuna results under cooldown and process-lock controls.</w:t>
            </w:r>
          </w:p>
        </w:tc>
        <w:tc>
          <w:tcPr>
            <w:tcW w:type="dxa" w:w="52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M</w:t>
            </w:r>
          </w:p>
        </w:tc>
        <w:tc>
          <w:tcPr>
            <w:tcW w:type="dxa" w:w="127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Integration</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FR-JOB-02</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Job recommendations shall rank the active catalog using evidence-keyword-match-v1 and confirmed resume evidence only.</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Unit test</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FR-JOB-03</w:t>
            </w:r>
          </w:p>
        </w:tc>
        <w:tc>
          <w:tcPr>
            <w:tcW w:type="dxa" w:w="694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Profile skills shall contribute to job matching only when grounded in the confirmed resume text.</w:t>
            </w:r>
          </w:p>
        </w:tc>
        <w:tc>
          <w:tcPr>
            <w:tcW w:type="dxa" w:w="52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H</w:t>
            </w:r>
          </w:p>
        </w:tc>
        <w:tc>
          <w:tcPr>
            <w:tcW w:type="dxa" w:w="127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Unit test</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FR-JOB-04</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candidate shall save jobs and track saved, applied, interviewing, offer, rejected and withdrawn states.</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M</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CRUD test</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FR-SET-01</w:t>
            </w:r>
          </w:p>
        </w:tc>
        <w:tc>
          <w:tcPr>
            <w:tcW w:type="dxa" w:w="694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candidate shall update account, candidate, notification, privacy and theme preferences through authenticated settings flows.</w:t>
            </w:r>
          </w:p>
        </w:tc>
        <w:tc>
          <w:tcPr>
            <w:tcW w:type="dxa" w:w="52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M</w:t>
            </w:r>
          </w:p>
        </w:tc>
        <w:tc>
          <w:tcPr>
            <w:tcW w:type="dxa" w:w="127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API/UI test</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FR-SET-02</w:t>
            </w:r>
          </w:p>
        </w:tc>
        <w:tc>
          <w:tcPr>
            <w:tcW w:type="dxa" w:w="694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dashboard shall bootstrap candidate profile, capabilities, recent activity and available feature summaries for the signed-in owner.</w:t>
            </w:r>
          </w:p>
        </w:tc>
        <w:tc>
          <w:tcPr>
            <w:tcW w:type="dxa" w:w="52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M</w:t>
            </w:r>
          </w:p>
        </w:tc>
        <w:tc>
          <w:tcPr>
            <w:tcW w:type="dxa" w:w="127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API/UI test</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FR-SET-03</w:t>
            </w:r>
          </w:p>
        </w:tc>
        <w:tc>
          <w:tcPr>
            <w:tcW w:type="dxa" w:w="694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The system shall provide liveness, readiness, database/storage and agent-status diagnostics without exposing secret values.</w:t>
            </w:r>
          </w:p>
        </w:tc>
        <w:tc>
          <w:tcPr>
            <w:tcW w:type="dxa" w:w="52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M</w:t>
            </w:r>
          </w:p>
        </w:tc>
        <w:tc>
          <w:tcPr>
            <w:tcW w:type="dxa" w:w="127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Health test</w:t>
            </w:r>
          </w:p>
        </w:tc>
      </w:tr>
    </w:tbl>
    <w:p>
      <w:pPr>
        <w:spacing w:after="0" w:before="40"/>
      </w:pPr>
    </w:p>
    <w:p>
      <w:pPr>
        <w:spacing w:before="0" w:after="0" w:line="250" w:lineRule="auto"/>
      </w:pPr>
      <w:r>
        <w:rPr>
          <w:rFonts w:ascii="Arial" w:hAnsi="Arial"/>
          <w:b w:val="0"/>
          <w:i w:val="0"/>
          <w:color w:val="000000"/>
          <w:sz w:val="16"/>
        </w:rPr>
        <w:t>Stimulus/response example: completed ATS gaps -&gt; validated resource plan -&gt; persisted learning path; confirmed resume -&gt; local job ranking -&gt; saved pipeline state.</w:t>
      </w:r>
    </w:p>
    <w:p>
      <w:pPr>
        <w:spacing w:after="0"/>
      </w:pPr>
      <w:r>
        <w:br w:type="page"/>
      </w:r>
    </w:p>
    <w:p>
      <w:pPr>
        <w:pStyle w:val="Heading1"/>
        <w:keepNext/>
      </w:pPr>
      <w:r>
        <w:rPr>
          <w:rFonts w:ascii="Arial" w:hAnsi="Arial"/>
          <w:b/>
          <w:i w:val="0"/>
          <w:color w:val="000000"/>
          <w:sz w:val="29"/>
        </w:rPr>
        <w:t>5. Data Requirements, Business Rules and Dependencies</w:t>
      </w:r>
    </w:p>
    <w:p>
      <w:pPr>
        <w:pStyle w:val="Heading2"/>
        <w:keepNext/>
      </w:pPr>
      <w:r>
        <w:rPr>
          <w:rFonts w:ascii="Arial" w:hAnsi="Arial"/>
          <w:b/>
          <w:i w:val="0"/>
          <w:color w:val="000000"/>
          <w:sz w:val="21"/>
        </w:rPr>
        <w:t>5.1 Data Requirements</w:t>
      </w:r>
    </w:p>
    <w:tbl>
      <w:tblPr>
        <w:tblW w:w="10030" w:type="dxa"/>
        <w:tblInd w:w="80" w:type="dxa"/>
        <w:tblStyle w:val="TableGrid"/>
        <w:jc w:val="left"/>
        <w:tblLayout w:type="fixed"/>
        <w:tblLook w:firstColumn="1" w:firstRow="1" w:lastColumn="0" w:lastRow="0" w:noHBand="0" w:noVBand="1" w:val="04A0"/>
      </w:tblPr>
      <w:tblGrid>
        <w:gridCol w:w="1300"/>
        <w:gridCol w:w="8730"/>
      </w:tblGrid>
      <w:tr>
        <w:trPr>
          <w:tblHeader w:val="true"/>
        </w:trPr>
        <w:tc>
          <w:tcPr>
            <w:tcW w:type="dxa" w:w="130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7"/>
              </w:rPr>
              <w:t>ID</w:t>
            </w:r>
          </w:p>
        </w:tc>
        <w:tc>
          <w:tcPr>
            <w:tcW w:type="dxa" w:w="873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7"/>
              </w:rPr>
              <w:t>Requirement</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DR-01</w:t>
            </w:r>
          </w:p>
        </w:tc>
        <w:tc>
          <w:tcPr>
            <w:tcW w:type="dxa" w:w="873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Structured candidate records shall be stored in Firestore and accessed only through the FastAPI Admin SDK.</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DR-02</w:t>
            </w:r>
          </w:p>
        </w:tc>
        <w:tc>
          <w:tcPr>
            <w:tcW w:type="dxa" w:w="873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Resume, job-description, avatar and export objects shall be stored in private Supabase Storage paths scoped by user ID.</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DR-03</w:t>
            </w:r>
          </w:p>
        </w:tc>
        <w:tc>
          <w:tcPr>
            <w:tcW w:type="dxa" w:w="873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Owned candidate documents shall carry user_id (profile ID equals the user ID); handlers shall filter every owned read and mutation.</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DR-04</w:t>
            </w:r>
          </w:p>
        </w:tc>
        <w:tc>
          <w:tcPr>
            <w:tcW w:type="dxa" w:w="873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Resume/JD extraction status and candidate confirmation time shall be retained to enforce the confirm gate.</w:t>
            </w:r>
          </w:p>
        </w:tc>
      </w:tr>
      <w:tr>
        <w:trPr>
          <w:cantSplit/>
        </w:trPr>
        <w:tc>
          <w:tcPr>
            <w:tcW w:type="dxa" w:w="13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DR-05</w:t>
            </w:r>
          </w:p>
        </w:tc>
        <w:tc>
          <w:tcPr>
            <w:tcW w:type="dxa" w:w="873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ATS analyses, evidence, interview artifacts, learning paths and saved jobs shall retain the owning user and source identifiers needed for history and traceability.</w:t>
            </w:r>
          </w:p>
        </w:tc>
      </w:tr>
      <w:tr>
        <w:trPr>
          <w:cantSplit/>
        </w:trPr>
        <w:tc>
          <w:tcPr>
            <w:tcW w:type="dxa" w:w="13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DR-06</w:t>
            </w:r>
          </w:p>
        </w:tc>
        <w:tc>
          <w:tcPr>
            <w:tcW w:type="dxa" w:w="873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Secret values, raw credentials and service-role keys shall not be stored in client-visible records, logs or this specification.</w:t>
            </w:r>
          </w:p>
        </w:tc>
      </w:tr>
    </w:tbl>
    <w:p>
      <w:pPr>
        <w:spacing w:after="0" w:before="40"/>
      </w:pPr>
    </w:p>
    <w:p>
      <w:pPr>
        <w:pStyle w:val="Heading2"/>
        <w:keepNext/>
      </w:pPr>
      <w:r>
        <w:rPr>
          <w:rFonts w:ascii="Arial" w:hAnsi="Arial"/>
          <w:b/>
          <w:i w:val="0"/>
          <w:color w:val="000000"/>
          <w:sz w:val="21"/>
        </w:rPr>
        <w:t>5.2 Business Rules</w:t>
      </w:r>
    </w:p>
    <w:p>
      <w:pPr>
        <w:pStyle w:val="ListBullet"/>
        <w:spacing w:before="0" w:after="30" w:line="247" w:lineRule="auto"/>
        <w:ind w:left="547" w:hanging="274"/>
      </w:pPr>
      <w:r>
        <w:rPr>
          <w:rFonts w:ascii="Arial" w:hAnsi="Arial"/>
          <w:b w:val="0"/>
          <w:i w:val="0"/>
          <w:color w:val="000000"/>
          <w:sz w:val="17"/>
        </w:rPr>
        <w:t xml:space="preserve"> BR-01 - Confirmed candidate content is authoritative; AI output cannot silently replace it.</w:t>
      </w:r>
    </w:p>
    <w:p>
      <w:pPr>
        <w:pStyle w:val="ListBullet"/>
        <w:spacing w:before="0" w:after="30" w:line="247" w:lineRule="auto"/>
        <w:ind w:left="547" w:hanging="274"/>
      </w:pPr>
      <w:r>
        <w:rPr>
          <w:rFonts w:ascii="Arial" w:hAnsi="Arial"/>
          <w:b w:val="0"/>
          <w:i w:val="0"/>
          <w:color w:val="000000"/>
          <w:sz w:val="17"/>
        </w:rPr>
        <w:t xml:space="preserve"> BR-02 - ATS and job matching are evidence tools, not predictions of hiring success.</w:t>
      </w:r>
    </w:p>
    <w:p>
      <w:pPr>
        <w:pStyle w:val="ListBullet"/>
        <w:spacing w:before="0" w:after="30" w:line="247" w:lineRule="auto"/>
        <w:ind w:left="547" w:hanging="274"/>
      </w:pPr>
      <w:r>
        <w:rPr>
          <w:rFonts w:ascii="Arial" w:hAnsi="Arial"/>
          <w:b w:val="0"/>
          <w:i w:val="0"/>
          <w:color w:val="000000"/>
          <w:sz w:val="17"/>
        </w:rPr>
        <w:t xml:space="preserve"> BR-03 - A candidate may access only records and files owned by that candidate.</w:t>
      </w:r>
    </w:p>
    <w:p>
      <w:pPr>
        <w:pStyle w:val="ListBullet"/>
        <w:spacing w:before="0" w:after="30" w:line="247" w:lineRule="auto"/>
        <w:ind w:left="547" w:hanging="274"/>
      </w:pPr>
      <w:r>
        <w:rPr>
          <w:rFonts w:ascii="Arial" w:hAnsi="Arial"/>
          <w:b w:val="0"/>
          <w:i w:val="0"/>
          <w:color w:val="000000"/>
          <w:sz w:val="17"/>
        </w:rPr>
        <w:t xml:space="preserve"> BR-04 - Optional providers shall not become a prerequisite for authentication, document review or deterministic ATS scoring.</w:t>
      </w:r>
    </w:p>
    <w:p>
      <w:pPr>
        <w:pStyle w:val="ListBullet"/>
        <w:spacing w:before="0" w:after="30" w:line="247" w:lineRule="auto"/>
        <w:ind w:left="547" w:hanging="274"/>
      </w:pPr>
      <w:r>
        <w:rPr>
          <w:rFonts w:ascii="Arial" w:hAnsi="Arial"/>
          <w:b w:val="0"/>
          <w:i w:val="0"/>
          <w:color w:val="000000"/>
          <w:sz w:val="17"/>
        </w:rPr>
        <w:t xml:space="preserve"> BR-05 - Account deletion is destructive and therefore requires explicit phrase-and-email confirmation.</w:t>
      </w:r>
    </w:p>
    <w:p>
      <w:pPr>
        <w:pStyle w:val="Heading2"/>
        <w:keepNext/>
      </w:pPr>
      <w:r>
        <w:rPr>
          <w:rFonts w:ascii="Arial" w:hAnsi="Arial"/>
          <w:b/>
          <w:i w:val="0"/>
          <w:color w:val="000000"/>
          <w:sz w:val="21"/>
        </w:rPr>
        <w:t>5.3 Assumptions and Dependencies</w:t>
      </w:r>
    </w:p>
    <w:tbl>
      <w:tblPr>
        <w:tblW w:w="10030" w:type="dxa"/>
        <w:tblInd w:w="80" w:type="dxa"/>
        <w:tblStyle w:val="TableGrid"/>
        <w:jc w:val="left"/>
        <w:tblLayout w:type="fixed"/>
        <w:tblLook w:firstColumn="1" w:firstRow="1" w:lastColumn="0" w:lastRow="0" w:noHBand="0" w:noVBand="1" w:val="04A0"/>
      </w:tblPr>
      <w:tblGrid>
        <w:gridCol w:w="1800"/>
        <w:gridCol w:w="8230"/>
      </w:tblGrid>
      <w:tr>
        <w:trPr>
          <w:tblHeader w:val="true"/>
        </w:trPr>
        <w:tc>
          <w:tcPr>
            <w:tcW w:type="dxa" w:w="180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7"/>
              </w:rPr>
              <w:t>Type</w:t>
            </w:r>
          </w:p>
        </w:tc>
        <w:tc>
          <w:tcPr>
            <w:tcW w:type="dxa" w:w="823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7"/>
              </w:rPr>
              <w:t>Statement</w:t>
            </w:r>
          </w:p>
        </w:tc>
      </w:tr>
      <w:tr>
        <w:trPr>
          <w:cantSplit/>
        </w:trPr>
        <w:tc>
          <w:tcPr>
            <w:tcW w:type="dxa" w:w="18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Assumption</w:t>
            </w:r>
          </w:p>
        </w:tc>
        <w:tc>
          <w:tcPr>
            <w:tcW w:type="dxa" w:w="823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Uploaded files contain extractable text; image-only OCR is not established by the reviewed repository.</w:t>
            </w:r>
          </w:p>
        </w:tc>
      </w:tr>
      <w:tr>
        <w:trPr>
          <w:cantSplit/>
        </w:trPr>
        <w:tc>
          <w:tcPr>
            <w:tcW w:type="dxa" w:w="18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Dependency</w:t>
            </w:r>
          </w:p>
        </w:tc>
        <w:tc>
          <w:tcPr>
            <w:tcW w:type="dxa" w:w="823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Firebase, Supabase, Firestore, Vercel/Render and configured external APIs remain governed by their availability and quotas.</w:t>
            </w:r>
          </w:p>
        </w:tc>
      </w:tr>
      <w:tr>
        <w:trPr>
          <w:cantSplit/>
        </w:trPr>
        <w:tc>
          <w:tcPr>
            <w:tcW w:type="dxa" w:w="18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Constraint</w:t>
            </w:r>
          </w:p>
        </w:tc>
        <w:tc>
          <w:tcPr>
            <w:tcW w:type="dxa" w:w="823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No background Celery worker exists; long operations execute in-process with timeouts/fallbacks.</w:t>
            </w:r>
          </w:p>
        </w:tc>
      </w:tr>
      <w:tr>
        <w:trPr>
          <w:cantSplit/>
        </w:trPr>
        <w:tc>
          <w:tcPr>
            <w:tcW w:type="dxa" w:w="18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Deployment</w:t>
            </w:r>
          </w:p>
        </w:tc>
        <w:tc>
          <w:tcPr>
            <w:tcW w:type="dxa" w:w="823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7"/>
              </w:rPr>
              <w:t>The page origin must proxy /api/files; VITE_API_BASE_URL alone does not provide authenticated media routing.</w:t>
            </w:r>
          </w:p>
        </w:tc>
      </w:tr>
    </w:tbl>
    <w:p>
      <w:pPr>
        <w:spacing w:after="0" w:before="40"/>
      </w:pPr>
    </w:p>
    <w:p>
      <w:pPr>
        <w:spacing w:after="0"/>
      </w:pPr>
      <w:r>
        <w:br w:type="page"/>
      </w:r>
    </w:p>
    <w:p>
      <w:pPr>
        <w:pStyle w:val="Heading1"/>
        <w:keepNext/>
      </w:pPr>
      <w:r>
        <w:rPr>
          <w:rFonts w:ascii="Arial" w:hAnsi="Arial"/>
          <w:b/>
          <w:i w:val="0"/>
          <w:color w:val="000000"/>
          <w:sz w:val="29"/>
        </w:rPr>
        <w:t>6. Other Nonfunctional Requirements</w:t>
      </w:r>
    </w:p>
    <w:tbl>
      <w:tblPr>
        <w:tblW w:w="10030" w:type="dxa"/>
        <w:tblInd w:w="80" w:type="dxa"/>
        <w:tblStyle w:val="TableGrid"/>
        <w:jc w:val="left"/>
        <w:tblLayout w:type="fixed"/>
        <w:tblLook w:firstColumn="1" w:firstRow="1" w:lastColumn="0" w:lastRow="0" w:noHBand="0" w:noVBand="1" w:val="04A0"/>
      </w:tblPr>
      <w:tblGrid>
        <w:gridCol w:w="1450"/>
        <w:gridCol w:w="7000"/>
        <w:gridCol w:w="1580"/>
      </w:tblGrid>
      <w:tr>
        <w:trPr>
          <w:tblHeader w:val="true"/>
        </w:trPr>
        <w:tc>
          <w:tcPr>
            <w:tcW w:type="dxa" w:w="145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6"/>
              </w:rPr>
              <w:t>ID</w:t>
            </w:r>
          </w:p>
        </w:tc>
        <w:tc>
          <w:tcPr>
            <w:tcW w:type="dxa" w:w="700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6"/>
              </w:rPr>
              <w:t>Normative requirement</w:t>
            </w:r>
          </w:p>
        </w:tc>
        <w:tc>
          <w:tcPr>
            <w:tcW w:type="dxa" w:w="158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6"/>
              </w:rPr>
              <w:t>Verification</w:t>
            </w:r>
          </w:p>
        </w:tc>
      </w:tr>
      <w:tr>
        <w:trPr>
          <w:cantSplit/>
        </w:trPr>
        <w:tc>
          <w:tcPr>
            <w:tcW w:type="dxa" w:w="145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NFR-SEC-01</w:t>
            </w:r>
          </w:p>
        </w:tc>
        <w:tc>
          <w:tcPr>
            <w:tcW w:type="dxa" w:w="700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Every protected endpoint and file route shall authenticate the app JWT/cookie and enforce owner-scoped access.</w:t>
            </w:r>
          </w:p>
        </w:tc>
        <w:tc>
          <w:tcPr>
            <w:tcW w:type="dxa" w:w="158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Security test</w:t>
            </w:r>
          </w:p>
        </w:tc>
      </w:tr>
      <w:tr>
        <w:trPr>
          <w:cantSplit/>
        </w:trPr>
        <w:tc>
          <w:tcPr>
            <w:tcW w:type="dxa" w:w="145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NFR-SEC-02</w:t>
            </w:r>
          </w:p>
        </w:tc>
        <w:tc>
          <w:tcPr>
            <w:tcW w:type="dxa" w:w="700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Production shall use a strong AUTH_SECRET, restricted FRONTEND_ORIGINS, disabled API docs, deny-all browser Firestore rules and a private storage bucket.</w:t>
            </w:r>
          </w:p>
        </w:tc>
        <w:tc>
          <w:tcPr>
            <w:tcW w:type="dxa" w:w="158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Config audit</w:t>
            </w:r>
          </w:p>
        </w:tc>
      </w:tr>
      <w:tr>
        <w:trPr>
          <w:cantSplit/>
        </w:trPr>
        <w:tc>
          <w:tcPr>
            <w:tcW w:type="dxa" w:w="145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NFR-SEC-03</w:t>
            </w:r>
          </w:p>
        </w:tc>
        <w:tc>
          <w:tcPr>
            <w:tcW w:type="dxa" w:w="700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Passwords managed by the backend shall use the implemented scrypt format; service credentials shall never enter VITE_* variables or source control.</w:t>
            </w:r>
          </w:p>
        </w:tc>
        <w:tc>
          <w:tcPr>
            <w:tcW w:type="dxa" w:w="158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Code/secret scan</w:t>
            </w:r>
          </w:p>
        </w:tc>
      </w:tr>
      <w:tr>
        <w:trPr>
          <w:cantSplit/>
        </w:trPr>
        <w:tc>
          <w:tcPr>
            <w:tcW w:type="dxa" w:w="145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NFR-PRV-01</w:t>
            </w:r>
          </w:p>
        </w:tc>
        <w:tc>
          <w:tcPr>
            <w:tcW w:type="dxa" w:w="700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Logs and error responses shall exclude resume content, tokens and secret values except where explicitly required for a user-visible owned result.</w:t>
            </w:r>
          </w:p>
        </w:tc>
        <w:tc>
          <w:tcPr>
            <w:tcW w:type="dxa" w:w="158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Review/test</w:t>
            </w:r>
          </w:p>
        </w:tc>
      </w:tr>
      <w:tr>
        <w:trPr>
          <w:cantSplit/>
        </w:trPr>
        <w:tc>
          <w:tcPr>
            <w:tcW w:type="dxa" w:w="145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NFR-REL-01</w:t>
            </w:r>
          </w:p>
        </w:tc>
        <w:tc>
          <w:tcPr>
            <w:tcW w:type="dxa" w:w="700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Deterministic ATS results shall be reproducible for the same confirmed source fingerprint.</w:t>
            </w:r>
          </w:p>
        </w:tc>
        <w:tc>
          <w:tcPr>
            <w:tcW w:type="dxa" w:w="158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Repeat test</w:t>
            </w:r>
          </w:p>
        </w:tc>
      </w:tr>
      <w:tr>
        <w:trPr>
          <w:cantSplit/>
        </w:trPr>
        <w:tc>
          <w:tcPr>
            <w:tcW w:type="dxa" w:w="145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NFR-REL-02</w:t>
            </w:r>
          </w:p>
        </w:tc>
        <w:tc>
          <w:tcPr>
            <w:tcW w:type="dxa" w:w="700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Unconfigured or failed LLM, TTS, YouTube or job providers shall produce a documented fallback or controlled error without corrupting persisted state.</w:t>
            </w:r>
          </w:p>
        </w:tc>
        <w:tc>
          <w:tcPr>
            <w:tcW w:type="dxa" w:w="158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Fault injection</w:t>
            </w:r>
          </w:p>
        </w:tc>
      </w:tr>
      <w:tr>
        <w:trPr>
          <w:cantSplit/>
        </w:trPr>
        <w:tc>
          <w:tcPr>
            <w:tcW w:type="dxa" w:w="145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NFR-PERF-01</w:t>
            </w:r>
          </w:p>
        </w:tc>
        <w:tc>
          <w:tcPr>
            <w:tcW w:type="dxa" w:w="700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Document, avatar, ATS-term and provider usage shall respect configured size, term and rate limits; external calls shall use bounded timeouts.</w:t>
            </w:r>
          </w:p>
        </w:tc>
        <w:tc>
          <w:tcPr>
            <w:tcW w:type="dxa" w:w="158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Boundary test</w:t>
            </w:r>
          </w:p>
        </w:tc>
      </w:tr>
      <w:tr>
        <w:trPr>
          <w:cantSplit/>
        </w:trPr>
        <w:tc>
          <w:tcPr>
            <w:tcW w:type="dxa" w:w="145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NFR-OBS-01</w:t>
            </w:r>
          </w:p>
        </w:tc>
        <w:tc>
          <w:tcPr>
            <w:tcW w:type="dxa" w:w="700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API responses shall include X-Request-ID and errors shall use the standard code/message/details/request_id envelope.</w:t>
            </w:r>
          </w:p>
        </w:tc>
        <w:tc>
          <w:tcPr>
            <w:tcW w:type="dxa" w:w="158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API test</w:t>
            </w:r>
          </w:p>
        </w:tc>
      </w:tr>
      <w:tr>
        <w:trPr>
          <w:cantSplit/>
        </w:trPr>
        <w:tc>
          <w:tcPr>
            <w:tcW w:type="dxa" w:w="145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NFR-OPS-01</w:t>
            </w:r>
          </w:p>
        </w:tc>
        <w:tc>
          <w:tcPr>
            <w:tcW w:type="dxa" w:w="700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Liveness shall avoid network probes; readiness/dependency endpoints shall report bounded database, storage and agent status.</w:t>
            </w:r>
          </w:p>
        </w:tc>
        <w:tc>
          <w:tcPr>
            <w:tcW w:type="dxa" w:w="158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Health test</w:t>
            </w:r>
          </w:p>
        </w:tc>
      </w:tr>
      <w:tr>
        <w:trPr>
          <w:cantSplit/>
        </w:trPr>
        <w:tc>
          <w:tcPr>
            <w:tcW w:type="dxa" w:w="145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NFR-MNT-01</w:t>
            </w:r>
          </w:p>
        </w:tc>
        <w:tc>
          <w:tcPr>
            <w:tcW w:type="dxa" w:w="700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Frontend, HTTP, domain, agent and data responsibilities shall remain separated and type/lint/test checks shall run before release.</w:t>
            </w:r>
          </w:p>
        </w:tc>
        <w:tc>
          <w:tcPr>
            <w:tcW w:type="dxa" w:w="158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CI/manual audit</w:t>
            </w:r>
          </w:p>
        </w:tc>
      </w:tr>
      <w:tr>
        <w:trPr>
          <w:cantSplit/>
        </w:trPr>
        <w:tc>
          <w:tcPr>
            <w:tcW w:type="dxa" w:w="145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NFR-USE-01</w:t>
            </w:r>
          </w:p>
        </w:tc>
        <w:tc>
          <w:tcPr>
            <w:tcW w:type="dxa" w:w="700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Critical flows shall show review/confirmed state, progress, provider fallback and actionable error messages in plain language.</w:t>
            </w:r>
          </w:p>
        </w:tc>
        <w:tc>
          <w:tcPr>
            <w:tcW w:type="dxa" w:w="158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UI review</w:t>
            </w:r>
          </w:p>
        </w:tc>
      </w:tr>
      <w:tr>
        <w:trPr>
          <w:cantSplit/>
        </w:trPr>
        <w:tc>
          <w:tcPr>
            <w:tcW w:type="dxa" w:w="145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NFR-ACC-01</w:t>
            </w:r>
          </w:p>
        </w:tc>
        <w:tc>
          <w:tcPr>
            <w:tcW w:type="dxa" w:w="700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Primary authentication, resume review, ATS and settings flows shall support keyboard navigation and readable contrast in supported themes.</w:t>
            </w:r>
          </w:p>
        </w:tc>
        <w:tc>
          <w:tcPr>
            <w:tcW w:type="dxa" w:w="158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Accessibility review</w:t>
            </w:r>
          </w:p>
        </w:tc>
      </w:tr>
      <w:tr>
        <w:trPr>
          <w:cantSplit/>
        </w:trPr>
        <w:tc>
          <w:tcPr>
            <w:tcW w:type="dxa" w:w="145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NFR-DEP-01</w:t>
            </w:r>
          </w:p>
        </w:tc>
        <w:tc>
          <w:tcPr>
            <w:tcW w:type="dxa" w:w="700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6"/>
              </w:rPr>
              <w:t>Vercel and Render builds shall use matching API/CORS origins and shall be redeployed after build-time VITE_* changes.</w:t>
            </w:r>
          </w:p>
        </w:tc>
        <w:tc>
          <w:tcPr>
            <w:tcW w:type="dxa" w:w="158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6"/>
              </w:rPr>
              <w:t>Release checklist</w:t>
            </w:r>
          </w:p>
        </w:tc>
      </w:tr>
    </w:tbl>
    <w:p>
      <w:pPr>
        <w:spacing w:after="0" w:before="40"/>
      </w:pPr>
    </w:p>
    <w:p>
      <w:pPr>
        <w:spacing w:before="0" w:after="0" w:line="250" w:lineRule="auto"/>
      </w:pPr>
      <w:r>
        <w:rPr>
          <w:rFonts w:ascii="Arial" w:hAnsi="Arial"/>
          <w:b/>
          <w:i w:val="0"/>
          <w:color w:val="000000"/>
          <w:sz w:val="17"/>
        </w:rPr>
        <w:t>Safety note:</w:t>
      </w:r>
      <w:r>
        <w:rPr>
          <w:rFonts w:ascii="Arial" w:hAnsi="Arial"/>
          <w:b w:val="0"/>
          <w:i w:val="0"/>
          <w:color w:val="000000"/>
          <w:sz w:val="17"/>
        </w:rPr>
        <w:t xml:space="preserve"> Career Copilot provides career-preparation assistance. It shall not claim to predict employability or replace human hiring judgment.</w:t>
      </w:r>
    </w:p>
    <w:p>
      <w:pPr>
        <w:spacing w:after="0"/>
      </w:pPr>
      <w:r>
        <w:br w:type="page"/>
      </w:r>
    </w:p>
    <w:p>
      <w:pPr>
        <w:pStyle w:val="Heading1"/>
        <w:keepNext/>
      </w:pPr>
      <w:r>
        <w:rPr>
          <w:rFonts w:ascii="Arial" w:hAnsi="Arial"/>
          <w:b/>
          <w:i w:val="0"/>
          <w:color w:val="000000"/>
          <w:sz w:val="29"/>
        </w:rPr>
        <w:t>7. Traceability and Acceptance</w:t>
      </w:r>
    </w:p>
    <w:tbl>
      <w:tblPr>
        <w:tblW w:w="10030" w:type="dxa"/>
        <w:tblInd w:w="80" w:type="dxa"/>
        <w:tblStyle w:val="TableGrid"/>
        <w:jc w:val="left"/>
        <w:tblLayout w:type="fixed"/>
        <w:tblLook w:firstColumn="1" w:firstRow="1" w:lastColumn="0" w:lastRow="0" w:noHBand="0" w:noVBand="1" w:val="04A0"/>
      </w:tblPr>
      <w:tblGrid>
        <w:gridCol w:w="1200"/>
        <w:gridCol w:w="1350"/>
        <w:gridCol w:w="4700"/>
        <w:gridCol w:w="2780"/>
      </w:tblGrid>
      <w:tr>
        <w:trPr>
          <w:tblHeader w:val="true"/>
        </w:trPr>
        <w:tc>
          <w:tcPr>
            <w:tcW w:type="dxa" w:w="120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5"/>
              </w:rPr>
              <w:t>Feature</w:t>
            </w:r>
          </w:p>
        </w:tc>
        <w:tc>
          <w:tcPr>
            <w:tcW w:type="dxa" w:w="135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5"/>
              </w:rPr>
              <w:t>IDs</w:t>
            </w:r>
          </w:p>
        </w:tc>
        <w:tc>
          <w:tcPr>
            <w:tcW w:type="dxa" w:w="470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5"/>
              </w:rPr>
              <w:t>Primary repository evidence</w:t>
            </w:r>
          </w:p>
        </w:tc>
        <w:tc>
          <w:tcPr>
            <w:tcW w:type="dxa" w:w="278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5"/>
              </w:rPr>
              <w:t>Minimum acceptance</w:t>
            </w:r>
          </w:p>
        </w:tc>
      </w:tr>
      <w:tr>
        <w:trPr>
          <w:cantSplit/>
        </w:trPr>
        <w:tc>
          <w:tcPr>
            <w:tcW w:type="dxa" w:w="12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Auth</w:t>
            </w:r>
          </w:p>
        </w:tc>
        <w:tc>
          <w:tcPr>
            <w:tcW w:type="dxa" w:w="135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FR-AUTH-*</w:t>
            </w:r>
          </w:p>
        </w:tc>
        <w:tc>
          <w:tcPr>
            <w:tcW w:type="dxa" w:w="470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backend/app/api/routers/auth.py; frontend/src/features/auth</w:t>
            </w:r>
          </w:p>
        </w:tc>
        <w:tc>
          <w:tcPr>
            <w:tcW w:type="dxa" w:w="278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Sign-in, expiry and delete tests pass</w:t>
            </w:r>
          </w:p>
        </w:tc>
      </w:tr>
      <w:tr>
        <w:trPr>
          <w:cantSplit/>
        </w:trPr>
        <w:tc>
          <w:tcPr>
            <w:tcW w:type="dxa" w:w="12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Profile</w:t>
            </w:r>
          </w:p>
        </w:tc>
        <w:tc>
          <w:tcPr>
            <w:tcW w:type="dxa" w:w="135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FR-PRO-*</w:t>
            </w:r>
          </w:p>
        </w:tc>
        <w:tc>
          <w:tcPr>
            <w:tcW w:type="dxa" w:w="470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backend/app/features/profile; settings/onboarding UI</w:t>
            </w:r>
          </w:p>
        </w:tc>
        <w:tc>
          <w:tcPr>
            <w:tcW w:type="dxa" w:w="278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Owner-scoped CRUD and preview/apply pass</w:t>
            </w:r>
          </w:p>
        </w:tc>
      </w:tr>
      <w:tr>
        <w:trPr>
          <w:cantSplit/>
        </w:trPr>
        <w:tc>
          <w:tcPr>
            <w:tcW w:type="dxa" w:w="12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Documents</w:t>
            </w:r>
          </w:p>
        </w:tc>
        <w:tc>
          <w:tcPr>
            <w:tcW w:type="dxa" w:w="135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FR-DOC-*</w:t>
            </w:r>
          </w:p>
        </w:tc>
        <w:tc>
          <w:tcPr>
            <w:tcW w:type="dxa" w:w="470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backend/app/features/document_parsing</w:t>
            </w:r>
          </w:p>
        </w:tc>
        <w:tc>
          <w:tcPr>
            <w:tcW w:type="dxa" w:w="278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Upload-review-confirm gate passes</w:t>
            </w:r>
          </w:p>
        </w:tc>
      </w:tr>
      <w:tr>
        <w:trPr>
          <w:cantSplit/>
        </w:trPr>
        <w:tc>
          <w:tcPr>
            <w:tcW w:type="dxa" w:w="12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ATS</w:t>
            </w:r>
          </w:p>
        </w:tc>
        <w:tc>
          <w:tcPr>
            <w:tcW w:type="dxa" w:w="135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FR-ATS-*</w:t>
            </w:r>
          </w:p>
        </w:tc>
        <w:tc>
          <w:tcPr>
            <w:tcW w:type="dxa" w:w="470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backend/app/features/ats/ats_score.py</w:t>
            </w:r>
          </w:p>
        </w:tc>
        <w:tc>
          <w:tcPr>
            <w:tcW w:type="dxa" w:w="278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Determinism and evidence tests pass</w:t>
            </w:r>
          </w:p>
        </w:tc>
      </w:tr>
      <w:tr>
        <w:trPr>
          <w:cantSplit/>
        </w:trPr>
        <w:tc>
          <w:tcPr>
            <w:tcW w:type="dxa" w:w="12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Improvement</w:t>
            </w:r>
          </w:p>
        </w:tc>
        <w:tc>
          <w:tcPr>
            <w:tcW w:type="dxa" w:w="135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FR-IMP-*</w:t>
            </w:r>
          </w:p>
        </w:tc>
        <w:tc>
          <w:tcPr>
            <w:tcW w:type="dxa" w:w="470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backend/app/features/resume_improvement</w:t>
            </w:r>
          </w:p>
        </w:tc>
        <w:tc>
          <w:tcPr>
            <w:tcW w:type="dxa" w:w="278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Unsupported suggestions are rejected</w:t>
            </w:r>
          </w:p>
        </w:tc>
      </w:tr>
      <w:tr>
        <w:trPr>
          <w:cantSplit/>
        </w:trPr>
        <w:tc>
          <w:tcPr>
            <w:tcW w:type="dxa" w:w="12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Interview</w:t>
            </w:r>
          </w:p>
        </w:tc>
        <w:tc>
          <w:tcPr>
            <w:tcW w:type="dxa" w:w="135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FR-INT-*</w:t>
            </w:r>
          </w:p>
        </w:tc>
        <w:tc>
          <w:tcPr>
            <w:tcW w:type="dxa" w:w="470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backend/app/features/interview</w:t>
            </w:r>
          </w:p>
        </w:tc>
        <w:tc>
          <w:tcPr>
            <w:tcW w:type="dxa" w:w="278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Lifecycle and fallback tests pass</w:t>
            </w:r>
          </w:p>
        </w:tc>
      </w:tr>
      <w:tr>
        <w:trPr>
          <w:cantSplit/>
        </w:trPr>
        <w:tc>
          <w:tcPr>
            <w:tcW w:type="dxa" w:w="120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Learning</w:t>
            </w:r>
          </w:p>
        </w:tc>
        <w:tc>
          <w:tcPr>
            <w:tcW w:type="dxa" w:w="135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FR-LRN-*</w:t>
            </w:r>
          </w:p>
        </w:tc>
        <w:tc>
          <w:tcPr>
            <w:tcW w:type="dxa" w:w="470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backend/app/features/learning</w:t>
            </w:r>
          </w:p>
        </w:tc>
        <w:tc>
          <w:tcPr>
            <w:tcW w:type="dxa" w:w="278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No invented resource IDs/URLs</w:t>
            </w:r>
          </w:p>
        </w:tc>
      </w:tr>
      <w:tr>
        <w:trPr>
          <w:cantSplit/>
        </w:trPr>
        <w:tc>
          <w:tcPr>
            <w:tcW w:type="dxa" w:w="120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Jobs</w:t>
            </w:r>
          </w:p>
        </w:tc>
        <w:tc>
          <w:tcPr>
            <w:tcW w:type="dxa" w:w="135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FR-JOB-*</w:t>
            </w:r>
          </w:p>
        </w:tc>
        <w:tc>
          <w:tcPr>
            <w:tcW w:type="dxa" w:w="470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career_matching.py; adzuna_api.py</w:t>
            </w:r>
          </w:p>
        </w:tc>
        <w:tc>
          <w:tcPr>
            <w:tcW w:type="dxa" w:w="278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Grounded ranking and saved states pass</w:t>
            </w:r>
          </w:p>
        </w:tc>
      </w:tr>
    </w:tbl>
    <w:p>
      <w:pPr>
        <w:spacing w:after="0" w:before="40"/>
      </w:pPr>
    </w:p>
    <w:p>
      <w:pPr>
        <w:pStyle w:val="Heading2"/>
        <w:keepNext/>
      </w:pPr>
      <w:r>
        <w:rPr>
          <w:rFonts w:ascii="Arial" w:hAnsi="Arial"/>
          <w:b/>
          <w:i w:val="0"/>
          <w:color w:val="000000"/>
          <w:sz w:val="21"/>
        </w:rPr>
        <w:t>7.1 Known Acceptance Caveats</w:t>
      </w:r>
    </w:p>
    <w:p>
      <w:pPr>
        <w:spacing w:before="0" w:after="50" w:line="250" w:lineRule="auto"/>
      </w:pPr>
      <w:r>
        <w:rPr>
          <w:rFonts w:ascii="Arial" w:hAnsi="Arial"/>
          <w:b w:val="0"/>
          <w:i w:val="0"/>
          <w:color w:val="000000"/>
          <w:sz w:val="17"/>
        </w:rPr>
        <w:t>Release review shall explicitly cover: same-origin /api/files proxying; soft-deleted resume parents whose versions may remain confirmed; lexicographic ordering of numeric strings at 10+; JWTs remaining valid until expiry after password change; app-level uniqueness races; job-recommendation capability reporting; and Adzuna page-one/process-lock limits.</w:t>
      </w:r>
    </w:p>
    <w:p>
      <w:pPr>
        <w:pStyle w:val="Heading1"/>
        <w:keepNext/>
      </w:pPr>
      <w:r>
        <w:rPr>
          <w:rFonts w:ascii="Arial" w:hAnsi="Arial"/>
          <w:b/>
          <w:i w:val="0"/>
          <w:color w:val="000000"/>
          <w:sz w:val="29"/>
        </w:rPr>
        <w:t>Appendix A - Glossary</w:t>
      </w:r>
    </w:p>
    <w:tbl>
      <w:tblPr>
        <w:tblW w:w="10030" w:type="dxa"/>
        <w:tblInd w:w="80" w:type="dxa"/>
        <w:tblStyle w:val="TableGrid"/>
        <w:jc w:val="left"/>
        <w:tblLayout w:type="fixed"/>
        <w:tblLook w:firstColumn="1" w:firstRow="1" w:lastColumn="0" w:lastRow="0" w:noHBand="0" w:noVBand="1" w:val="04A0"/>
      </w:tblPr>
      <w:tblGrid>
        <w:gridCol w:w="1050"/>
        <w:gridCol w:w="3965"/>
        <w:gridCol w:w="1050"/>
        <w:gridCol w:w="3965"/>
      </w:tblGrid>
      <w:tr>
        <w:trPr>
          <w:tblHeader w:val="true"/>
        </w:trPr>
        <w:tc>
          <w:tcPr>
            <w:tcW w:type="dxa" w:w="105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5"/>
              </w:rPr>
              <w:t>Term</w:t>
            </w:r>
          </w:p>
        </w:tc>
        <w:tc>
          <w:tcPr>
            <w:tcW w:type="dxa" w:w="3965"/>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5"/>
              </w:rPr>
              <w:t>Definition</w:t>
            </w:r>
          </w:p>
        </w:tc>
        <w:tc>
          <w:tcPr>
            <w:tcW w:type="dxa" w:w="1050"/>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5"/>
              </w:rPr>
              <w:t>Term</w:t>
            </w:r>
          </w:p>
        </w:tc>
        <w:tc>
          <w:tcPr>
            <w:tcW w:type="dxa" w:w="3965"/>
            <w:shd w:val="clear" w:color="auto" w:fill="333333"/>
            <w:tcMar>
              <w:top w:w="55" w:type="dxa"/>
              <w:start w:w="80" w:type="dxa"/>
              <w:bottom w:w="55" w:type="dxa"/>
              <w:end w:w="80" w:type="dxa"/>
            </w:tcMar>
            <w:vAlign w:val="center"/>
          </w:tcPr>
          <w:p>
            <w:pPr>
              <w:spacing w:before="0" w:after="0" w:line="240" w:lineRule="auto"/>
              <w:jc w:val="center"/>
            </w:pPr>
            <w:r/>
            <w:r>
              <w:rPr>
                <w:rFonts w:ascii="Arial" w:hAnsi="Arial"/>
                <w:b/>
                <w:i w:val="0"/>
                <w:color w:val="FFFFFF"/>
                <w:sz w:val="15"/>
              </w:rPr>
              <w:t>Definition</w:t>
            </w:r>
          </w:p>
        </w:tc>
      </w:tr>
      <w:tr>
        <w:trPr>
          <w:cantSplit/>
        </w:trPr>
        <w:tc>
          <w:tcPr>
            <w:tcW w:type="dxa" w:w="105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ATS</w:t>
            </w:r>
          </w:p>
        </w:tc>
        <w:tc>
          <w:tcPr>
            <w:tcW w:type="dxa" w:w="396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Applicant Tracking System; here, an evidence-based resume/JD comparison.</w:t>
            </w:r>
          </w:p>
        </w:tc>
        <w:tc>
          <w:tcPr>
            <w:tcW w:type="dxa" w:w="105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Confirm gate</w:t>
            </w:r>
          </w:p>
        </w:tc>
        <w:tc>
          <w:tcPr>
            <w:tcW w:type="dxa" w:w="396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Human approval required before extracted text drives evidence flows.</w:t>
            </w:r>
          </w:p>
        </w:tc>
      </w:tr>
      <w:tr>
        <w:trPr>
          <w:cantSplit/>
        </w:trPr>
        <w:tc>
          <w:tcPr>
            <w:tcW w:type="dxa" w:w="1050"/>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App JWT</w:t>
            </w:r>
          </w:p>
        </w:tc>
        <w:tc>
          <w:tcPr>
            <w:tcW w:type="dxa" w:w="3965"/>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Career Copilot token trusted by FastAPI after identity verification.</w:t>
            </w:r>
          </w:p>
        </w:tc>
        <w:tc>
          <w:tcPr>
            <w:tcW w:type="dxa" w:w="1050"/>
            <w:shd w:val="clear" w:color="auto" w:fill="F5F5F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Grounded</w:t>
            </w:r>
          </w:p>
        </w:tc>
        <w:tc>
          <w:tcPr>
            <w:tcW w:type="dxa" w:w="3965"/>
            <w:shd w:val="clear" w:color="auto" w:fill="F5F5F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Supported by confirmed candidate source text or validated external data.</w:t>
            </w:r>
          </w:p>
        </w:tc>
      </w:tr>
      <w:tr>
        <w:trPr>
          <w:cantSplit/>
        </w:trPr>
        <w:tc>
          <w:tcPr>
            <w:tcW w:type="dxa" w:w="1050"/>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LLM</w:t>
            </w:r>
          </w:p>
        </w:tc>
        <w:tc>
          <w:tcPr>
            <w:tcW w:type="dxa" w:w="3965"/>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Large language model used only for bounded enrichment/fallback-capable tasks.</w:t>
            </w:r>
          </w:p>
        </w:tc>
        <w:tc>
          <w:tcPr>
            <w:tcW w:type="dxa" w:w="1050"/>
            <w:tcMar>
              <w:top w:w="55" w:type="dxa"/>
              <w:start w:w="80" w:type="dxa"/>
              <w:bottom w:w="55" w:type="dxa"/>
              <w:end w:w="80" w:type="dxa"/>
            </w:tcMar>
            <w:vAlign w:val="center"/>
          </w:tcPr>
          <w:p>
            <w:pPr>
              <w:spacing w:before="0" w:after="0" w:line="240" w:lineRule="auto"/>
              <w:jc w:val="left"/>
            </w:pPr>
            <w:r/>
            <w:r>
              <w:rPr>
                <w:rFonts w:ascii="Arial" w:hAnsi="Arial"/>
                <w:b w:val="0"/>
                <w:i w:val="0"/>
                <w:color w:val="000000"/>
                <w:sz w:val="15"/>
              </w:rPr>
              <w:t>Owner scope</w:t>
            </w:r>
          </w:p>
        </w:tc>
        <w:tc>
          <w:tcPr>
            <w:tcW w:type="dxa" w:w="3965"/>
            <w:tcMar>
              <w:top w:w="55" w:type="dxa"/>
              <w:start w:w="80" w:type="dxa"/>
              <w:bottom w:w="55" w:type="dxa"/>
              <w:end w:w="80" w:type="dxa"/>
            </w:tcMar>
            <w:vAlign w:val="center"/>
          </w:tcPr>
          <w:p>
            <w:pPr>
              <w:spacing w:before="0" w:after="0" w:line="240" w:lineRule="auto"/>
              <w:jc w:val="center"/>
            </w:pPr>
            <w:r/>
            <w:r>
              <w:rPr>
                <w:rFonts w:ascii="Arial" w:hAnsi="Arial"/>
                <w:b w:val="0"/>
                <w:i w:val="0"/>
                <w:color w:val="000000"/>
                <w:sz w:val="15"/>
              </w:rPr>
              <w:t>Server rule limiting a record/file to its authenticated candidate.</w:t>
            </w:r>
          </w:p>
        </w:tc>
      </w:tr>
    </w:tbl>
    <w:p>
      <w:pPr>
        <w:spacing w:after="0" w:before="40"/>
      </w:pPr>
    </w:p>
    <w:p>
      <w:pPr>
        <w:pStyle w:val="Heading1"/>
        <w:keepNext/>
      </w:pPr>
      <w:r>
        <w:rPr>
          <w:rFonts w:ascii="Arial" w:hAnsi="Arial"/>
          <w:b/>
          <w:i w:val="0"/>
          <w:color w:val="000000"/>
          <w:sz w:val="29"/>
        </w:rPr>
        <w:t>Appendix B - References</w:t>
      </w:r>
    </w:p>
    <w:p>
      <w:pPr>
        <w:spacing w:before="0" w:after="24" w:line="250" w:lineRule="auto"/>
      </w:pPr>
      <w:r>
        <w:rPr>
          <w:rFonts w:ascii="Arial" w:hAnsi="Arial"/>
          <w:b w:val="0"/>
          <w:i w:val="0"/>
          <w:color w:val="000000"/>
          <w:sz w:val="16"/>
        </w:rPr>
        <w:t>[R1] Supplied IEEE Software Requirements Specification template (Word 97-2003), SHA-256 D53F6F...A04AC4.</w:t>
      </w:r>
    </w:p>
    <w:p>
      <w:pPr>
        <w:spacing w:before="0" w:after="24" w:line="250" w:lineRule="auto"/>
      </w:pPr>
      <w:r>
        <w:rPr>
          <w:rFonts w:ascii="Arial" w:hAnsi="Arial"/>
          <w:b w:val="0"/>
          <w:i w:val="0"/>
          <w:color w:val="000000"/>
          <w:sz w:val="16"/>
        </w:rPr>
        <w:t>[R2] docs/DOCUMENTATION.md - canonical implementation documentation.</w:t>
      </w:r>
    </w:p>
    <w:p>
      <w:pPr>
        <w:spacing w:before="0" w:after="24" w:line="250" w:lineRule="auto"/>
      </w:pPr>
      <w:r>
        <w:rPr>
          <w:rFonts w:ascii="Arial" w:hAnsi="Arial"/>
          <w:b w:val="0"/>
          <w:i w:val="0"/>
          <w:color w:val="000000"/>
          <w:sz w:val="16"/>
        </w:rPr>
        <w:t>[R3] docs/{architecture,api-reference,data-model,flows,deployment}.md and docs/features/*.md.</w:t>
      </w:r>
    </w:p>
    <w:p>
      <w:pPr>
        <w:spacing w:before="0" w:after="24" w:line="250" w:lineRule="auto"/>
      </w:pPr>
      <w:r>
        <w:rPr>
          <w:rFonts w:ascii="Arial" w:hAnsi="Arial"/>
          <w:b w:val="0"/>
          <w:i w:val="0"/>
          <w:color w:val="000000"/>
          <w:sz w:val="16"/>
        </w:rPr>
        <w:t>[R4] Repository baseline: branch main, commit bfa1f05ec597dec32f9c0b4fe9bb544d129a7327, reviewed 09 August 2026.</w:t>
      </w:r>
    </w:p>
    <w:sectPr w:rsidR="00FC693F" w:rsidRPr="0006063C" w:rsidSect="00034616">
      <w:headerReference w:type="default" r:id="rId9"/>
      <w:footerReference w:type="default" r:id="rId10"/>
      <w:pgSz w:w="11906" w:h="16838"/>
      <w:pgMar w:top="922" w:right="936" w:bottom="864" w:left="936"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333333"/>
        <w:sz w:val="16"/>
      </w:rPr>
      <w:t xml:space="preserve">CDAC Mumbai  |  Version 1.0  |  </w:t>
    </w:r>
    <w:r>
      <w:rPr>
        <w:rFonts w:ascii="Arial" w:hAnsi="Arial"/>
        <w:b w:val="0"/>
        <w:i w:val="0"/>
        <w:color w:val="33333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777777"/>
        <w:sz w:val="15"/>
      </w:rPr>
      <w:t>CAREER COPILOT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50" w:line="250" w:lineRule="auto"/>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60" w:after="30"/>
      <w:outlineLvl w:val="2"/>
    </w:pPr>
    <w:rPr>
      <w:rFonts w:asciiTheme="majorHAnsi" w:eastAsiaTheme="majorEastAsia" w:hAnsiTheme="majorHAnsi" w:cstheme="majorBidi" w:ascii="Arial" w:hAnsi="Arial"/>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30" w:line="247" w:lineRule="auto"/>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30" w:line="247" w:lineRule="auto"/>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40" w:after="60"/>
    </w:pPr>
    <w:rPr>
      <w:rFonts w:ascii="Arial" w:hAnsi="Arial"/>
      <w:b/>
      <w:bCs/>
      <w:i/>
      <w:color w:val="33333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Copilot Software Requirements Specification</dc:title>
  <dc:subject>Compact IEEE-aligned SRS</dc:subject>
  <dc:creator>Daji Adelkar; Faizan Khan; Pratik Bamhane; Priyansu Pattnaik; Ronak Kudal</dc:creator>
  <cp:keywords>Career Copilot, SRS, CDAC Mumbai, IEEE</cp:keywords>
  <dc:description>generated by python-docx</dc:description>
  <cp:lastModifiedBy/>
  <cp:revision>1</cp:revision>
  <dcterms:created xsi:type="dcterms:W3CDTF">2013-12-23T23:15:00Z</dcterms:created>
  <dcterms:modified xsi:type="dcterms:W3CDTF">2013-12-23T23:15:00Z</dcterms:modified>
  <cp:category/>
</cp:coreProperties>
</file>