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7282" w:rsidRPr="003D7282" w:rsidRDefault="003D7282" w:rsidP="003D7282">
      <w:pPr>
        <w:rPr>
          <w:b/>
          <w:bCs/>
          <w:sz w:val="32"/>
          <w:szCs w:val="32"/>
        </w:rPr>
      </w:pPr>
      <w:r w:rsidRPr="003D7282">
        <w:rPr>
          <w:b/>
          <w:bCs/>
          <w:sz w:val="32"/>
          <w:szCs w:val="32"/>
        </w:rPr>
        <w:t xml:space="preserve">Report on ECDE Enrollment Trends in </w:t>
      </w:r>
      <w:proofErr w:type="spellStart"/>
      <w:r w:rsidRPr="003D7282">
        <w:rPr>
          <w:b/>
          <w:bCs/>
          <w:sz w:val="32"/>
          <w:szCs w:val="32"/>
        </w:rPr>
        <w:t>Kilome</w:t>
      </w:r>
      <w:proofErr w:type="spellEnd"/>
      <w:r w:rsidRPr="003D7282">
        <w:rPr>
          <w:b/>
          <w:bCs/>
          <w:sz w:val="32"/>
          <w:szCs w:val="32"/>
        </w:rPr>
        <w:t xml:space="preserve"> Sub-County (2018–2022)</w:t>
      </w:r>
    </w:p>
    <w:p w:rsidR="003D7282" w:rsidRPr="003D7282" w:rsidRDefault="003D7282" w:rsidP="003D7282">
      <w:pPr>
        <w:rPr>
          <w:b/>
          <w:bCs/>
          <w:sz w:val="28"/>
          <w:szCs w:val="28"/>
        </w:rPr>
      </w:pPr>
      <w:r w:rsidRPr="003D7282">
        <w:rPr>
          <w:b/>
          <w:bCs/>
          <w:sz w:val="28"/>
          <w:szCs w:val="28"/>
        </w:rPr>
        <w:t>Introduction</w:t>
      </w:r>
    </w:p>
    <w:p w:rsidR="003D7282" w:rsidRPr="003D7282" w:rsidRDefault="003D7282" w:rsidP="003D7282">
      <w:pPr>
        <w:rPr>
          <w:sz w:val="24"/>
          <w:szCs w:val="24"/>
        </w:rPr>
      </w:pPr>
      <w:r w:rsidRPr="003D7282">
        <w:rPr>
          <w:sz w:val="24"/>
          <w:szCs w:val="24"/>
        </w:rPr>
        <w:t xml:space="preserve">This report presents an analysis of Early Childhood Development Education (ECDE) enrollment trends in </w:t>
      </w:r>
      <w:proofErr w:type="spellStart"/>
      <w:r w:rsidRPr="003D7282">
        <w:rPr>
          <w:sz w:val="24"/>
          <w:szCs w:val="24"/>
        </w:rPr>
        <w:t>Kilome</w:t>
      </w:r>
      <w:proofErr w:type="spellEnd"/>
      <w:r w:rsidRPr="003D7282">
        <w:rPr>
          <w:sz w:val="24"/>
          <w:szCs w:val="24"/>
        </w:rPr>
        <w:t xml:space="preserve"> Sub-County, focusing on three wards: </w:t>
      </w:r>
      <w:proofErr w:type="spellStart"/>
      <w:r w:rsidRPr="003D7282">
        <w:rPr>
          <w:sz w:val="24"/>
          <w:szCs w:val="24"/>
        </w:rPr>
        <w:t>Kukaa</w:t>
      </w:r>
      <w:proofErr w:type="spellEnd"/>
      <w:r w:rsidRPr="003D7282">
        <w:rPr>
          <w:sz w:val="24"/>
          <w:szCs w:val="24"/>
        </w:rPr>
        <w:t>/</w:t>
      </w:r>
      <w:proofErr w:type="spellStart"/>
      <w:r w:rsidRPr="003D7282">
        <w:rPr>
          <w:sz w:val="24"/>
          <w:szCs w:val="24"/>
        </w:rPr>
        <w:t>Kitaingo</w:t>
      </w:r>
      <w:proofErr w:type="spellEnd"/>
      <w:r w:rsidRPr="003D7282">
        <w:rPr>
          <w:sz w:val="24"/>
          <w:szCs w:val="24"/>
        </w:rPr>
        <w:t xml:space="preserve">, </w:t>
      </w:r>
      <w:proofErr w:type="spellStart"/>
      <w:r w:rsidRPr="003D7282">
        <w:rPr>
          <w:sz w:val="24"/>
          <w:szCs w:val="24"/>
        </w:rPr>
        <w:t>Kiima</w:t>
      </w:r>
      <w:proofErr w:type="spellEnd"/>
      <w:r w:rsidRPr="003D7282">
        <w:rPr>
          <w:sz w:val="24"/>
          <w:szCs w:val="24"/>
        </w:rPr>
        <w:t xml:space="preserve"> </w:t>
      </w:r>
      <w:proofErr w:type="spellStart"/>
      <w:r w:rsidRPr="003D7282">
        <w:rPr>
          <w:sz w:val="24"/>
          <w:szCs w:val="24"/>
        </w:rPr>
        <w:t>Kiu</w:t>
      </w:r>
      <w:proofErr w:type="spellEnd"/>
      <w:r w:rsidRPr="003D7282">
        <w:rPr>
          <w:sz w:val="24"/>
          <w:szCs w:val="24"/>
        </w:rPr>
        <w:t>/</w:t>
      </w:r>
      <w:proofErr w:type="spellStart"/>
      <w:r w:rsidRPr="003D7282">
        <w:rPr>
          <w:sz w:val="24"/>
          <w:szCs w:val="24"/>
        </w:rPr>
        <w:t>Kalonzoni</w:t>
      </w:r>
      <w:proofErr w:type="spellEnd"/>
      <w:r w:rsidRPr="003D7282">
        <w:rPr>
          <w:sz w:val="24"/>
          <w:szCs w:val="24"/>
        </w:rPr>
        <w:t xml:space="preserve">, and </w:t>
      </w:r>
      <w:proofErr w:type="spellStart"/>
      <w:r w:rsidRPr="003D7282">
        <w:rPr>
          <w:sz w:val="24"/>
          <w:szCs w:val="24"/>
        </w:rPr>
        <w:t>Kasikeu</w:t>
      </w:r>
      <w:proofErr w:type="spellEnd"/>
      <w:r w:rsidRPr="003D7282">
        <w:rPr>
          <w:sz w:val="24"/>
          <w:szCs w:val="24"/>
        </w:rPr>
        <w:t>. The data covers both public and private ECDE enrollments across a five-year period (2018–2022). The purpose of this report is to examine total enrollments, identify trends, and explore the relationship between public and private enrollments in these wards.</w:t>
      </w:r>
    </w:p>
    <w:p w:rsidR="003D7282" w:rsidRPr="003D7282" w:rsidRDefault="003D7282" w:rsidP="003D7282">
      <w:pPr>
        <w:rPr>
          <w:color w:val="00B0F0"/>
          <w:sz w:val="28"/>
          <w:szCs w:val="28"/>
        </w:rPr>
      </w:pPr>
      <w:r w:rsidRPr="003D7282">
        <w:rPr>
          <w:color w:val="00B0F0"/>
          <w:sz w:val="28"/>
          <w:szCs w:val="28"/>
        </w:rPr>
        <w:t>Data Summary</w:t>
      </w:r>
    </w:p>
    <w:p w:rsidR="003D7282" w:rsidRPr="003D7282" w:rsidRDefault="003D7282" w:rsidP="003D7282">
      <w:pPr>
        <w:rPr>
          <w:sz w:val="24"/>
          <w:szCs w:val="24"/>
        </w:rPr>
      </w:pPr>
      <w:r w:rsidRPr="003D7282">
        <w:rPr>
          <w:sz w:val="24"/>
          <w:szCs w:val="24"/>
        </w:rPr>
        <w:t>The enrollment data was analyzed for both public and private ECDE centers, considering the following parameters:</w:t>
      </w:r>
    </w:p>
    <w:p w:rsidR="003D7282" w:rsidRPr="003D7282" w:rsidRDefault="003D7282" w:rsidP="003D7282">
      <w:pPr>
        <w:rPr>
          <w:sz w:val="24"/>
          <w:szCs w:val="24"/>
        </w:rPr>
      </w:pPr>
      <w:r w:rsidRPr="003D7282">
        <w:rPr>
          <w:sz w:val="24"/>
          <w:szCs w:val="24"/>
        </w:rPr>
        <w:t>Public enrollments from 2018 to 2022</w:t>
      </w:r>
    </w:p>
    <w:p w:rsidR="003D7282" w:rsidRPr="003D7282" w:rsidRDefault="003D7282" w:rsidP="003D7282">
      <w:pPr>
        <w:rPr>
          <w:sz w:val="24"/>
          <w:szCs w:val="24"/>
        </w:rPr>
      </w:pPr>
      <w:r w:rsidRPr="003D7282">
        <w:rPr>
          <w:sz w:val="24"/>
          <w:szCs w:val="24"/>
        </w:rPr>
        <w:t>Private enrollments from 2018 to 2022</w:t>
      </w:r>
    </w:p>
    <w:p w:rsidR="003D7282" w:rsidRPr="003D7282" w:rsidRDefault="003D7282" w:rsidP="003D7282">
      <w:pPr>
        <w:rPr>
          <w:sz w:val="24"/>
          <w:szCs w:val="24"/>
        </w:rPr>
      </w:pPr>
      <w:r w:rsidRPr="003D7282">
        <w:rPr>
          <w:sz w:val="24"/>
          <w:szCs w:val="24"/>
        </w:rPr>
        <w:t>Total enrollments, computed as the sum of public and private enrollments</w:t>
      </w:r>
    </w:p>
    <w:p w:rsidR="003D7282" w:rsidRPr="003D7282" w:rsidRDefault="003D7282" w:rsidP="003D7282">
      <w:pPr>
        <w:rPr>
          <w:sz w:val="24"/>
          <w:szCs w:val="24"/>
        </w:rPr>
      </w:pPr>
      <w:r w:rsidRPr="003D7282">
        <w:rPr>
          <w:sz w:val="24"/>
          <w:szCs w:val="24"/>
        </w:rPr>
        <w:t>The wards included in this study are:</w:t>
      </w:r>
    </w:p>
    <w:p w:rsidR="003D7282" w:rsidRPr="003D7282" w:rsidRDefault="003D7282" w:rsidP="003D7282">
      <w:pPr>
        <w:rPr>
          <w:sz w:val="24"/>
          <w:szCs w:val="24"/>
        </w:rPr>
      </w:pPr>
      <w:proofErr w:type="spellStart"/>
      <w:r w:rsidRPr="003D7282">
        <w:rPr>
          <w:sz w:val="24"/>
          <w:szCs w:val="24"/>
        </w:rPr>
        <w:t>Kukaa</w:t>
      </w:r>
      <w:proofErr w:type="spellEnd"/>
      <w:r w:rsidRPr="003D7282">
        <w:rPr>
          <w:sz w:val="24"/>
          <w:szCs w:val="24"/>
        </w:rPr>
        <w:t>/</w:t>
      </w:r>
      <w:proofErr w:type="spellStart"/>
      <w:r w:rsidRPr="003D7282">
        <w:rPr>
          <w:sz w:val="24"/>
          <w:szCs w:val="24"/>
        </w:rPr>
        <w:t>Kitaingo</w:t>
      </w:r>
      <w:proofErr w:type="spellEnd"/>
    </w:p>
    <w:p w:rsidR="003D7282" w:rsidRPr="003D7282" w:rsidRDefault="003D7282" w:rsidP="003D7282">
      <w:pPr>
        <w:rPr>
          <w:sz w:val="24"/>
          <w:szCs w:val="24"/>
        </w:rPr>
      </w:pPr>
      <w:proofErr w:type="spellStart"/>
      <w:r w:rsidRPr="003D7282">
        <w:rPr>
          <w:sz w:val="24"/>
          <w:szCs w:val="24"/>
        </w:rPr>
        <w:t>Kiima</w:t>
      </w:r>
      <w:proofErr w:type="spellEnd"/>
      <w:r w:rsidRPr="003D7282">
        <w:rPr>
          <w:sz w:val="24"/>
          <w:szCs w:val="24"/>
        </w:rPr>
        <w:t xml:space="preserve"> </w:t>
      </w:r>
      <w:proofErr w:type="spellStart"/>
      <w:r w:rsidRPr="003D7282">
        <w:rPr>
          <w:sz w:val="24"/>
          <w:szCs w:val="24"/>
        </w:rPr>
        <w:t>Kiu</w:t>
      </w:r>
      <w:proofErr w:type="spellEnd"/>
      <w:r w:rsidRPr="003D7282">
        <w:rPr>
          <w:sz w:val="24"/>
          <w:szCs w:val="24"/>
        </w:rPr>
        <w:t>/</w:t>
      </w:r>
      <w:proofErr w:type="spellStart"/>
      <w:r w:rsidRPr="003D7282">
        <w:rPr>
          <w:sz w:val="24"/>
          <w:szCs w:val="24"/>
        </w:rPr>
        <w:t>Kalonzoni</w:t>
      </w:r>
      <w:proofErr w:type="spellEnd"/>
    </w:p>
    <w:p w:rsidR="003D7282" w:rsidRPr="003D7282" w:rsidRDefault="003D7282" w:rsidP="003D7282">
      <w:pPr>
        <w:rPr>
          <w:sz w:val="24"/>
          <w:szCs w:val="24"/>
        </w:rPr>
      </w:pPr>
      <w:proofErr w:type="spellStart"/>
      <w:r w:rsidRPr="003D7282">
        <w:rPr>
          <w:sz w:val="24"/>
          <w:szCs w:val="24"/>
        </w:rPr>
        <w:t>Kasikeu</w:t>
      </w:r>
      <w:proofErr w:type="spellEnd"/>
    </w:p>
    <w:p w:rsidR="003D7282" w:rsidRPr="003D7282" w:rsidRDefault="003D7282" w:rsidP="003D7282">
      <w:pPr>
        <w:rPr>
          <w:color w:val="00B0F0"/>
          <w:sz w:val="28"/>
          <w:szCs w:val="28"/>
        </w:rPr>
      </w:pPr>
      <w:r w:rsidRPr="003D7282">
        <w:rPr>
          <w:color w:val="00B0F0"/>
          <w:sz w:val="28"/>
          <w:szCs w:val="28"/>
        </w:rPr>
        <w:t>Total Enrollment Trends (2018–2022)</w:t>
      </w:r>
    </w:p>
    <w:p w:rsidR="003D7282" w:rsidRPr="003D7282" w:rsidRDefault="003D7282" w:rsidP="003D7282">
      <w:pPr>
        <w:rPr>
          <w:sz w:val="24"/>
          <w:szCs w:val="24"/>
        </w:rPr>
      </w:pPr>
      <w:r w:rsidRPr="003D7282">
        <w:rPr>
          <w:sz w:val="24"/>
          <w:szCs w:val="24"/>
        </w:rPr>
        <w:t>The analysis reveals significant variations in public and private enrollments across the wards for the years 2018 to 2022: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2614"/>
        <w:gridCol w:w="2674"/>
        <w:gridCol w:w="2251"/>
      </w:tblGrid>
      <w:tr w:rsidR="003D7282" w:rsidRPr="003D7282" w:rsidTr="003D7282">
        <w:trPr>
          <w:tblHeader/>
          <w:tblCellSpacing w:w="15" w:type="dxa"/>
        </w:trPr>
        <w:tc>
          <w:tcPr>
            <w:tcW w:w="0" w:type="auto"/>
            <w:vAlign w:val="center"/>
            <w:hideMark/>
          </w:tcPr>
          <w:p w:rsidR="003D7282" w:rsidRPr="003D7282" w:rsidRDefault="003D7282" w:rsidP="003D7282">
            <w:pPr>
              <w:rPr>
                <w:b/>
                <w:bCs/>
                <w:sz w:val="24"/>
                <w:szCs w:val="24"/>
              </w:rPr>
            </w:pPr>
            <w:r w:rsidRPr="003D7282">
              <w:rPr>
                <w:b/>
                <w:bCs/>
                <w:sz w:val="24"/>
                <w:szCs w:val="24"/>
              </w:rPr>
              <w:t>Ward</w:t>
            </w:r>
          </w:p>
        </w:tc>
        <w:tc>
          <w:tcPr>
            <w:tcW w:w="0" w:type="auto"/>
            <w:vAlign w:val="center"/>
            <w:hideMark/>
          </w:tcPr>
          <w:p w:rsidR="003D7282" w:rsidRPr="003D7282" w:rsidRDefault="003D7282" w:rsidP="003D7282">
            <w:pPr>
              <w:rPr>
                <w:b/>
                <w:bCs/>
                <w:sz w:val="24"/>
                <w:szCs w:val="24"/>
              </w:rPr>
            </w:pPr>
            <w:r w:rsidRPr="003D7282">
              <w:rPr>
                <w:b/>
                <w:bCs/>
                <w:sz w:val="24"/>
                <w:szCs w:val="24"/>
              </w:rPr>
              <w:t>Total Public Enrollment (2018–2022)</w:t>
            </w:r>
          </w:p>
        </w:tc>
        <w:tc>
          <w:tcPr>
            <w:tcW w:w="0" w:type="auto"/>
            <w:vAlign w:val="center"/>
            <w:hideMark/>
          </w:tcPr>
          <w:p w:rsidR="003D7282" w:rsidRPr="003D7282" w:rsidRDefault="003D7282" w:rsidP="003D7282">
            <w:pPr>
              <w:rPr>
                <w:b/>
                <w:bCs/>
                <w:sz w:val="24"/>
                <w:szCs w:val="24"/>
              </w:rPr>
            </w:pPr>
            <w:r w:rsidRPr="003D7282">
              <w:rPr>
                <w:b/>
                <w:bCs/>
                <w:sz w:val="24"/>
                <w:szCs w:val="24"/>
              </w:rPr>
              <w:t>Total Private Enrollment (2018–2022)</w:t>
            </w:r>
          </w:p>
        </w:tc>
        <w:tc>
          <w:tcPr>
            <w:tcW w:w="0" w:type="auto"/>
            <w:vAlign w:val="center"/>
            <w:hideMark/>
          </w:tcPr>
          <w:p w:rsidR="003D7282" w:rsidRPr="003D7282" w:rsidRDefault="003D7282" w:rsidP="003D7282">
            <w:pPr>
              <w:rPr>
                <w:b/>
                <w:bCs/>
                <w:sz w:val="24"/>
                <w:szCs w:val="24"/>
              </w:rPr>
            </w:pPr>
            <w:r w:rsidRPr="003D7282">
              <w:rPr>
                <w:b/>
                <w:bCs/>
                <w:sz w:val="24"/>
                <w:szCs w:val="24"/>
              </w:rPr>
              <w:t>Total Enrollment (2018–2022)</w:t>
            </w:r>
          </w:p>
        </w:tc>
      </w:tr>
      <w:tr w:rsidR="003D7282" w:rsidRPr="003D7282" w:rsidTr="003D7282">
        <w:trPr>
          <w:tblCellSpacing w:w="15" w:type="dxa"/>
        </w:trPr>
        <w:tc>
          <w:tcPr>
            <w:tcW w:w="0" w:type="auto"/>
            <w:vAlign w:val="center"/>
            <w:hideMark/>
          </w:tcPr>
          <w:p w:rsidR="003D7282" w:rsidRPr="003D7282" w:rsidRDefault="003D7282" w:rsidP="003D7282">
            <w:pPr>
              <w:rPr>
                <w:sz w:val="24"/>
                <w:szCs w:val="24"/>
              </w:rPr>
            </w:pPr>
            <w:proofErr w:type="spellStart"/>
            <w:r w:rsidRPr="003D7282">
              <w:rPr>
                <w:sz w:val="24"/>
                <w:szCs w:val="24"/>
              </w:rPr>
              <w:t>Kukaa</w:t>
            </w:r>
            <w:proofErr w:type="spellEnd"/>
            <w:r w:rsidRPr="003D7282">
              <w:rPr>
                <w:sz w:val="24"/>
                <w:szCs w:val="24"/>
              </w:rPr>
              <w:t>/</w:t>
            </w:r>
            <w:proofErr w:type="spellStart"/>
            <w:r w:rsidRPr="003D7282">
              <w:rPr>
                <w:sz w:val="24"/>
                <w:szCs w:val="24"/>
              </w:rPr>
              <w:t>Kitaingo</w:t>
            </w:r>
            <w:proofErr w:type="spellEnd"/>
          </w:p>
        </w:tc>
        <w:tc>
          <w:tcPr>
            <w:tcW w:w="0" w:type="auto"/>
            <w:vAlign w:val="center"/>
            <w:hideMark/>
          </w:tcPr>
          <w:p w:rsidR="003D7282" w:rsidRPr="003D7282" w:rsidRDefault="003D7282" w:rsidP="003D7282">
            <w:pPr>
              <w:rPr>
                <w:sz w:val="24"/>
                <w:szCs w:val="24"/>
              </w:rPr>
            </w:pPr>
            <w:r w:rsidRPr="003D7282">
              <w:rPr>
                <w:sz w:val="24"/>
                <w:szCs w:val="24"/>
              </w:rPr>
              <w:t>6,257</w:t>
            </w:r>
          </w:p>
        </w:tc>
        <w:tc>
          <w:tcPr>
            <w:tcW w:w="0" w:type="auto"/>
            <w:vAlign w:val="center"/>
            <w:hideMark/>
          </w:tcPr>
          <w:p w:rsidR="003D7282" w:rsidRPr="003D7282" w:rsidRDefault="003D7282" w:rsidP="003D7282">
            <w:pPr>
              <w:rPr>
                <w:sz w:val="24"/>
                <w:szCs w:val="24"/>
              </w:rPr>
            </w:pPr>
            <w:r w:rsidRPr="003D7282">
              <w:rPr>
                <w:sz w:val="24"/>
                <w:szCs w:val="24"/>
              </w:rPr>
              <w:t>279</w:t>
            </w:r>
          </w:p>
        </w:tc>
        <w:tc>
          <w:tcPr>
            <w:tcW w:w="0" w:type="auto"/>
            <w:vAlign w:val="center"/>
            <w:hideMark/>
          </w:tcPr>
          <w:p w:rsidR="003D7282" w:rsidRPr="003D7282" w:rsidRDefault="003D7282" w:rsidP="003D7282">
            <w:pPr>
              <w:rPr>
                <w:sz w:val="24"/>
                <w:szCs w:val="24"/>
              </w:rPr>
            </w:pPr>
            <w:r w:rsidRPr="003D7282">
              <w:rPr>
                <w:sz w:val="24"/>
                <w:szCs w:val="24"/>
              </w:rPr>
              <w:t>6,536</w:t>
            </w:r>
          </w:p>
        </w:tc>
      </w:tr>
      <w:tr w:rsidR="003D7282" w:rsidRPr="003D7282" w:rsidTr="003D7282">
        <w:trPr>
          <w:tblCellSpacing w:w="15" w:type="dxa"/>
        </w:trPr>
        <w:tc>
          <w:tcPr>
            <w:tcW w:w="0" w:type="auto"/>
            <w:vAlign w:val="center"/>
            <w:hideMark/>
          </w:tcPr>
          <w:p w:rsidR="003D7282" w:rsidRPr="003D7282" w:rsidRDefault="003D7282" w:rsidP="003D7282">
            <w:pPr>
              <w:rPr>
                <w:sz w:val="24"/>
                <w:szCs w:val="24"/>
              </w:rPr>
            </w:pPr>
            <w:proofErr w:type="spellStart"/>
            <w:r w:rsidRPr="003D7282">
              <w:rPr>
                <w:sz w:val="24"/>
                <w:szCs w:val="24"/>
              </w:rPr>
              <w:t>Kiima</w:t>
            </w:r>
            <w:proofErr w:type="spellEnd"/>
            <w:r w:rsidRPr="003D7282">
              <w:rPr>
                <w:sz w:val="24"/>
                <w:szCs w:val="24"/>
              </w:rPr>
              <w:t xml:space="preserve"> </w:t>
            </w:r>
            <w:proofErr w:type="spellStart"/>
            <w:r w:rsidRPr="003D7282">
              <w:rPr>
                <w:sz w:val="24"/>
                <w:szCs w:val="24"/>
              </w:rPr>
              <w:t>Kiu</w:t>
            </w:r>
            <w:proofErr w:type="spellEnd"/>
            <w:r w:rsidRPr="003D7282">
              <w:rPr>
                <w:sz w:val="24"/>
                <w:szCs w:val="24"/>
              </w:rPr>
              <w:t>/</w:t>
            </w:r>
            <w:proofErr w:type="spellStart"/>
            <w:r w:rsidRPr="003D7282">
              <w:rPr>
                <w:sz w:val="24"/>
                <w:szCs w:val="24"/>
              </w:rPr>
              <w:t>Kalonzoni</w:t>
            </w:r>
            <w:proofErr w:type="spellEnd"/>
          </w:p>
        </w:tc>
        <w:tc>
          <w:tcPr>
            <w:tcW w:w="0" w:type="auto"/>
            <w:vAlign w:val="center"/>
            <w:hideMark/>
          </w:tcPr>
          <w:p w:rsidR="003D7282" w:rsidRPr="003D7282" w:rsidRDefault="003D7282" w:rsidP="003D7282">
            <w:pPr>
              <w:rPr>
                <w:sz w:val="24"/>
                <w:szCs w:val="24"/>
              </w:rPr>
            </w:pPr>
            <w:r w:rsidRPr="003D7282">
              <w:rPr>
                <w:sz w:val="24"/>
                <w:szCs w:val="24"/>
              </w:rPr>
              <w:t>9,156</w:t>
            </w:r>
          </w:p>
        </w:tc>
        <w:tc>
          <w:tcPr>
            <w:tcW w:w="0" w:type="auto"/>
            <w:vAlign w:val="center"/>
            <w:hideMark/>
          </w:tcPr>
          <w:p w:rsidR="003D7282" w:rsidRPr="003D7282" w:rsidRDefault="003D7282" w:rsidP="003D7282">
            <w:pPr>
              <w:rPr>
                <w:sz w:val="24"/>
                <w:szCs w:val="24"/>
              </w:rPr>
            </w:pPr>
            <w:r w:rsidRPr="003D7282">
              <w:rPr>
                <w:sz w:val="24"/>
                <w:szCs w:val="24"/>
              </w:rPr>
              <w:t>1,974</w:t>
            </w:r>
          </w:p>
        </w:tc>
        <w:tc>
          <w:tcPr>
            <w:tcW w:w="0" w:type="auto"/>
            <w:vAlign w:val="center"/>
            <w:hideMark/>
          </w:tcPr>
          <w:p w:rsidR="003D7282" w:rsidRPr="003D7282" w:rsidRDefault="003D7282" w:rsidP="003D7282">
            <w:pPr>
              <w:rPr>
                <w:sz w:val="24"/>
                <w:szCs w:val="24"/>
              </w:rPr>
            </w:pPr>
            <w:r w:rsidRPr="003D7282">
              <w:rPr>
                <w:sz w:val="24"/>
                <w:szCs w:val="24"/>
              </w:rPr>
              <w:t>11,130</w:t>
            </w:r>
          </w:p>
        </w:tc>
      </w:tr>
      <w:tr w:rsidR="003D7282" w:rsidRPr="003D7282" w:rsidTr="003D7282">
        <w:trPr>
          <w:tblCellSpacing w:w="15" w:type="dxa"/>
        </w:trPr>
        <w:tc>
          <w:tcPr>
            <w:tcW w:w="0" w:type="auto"/>
            <w:vAlign w:val="center"/>
            <w:hideMark/>
          </w:tcPr>
          <w:p w:rsidR="003D7282" w:rsidRPr="003D7282" w:rsidRDefault="003D7282" w:rsidP="003D7282">
            <w:pPr>
              <w:rPr>
                <w:sz w:val="24"/>
                <w:szCs w:val="24"/>
              </w:rPr>
            </w:pPr>
            <w:proofErr w:type="spellStart"/>
            <w:r w:rsidRPr="003D7282">
              <w:rPr>
                <w:sz w:val="24"/>
                <w:szCs w:val="24"/>
              </w:rPr>
              <w:t>Kasikeu</w:t>
            </w:r>
            <w:proofErr w:type="spellEnd"/>
          </w:p>
        </w:tc>
        <w:tc>
          <w:tcPr>
            <w:tcW w:w="0" w:type="auto"/>
            <w:vAlign w:val="center"/>
            <w:hideMark/>
          </w:tcPr>
          <w:p w:rsidR="003D7282" w:rsidRPr="003D7282" w:rsidRDefault="003D7282" w:rsidP="003D7282">
            <w:pPr>
              <w:rPr>
                <w:sz w:val="24"/>
                <w:szCs w:val="24"/>
              </w:rPr>
            </w:pPr>
            <w:r w:rsidRPr="003D7282">
              <w:rPr>
                <w:sz w:val="24"/>
                <w:szCs w:val="24"/>
              </w:rPr>
              <w:t>8,748</w:t>
            </w:r>
          </w:p>
        </w:tc>
        <w:tc>
          <w:tcPr>
            <w:tcW w:w="0" w:type="auto"/>
            <w:vAlign w:val="center"/>
            <w:hideMark/>
          </w:tcPr>
          <w:p w:rsidR="003D7282" w:rsidRPr="003D7282" w:rsidRDefault="003D7282" w:rsidP="003D7282">
            <w:pPr>
              <w:rPr>
                <w:sz w:val="24"/>
                <w:szCs w:val="24"/>
              </w:rPr>
            </w:pPr>
            <w:r w:rsidRPr="003D7282">
              <w:rPr>
                <w:sz w:val="24"/>
                <w:szCs w:val="24"/>
              </w:rPr>
              <w:t>2,282</w:t>
            </w:r>
          </w:p>
        </w:tc>
        <w:tc>
          <w:tcPr>
            <w:tcW w:w="0" w:type="auto"/>
            <w:vAlign w:val="center"/>
            <w:hideMark/>
          </w:tcPr>
          <w:p w:rsidR="003D7282" w:rsidRPr="003D7282" w:rsidRDefault="003D7282" w:rsidP="003D7282">
            <w:pPr>
              <w:rPr>
                <w:sz w:val="24"/>
                <w:szCs w:val="24"/>
              </w:rPr>
            </w:pPr>
            <w:r w:rsidRPr="003D7282">
              <w:rPr>
                <w:sz w:val="24"/>
                <w:szCs w:val="24"/>
              </w:rPr>
              <w:t>11,030</w:t>
            </w:r>
          </w:p>
        </w:tc>
      </w:tr>
    </w:tbl>
    <w:p w:rsidR="003D7282" w:rsidRPr="003D7282" w:rsidRDefault="003D7282" w:rsidP="003D7282">
      <w:pPr>
        <w:rPr>
          <w:sz w:val="24"/>
          <w:szCs w:val="24"/>
        </w:rPr>
      </w:pPr>
      <w:proofErr w:type="spellStart"/>
      <w:r w:rsidRPr="003D7282">
        <w:rPr>
          <w:sz w:val="24"/>
          <w:szCs w:val="24"/>
        </w:rPr>
        <w:t>Kiima</w:t>
      </w:r>
      <w:proofErr w:type="spellEnd"/>
      <w:r w:rsidRPr="003D7282">
        <w:rPr>
          <w:sz w:val="24"/>
          <w:szCs w:val="24"/>
        </w:rPr>
        <w:t xml:space="preserve"> </w:t>
      </w:r>
      <w:proofErr w:type="spellStart"/>
      <w:r w:rsidRPr="003D7282">
        <w:rPr>
          <w:sz w:val="24"/>
          <w:szCs w:val="24"/>
        </w:rPr>
        <w:t>Kiu</w:t>
      </w:r>
      <w:proofErr w:type="spellEnd"/>
      <w:r w:rsidRPr="003D7282">
        <w:rPr>
          <w:sz w:val="24"/>
          <w:szCs w:val="24"/>
        </w:rPr>
        <w:t>/</w:t>
      </w:r>
      <w:proofErr w:type="spellStart"/>
      <w:r w:rsidRPr="003D7282">
        <w:rPr>
          <w:sz w:val="24"/>
          <w:szCs w:val="24"/>
        </w:rPr>
        <w:t>Kalonzoni</w:t>
      </w:r>
      <w:proofErr w:type="spellEnd"/>
      <w:r w:rsidRPr="003D7282">
        <w:rPr>
          <w:sz w:val="24"/>
          <w:szCs w:val="24"/>
        </w:rPr>
        <w:t xml:space="preserve"> recorded the highest total public enrollments (9,156) and the second-highest private enrollments (1,974) over the five-year period.</w:t>
      </w:r>
    </w:p>
    <w:p w:rsidR="003D7282" w:rsidRPr="003D7282" w:rsidRDefault="003D7282" w:rsidP="003D7282">
      <w:pPr>
        <w:rPr>
          <w:sz w:val="24"/>
          <w:szCs w:val="24"/>
        </w:rPr>
      </w:pPr>
      <w:proofErr w:type="spellStart"/>
      <w:r w:rsidRPr="003D7282">
        <w:rPr>
          <w:sz w:val="24"/>
          <w:szCs w:val="24"/>
        </w:rPr>
        <w:t>Kasikeu</w:t>
      </w:r>
      <w:proofErr w:type="spellEnd"/>
      <w:r w:rsidRPr="003D7282">
        <w:rPr>
          <w:sz w:val="24"/>
          <w:szCs w:val="24"/>
        </w:rPr>
        <w:t xml:space="preserve"> had the highest private enrollments, with a total of 2,282 students across all five years.</w:t>
      </w:r>
    </w:p>
    <w:p w:rsidR="003D7282" w:rsidRPr="003D7282" w:rsidRDefault="003D7282" w:rsidP="003D7282">
      <w:pPr>
        <w:rPr>
          <w:sz w:val="24"/>
          <w:szCs w:val="24"/>
        </w:rPr>
      </w:pPr>
      <w:proofErr w:type="spellStart"/>
      <w:r w:rsidRPr="003D7282">
        <w:rPr>
          <w:sz w:val="24"/>
          <w:szCs w:val="24"/>
        </w:rPr>
        <w:lastRenderedPageBreak/>
        <w:t>Kukaa</w:t>
      </w:r>
      <w:proofErr w:type="spellEnd"/>
      <w:r w:rsidRPr="003D7282">
        <w:rPr>
          <w:sz w:val="24"/>
          <w:szCs w:val="24"/>
        </w:rPr>
        <w:t>/</w:t>
      </w:r>
      <w:proofErr w:type="spellStart"/>
      <w:r w:rsidRPr="003D7282">
        <w:rPr>
          <w:sz w:val="24"/>
          <w:szCs w:val="24"/>
        </w:rPr>
        <w:t>Kitaingo</w:t>
      </w:r>
      <w:proofErr w:type="spellEnd"/>
      <w:r w:rsidRPr="003D7282">
        <w:rPr>
          <w:sz w:val="24"/>
          <w:szCs w:val="24"/>
        </w:rPr>
        <w:t xml:space="preserve"> had the lowest private enrollments (279) compared to the other wards.</w:t>
      </w:r>
    </w:p>
    <w:p w:rsidR="003D7282" w:rsidRPr="003D7282" w:rsidRDefault="003D7282" w:rsidP="003D7282">
      <w:pPr>
        <w:rPr>
          <w:color w:val="00B0F0"/>
          <w:sz w:val="28"/>
          <w:szCs w:val="28"/>
        </w:rPr>
      </w:pPr>
      <w:r w:rsidRPr="003D7282">
        <w:rPr>
          <w:color w:val="00B0F0"/>
          <w:sz w:val="28"/>
          <w:szCs w:val="28"/>
        </w:rPr>
        <w:t>Proportions of Public vs. Private Enrollment</w:t>
      </w:r>
    </w:p>
    <w:p w:rsidR="003D7282" w:rsidRPr="003D7282" w:rsidRDefault="003D7282" w:rsidP="003D7282">
      <w:pPr>
        <w:rPr>
          <w:sz w:val="24"/>
          <w:szCs w:val="24"/>
        </w:rPr>
      </w:pPr>
      <w:r w:rsidRPr="003D7282">
        <w:rPr>
          <w:sz w:val="24"/>
          <w:szCs w:val="24"/>
        </w:rPr>
        <w:t>Overall, public enrollments outnumber private enrollments across all wards. The proportions of public vs. private enrollment for all wards from 2018 to 2022 are as follows:</w:t>
      </w:r>
    </w:p>
    <w:p w:rsidR="003D7282" w:rsidRPr="003D7282" w:rsidRDefault="003D7282" w:rsidP="003D7282">
      <w:pPr>
        <w:rPr>
          <w:sz w:val="24"/>
          <w:szCs w:val="24"/>
        </w:rPr>
      </w:pPr>
      <w:r w:rsidRPr="003D7282">
        <w:rPr>
          <w:sz w:val="24"/>
          <w:szCs w:val="24"/>
        </w:rPr>
        <w:t>Public Enrollment: 82.03%</w:t>
      </w:r>
    </w:p>
    <w:p w:rsidR="003D7282" w:rsidRPr="003D7282" w:rsidRDefault="003D7282" w:rsidP="003D7282">
      <w:pPr>
        <w:rPr>
          <w:sz w:val="24"/>
          <w:szCs w:val="24"/>
        </w:rPr>
      </w:pPr>
      <w:r w:rsidRPr="003D7282">
        <w:rPr>
          <w:sz w:val="24"/>
          <w:szCs w:val="24"/>
        </w:rPr>
        <w:t>Private Enrollment: 17.97%</w:t>
      </w:r>
    </w:p>
    <w:p w:rsidR="003D7282" w:rsidRPr="003D7282" w:rsidRDefault="003D7282" w:rsidP="003D7282">
      <w:pPr>
        <w:rPr>
          <w:sz w:val="24"/>
          <w:szCs w:val="24"/>
        </w:rPr>
      </w:pPr>
      <w:r w:rsidRPr="003D7282">
        <w:rPr>
          <w:sz w:val="24"/>
          <w:szCs w:val="24"/>
        </w:rPr>
        <w:t xml:space="preserve">These figures emphasize the dominance of public ECDE centers in </w:t>
      </w:r>
      <w:proofErr w:type="spellStart"/>
      <w:r w:rsidRPr="003D7282">
        <w:rPr>
          <w:sz w:val="24"/>
          <w:szCs w:val="24"/>
        </w:rPr>
        <w:t>Kilome</w:t>
      </w:r>
      <w:proofErr w:type="spellEnd"/>
      <w:r w:rsidRPr="003D7282">
        <w:rPr>
          <w:sz w:val="24"/>
          <w:szCs w:val="24"/>
        </w:rPr>
        <w:t xml:space="preserve"> Sub-county, with private enrollments contributing a smaller share of the total.</w:t>
      </w:r>
    </w:p>
    <w:p w:rsidR="003D7282" w:rsidRPr="003D7282" w:rsidRDefault="003D7282" w:rsidP="003D7282">
      <w:pPr>
        <w:rPr>
          <w:color w:val="00B0F0"/>
          <w:sz w:val="28"/>
          <w:szCs w:val="28"/>
        </w:rPr>
      </w:pPr>
      <w:r w:rsidRPr="003D7282">
        <w:rPr>
          <w:color w:val="00B0F0"/>
          <w:sz w:val="28"/>
          <w:szCs w:val="28"/>
        </w:rPr>
        <w:t>Visual Representation</w:t>
      </w:r>
    </w:p>
    <w:p w:rsidR="003D7282" w:rsidRPr="003D7282" w:rsidRDefault="003D7282" w:rsidP="003D7282">
      <w:pPr>
        <w:rPr>
          <w:b/>
          <w:bCs/>
          <w:sz w:val="28"/>
          <w:szCs w:val="28"/>
        </w:rPr>
      </w:pPr>
      <w:r w:rsidRPr="003D7282">
        <w:rPr>
          <w:b/>
          <w:bCs/>
          <w:sz w:val="28"/>
          <w:szCs w:val="28"/>
        </w:rPr>
        <w:t>Bar Plot: Public vs Private Enrollment by Ward (2018–2022)</w:t>
      </w:r>
    </w:p>
    <w:p w:rsidR="003D7282" w:rsidRDefault="003D7282" w:rsidP="003D7282">
      <w:pPr>
        <w:rPr>
          <w:sz w:val="24"/>
          <w:szCs w:val="24"/>
        </w:rPr>
      </w:pPr>
      <w:r w:rsidRPr="003D7282">
        <w:rPr>
          <w:sz w:val="24"/>
          <w:szCs w:val="24"/>
        </w:rPr>
        <w:t xml:space="preserve">The bar plot visually represents the distribution of public and private enrollments across the three wards. Public enrollments far surpass private enrollments, especially in </w:t>
      </w:r>
      <w:proofErr w:type="spellStart"/>
      <w:r w:rsidRPr="003D7282">
        <w:rPr>
          <w:sz w:val="24"/>
          <w:szCs w:val="24"/>
        </w:rPr>
        <w:t>Kukaa</w:t>
      </w:r>
      <w:proofErr w:type="spellEnd"/>
      <w:r w:rsidRPr="003D7282">
        <w:rPr>
          <w:sz w:val="24"/>
          <w:szCs w:val="24"/>
        </w:rPr>
        <w:t>/</w:t>
      </w:r>
      <w:proofErr w:type="spellStart"/>
      <w:r w:rsidRPr="003D7282">
        <w:rPr>
          <w:sz w:val="24"/>
          <w:szCs w:val="24"/>
        </w:rPr>
        <w:t>Kitaingo</w:t>
      </w:r>
      <w:proofErr w:type="spellEnd"/>
      <w:r w:rsidRPr="003D7282">
        <w:rPr>
          <w:sz w:val="24"/>
          <w:szCs w:val="24"/>
        </w:rPr>
        <w:t>, where private enrollment is notably low.</w:t>
      </w:r>
    </w:p>
    <w:p w:rsidR="003D7282" w:rsidRPr="003D7282" w:rsidRDefault="003D7282" w:rsidP="003D7282">
      <w:pPr>
        <w:rPr>
          <w:sz w:val="24"/>
          <w:szCs w:val="24"/>
        </w:rPr>
      </w:pPr>
      <w:r w:rsidRPr="003D7282">
        <w:rPr>
          <w:noProof/>
          <w:sz w:val="24"/>
          <w:szCs w:val="24"/>
        </w:rPr>
        <w:lastRenderedPageBreak/>
        <w:drawing>
          <wp:inline distT="0" distB="0" distL="0" distR="0">
            <wp:extent cx="4732020" cy="472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3D7282" w:rsidRPr="003D7282" w:rsidRDefault="003D7282" w:rsidP="003D7282">
      <w:pPr>
        <w:rPr>
          <w:b/>
          <w:bCs/>
          <w:sz w:val="28"/>
          <w:szCs w:val="28"/>
        </w:rPr>
      </w:pPr>
      <w:r w:rsidRPr="003D7282">
        <w:rPr>
          <w:b/>
          <w:bCs/>
          <w:sz w:val="28"/>
          <w:szCs w:val="28"/>
        </w:rPr>
        <w:t>Pie Charts: Public vs Private Enrollment per Ward (2018–2022)</w:t>
      </w:r>
    </w:p>
    <w:p w:rsidR="003D7282" w:rsidRPr="003D7282" w:rsidRDefault="003D7282" w:rsidP="003D7282">
      <w:pPr>
        <w:rPr>
          <w:sz w:val="24"/>
          <w:szCs w:val="24"/>
        </w:rPr>
      </w:pPr>
      <w:proofErr w:type="spellStart"/>
      <w:r w:rsidRPr="003D7282">
        <w:rPr>
          <w:sz w:val="24"/>
          <w:szCs w:val="24"/>
        </w:rPr>
        <w:t>Kukaa</w:t>
      </w:r>
      <w:proofErr w:type="spellEnd"/>
      <w:r w:rsidRPr="003D7282">
        <w:rPr>
          <w:sz w:val="24"/>
          <w:szCs w:val="24"/>
        </w:rPr>
        <w:t>/</w:t>
      </w:r>
      <w:proofErr w:type="spellStart"/>
      <w:r w:rsidRPr="003D7282">
        <w:rPr>
          <w:sz w:val="24"/>
          <w:szCs w:val="24"/>
        </w:rPr>
        <w:t>Kitaingo</w:t>
      </w:r>
      <w:proofErr w:type="spellEnd"/>
      <w:r w:rsidRPr="003D7282">
        <w:rPr>
          <w:sz w:val="24"/>
          <w:szCs w:val="24"/>
        </w:rPr>
        <w:t>: Public enrollment constitutes 95.73%, while private enrollment stands at 4.27%.</w:t>
      </w:r>
    </w:p>
    <w:p w:rsidR="003D7282" w:rsidRPr="003D7282" w:rsidRDefault="003D7282" w:rsidP="003D7282">
      <w:pPr>
        <w:rPr>
          <w:sz w:val="24"/>
          <w:szCs w:val="24"/>
        </w:rPr>
      </w:pPr>
      <w:proofErr w:type="spellStart"/>
      <w:r w:rsidRPr="003D7282">
        <w:rPr>
          <w:sz w:val="24"/>
          <w:szCs w:val="24"/>
        </w:rPr>
        <w:t>Kiima</w:t>
      </w:r>
      <w:proofErr w:type="spellEnd"/>
      <w:r w:rsidRPr="003D7282">
        <w:rPr>
          <w:sz w:val="24"/>
          <w:szCs w:val="24"/>
        </w:rPr>
        <w:t xml:space="preserve"> </w:t>
      </w:r>
      <w:proofErr w:type="spellStart"/>
      <w:r w:rsidRPr="003D7282">
        <w:rPr>
          <w:sz w:val="24"/>
          <w:szCs w:val="24"/>
        </w:rPr>
        <w:t>Kiu</w:t>
      </w:r>
      <w:proofErr w:type="spellEnd"/>
      <w:r w:rsidRPr="003D7282">
        <w:rPr>
          <w:sz w:val="24"/>
          <w:szCs w:val="24"/>
        </w:rPr>
        <w:t>/</w:t>
      </w:r>
      <w:proofErr w:type="spellStart"/>
      <w:r w:rsidRPr="003D7282">
        <w:rPr>
          <w:sz w:val="24"/>
          <w:szCs w:val="24"/>
        </w:rPr>
        <w:t>Kalonzoni</w:t>
      </w:r>
      <w:proofErr w:type="spellEnd"/>
      <w:r w:rsidRPr="003D7282">
        <w:rPr>
          <w:sz w:val="24"/>
          <w:szCs w:val="24"/>
        </w:rPr>
        <w:t>: Public enrollment constitutes 82.26%, while private enrollment stands at 17.74%.</w:t>
      </w:r>
    </w:p>
    <w:p w:rsidR="003D7282" w:rsidRDefault="003D7282" w:rsidP="003D7282">
      <w:pPr>
        <w:rPr>
          <w:sz w:val="24"/>
          <w:szCs w:val="24"/>
        </w:rPr>
      </w:pPr>
      <w:proofErr w:type="spellStart"/>
      <w:r w:rsidRPr="003D7282">
        <w:rPr>
          <w:sz w:val="24"/>
          <w:szCs w:val="24"/>
        </w:rPr>
        <w:t>Kasikeu</w:t>
      </w:r>
      <w:proofErr w:type="spellEnd"/>
      <w:r w:rsidRPr="003D7282">
        <w:rPr>
          <w:sz w:val="24"/>
          <w:szCs w:val="24"/>
        </w:rPr>
        <w:t>: Public enrollment constitutes 79.31%, while private enrollment stands at 20.69%.</w:t>
      </w:r>
    </w:p>
    <w:p w:rsidR="003D7282" w:rsidRPr="003D7282" w:rsidRDefault="003D7282" w:rsidP="003D7282">
      <w:pPr>
        <w:rPr>
          <w:sz w:val="24"/>
          <w:szCs w:val="24"/>
        </w:rPr>
      </w:pPr>
      <w:r w:rsidRPr="003D7282">
        <w:rPr>
          <w:noProof/>
          <w:sz w:val="24"/>
          <w:szCs w:val="24"/>
        </w:rPr>
        <w:lastRenderedPageBreak/>
        <w:drawing>
          <wp:inline distT="0" distB="0" distL="0" distR="0">
            <wp:extent cx="4732020" cy="472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3D7282" w:rsidRDefault="003D7282" w:rsidP="003D7282">
      <w:pPr>
        <w:rPr>
          <w:sz w:val="24"/>
          <w:szCs w:val="24"/>
        </w:rPr>
      </w:pPr>
      <w:r w:rsidRPr="003D7282">
        <w:rPr>
          <w:noProof/>
          <w:sz w:val="24"/>
          <w:szCs w:val="24"/>
        </w:rPr>
        <w:lastRenderedPageBreak/>
        <w:drawing>
          <wp:inline distT="0" distB="0" distL="0" distR="0">
            <wp:extent cx="4732020" cy="4726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3D7282" w:rsidRDefault="003D7282" w:rsidP="003D7282">
      <w:pPr>
        <w:rPr>
          <w:sz w:val="24"/>
          <w:szCs w:val="24"/>
        </w:rPr>
      </w:pPr>
      <w:r w:rsidRPr="003D7282">
        <w:rPr>
          <w:noProof/>
          <w:sz w:val="24"/>
          <w:szCs w:val="24"/>
        </w:rPr>
        <w:lastRenderedPageBreak/>
        <w:drawing>
          <wp:inline distT="0" distB="0" distL="0" distR="0">
            <wp:extent cx="4732020" cy="472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3D7282" w:rsidRDefault="003D7282" w:rsidP="003D7282">
      <w:pPr>
        <w:rPr>
          <w:sz w:val="24"/>
          <w:szCs w:val="24"/>
        </w:rPr>
      </w:pPr>
      <w:r w:rsidRPr="003D7282">
        <w:rPr>
          <w:noProof/>
          <w:sz w:val="24"/>
          <w:szCs w:val="24"/>
        </w:rPr>
        <w:lastRenderedPageBreak/>
        <w:drawing>
          <wp:inline distT="0" distB="0" distL="0" distR="0">
            <wp:extent cx="4732020" cy="4726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3D7282" w:rsidRPr="003D7282" w:rsidRDefault="003D7282" w:rsidP="003D7282">
      <w:pPr>
        <w:rPr>
          <w:sz w:val="24"/>
          <w:szCs w:val="24"/>
        </w:rPr>
      </w:pPr>
      <w:r w:rsidRPr="003D7282">
        <w:rPr>
          <w:sz w:val="24"/>
          <w:szCs w:val="24"/>
        </w:rPr>
        <w:t xml:space="preserve">These pie charts highlight the overall dominance of public ECDE enrollments across all wards, with </w:t>
      </w:r>
      <w:proofErr w:type="spellStart"/>
      <w:r w:rsidRPr="003D7282">
        <w:rPr>
          <w:sz w:val="24"/>
          <w:szCs w:val="24"/>
        </w:rPr>
        <w:t>Kukaa</w:t>
      </w:r>
      <w:proofErr w:type="spellEnd"/>
      <w:r w:rsidRPr="003D7282">
        <w:rPr>
          <w:sz w:val="24"/>
          <w:szCs w:val="24"/>
        </w:rPr>
        <w:t>/</w:t>
      </w:r>
      <w:proofErr w:type="spellStart"/>
      <w:r w:rsidRPr="003D7282">
        <w:rPr>
          <w:sz w:val="24"/>
          <w:szCs w:val="24"/>
        </w:rPr>
        <w:t>Kitaingo</w:t>
      </w:r>
      <w:proofErr w:type="spellEnd"/>
      <w:r w:rsidRPr="003D7282">
        <w:rPr>
          <w:sz w:val="24"/>
          <w:szCs w:val="24"/>
        </w:rPr>
        <w:t xml:space="preserve"> having the highest proportion of public enrollments and </w:t>
      </w:r>
      <w:proofErr w:type="spellStart"/>
      <w:r w:rsidRPr="003D7282">
        <w:rPr>
          <w:sz w:val="24"/>
          <w:szCs w:val="24"/>
        </w:rPr>
        <w:t>Kasikeu</w:t>
      </w:r>
      <w:proofErr w:type="spellEnd"/>
      <w:r w:rsidRPr="003D7282">
        <w:rPr>
          <w:sz w:val="24"/>
          <w:szCs w:val="24"/>
        </w:rPr>
        <w:t xml:space="preserve"> having the highest proportion of private enrollments.</w:t>
      </w:r>
    </w:p>
    <w:p w:rsidR="003D7282" w:rsidRPr="003D7282" w:rsidRDefault="003D7282" w:rsidP="003D7282">
      <w:pPr>
        <w:rPr>
          <w:color w:val="00B0F0"/>
          <w:sz w:val="28"/>
          <w:szCs w:val="28"/>
        </w:rPr>
      </w:pPr>
      <w:r w:rsidRPr="003D7282">
        <w:rPr>
          <w:color w:val="00B0F0"/>
          <w:sz w:val="28"/>
          <w:szCs w:val="28"/>
        </w:rPr>
        <w:t>Correlation Analysis</w:t>
      </w:r>
    </w:p>
    <w:p w:rsidR="003D7282" w:rsidRPr="003D7282" w:rsidRDefault="003D7282" w:rsidP="003D7282">
      <w:pPr>
        <w:rPr>
          <w:b/>
          <w:bCs/>
          <w:sz w:val="28"/>
          <w:szCs w:val="28"/>
        </w:rPr>
      </w:pPr>
      <w:r w:rsidRPr="003D7282">
        <w:rPr>
          <w:b/>
          <w:bCs/>
          <w:sz w:val="28"/>
          <w:szCs w:val="28"/>
        </w:rPr>
        <w:t>Correlation between Public and Private Enrollment (2018–2022)</w:t>
      </w:r>
    </w:p>
    <w:p w:rsidR="003D7282" w:rsidRPr="003D7282" w:rsidRDefault="003D7282" w:rsidP="003D7282">
      <w:pPr>
        <w:rPr>
          <w:sz w:val="24"/>
          <w:szCs w:val="24"/>
        </w:rPr>
      </w:pPr>
      <w:r w:rsidRPr="003D7282">
        <w:rPr>
          <w:sz w:val="24"/>
          <w:szCs w:val="24"/>
        </w:rPr>
        <w:t>The correlation between public and private enrollments across the wards from 2018 to 2022 is 0.</w:t>
      </w:r>
      <w:r w:rsidR="005C511B">
        <w:rPr>
          <w:sz w:val="24"/>
          <w:szCs w:val="24"/>
        </w:rPr>
        <w:t>991</w:t>
      </w:r>
      <w:r w:rsidRPr="003D7282">
        <w:rPr>
          <w:sz w:val="24"/>
          <w:szCs w:val="24"/>
        </w:rPr>
        <w:t xml:space="preserve">, indicating a </w:t>
      </w:r>
      <w:r w:rsidR="005C511B">
        <w:rPr>
          <w:sz w:val="24"/>
          <w:szCs w:val="24"/>
        </w:rPr>
        <w:t>strong</w:t>
      </w:r>
      <w:r w:rsidRPr="003D7282">
        <w:rPr>
          <w:sz w:val="24"/>
          <w:szCs w:val="24"/>
        </w:rPr>
        <w:t xml:space="preserve"> </w:t>
      </w:r>
      <w:r w:rsidR="005C511B">
        <w:rPr>
          <w:sz w:val="24"/>
          <w:szCs w:val="24"/>
        </w:rPr>
        <w:t>positive</w:t>
      </w:r>
      <w:r w:rsidRPr="003D7282">
        <w:rPr>
          <w:sz w:val="24"/>
          <w:szCs w:val="24"/>
        </w:rPr>
        <w:t xml:space="preserve"> correlation. This suggests that, an increase in public enrollments is associated with </w:t>
      </w:r>
      <w:proofErr w:type="gramStart"/>
      <w:r w:rsidRPr="003D7282">
        <w:rPr>
          <w:sz w:val="24"/>
          <w:szCs w:val="24"/>
        </w:rPr>
        <w:t>a</w:t>
      </w:r>
      <w:proofErr w:type="gramEnd"/>
      <w:r w:rsidRPr="003D7282">
        <w:rPr>
          <w:sz w:val="24"/>
          <w:szCs w:val="24"/>
        </w:rPr>
        <w:t xml:space="preserve"> </w:t>
      </w:r>
      <w:r w:rsidR="005C511B">
        <w:rPr>
          <w:sz w:val="24"/>
          <w:szCs w:val="24"/>
        </w:rPr>
        <w:t>increase</w:t>
      </w:r>
      <w:r w:rsidRPr="003D7282">
        <w:rPr>
          <w:sz w:val="24"/>
          <w:szCs w:val="24"/>
        </w:rPr>
        <w:t xml:space="preserve"> in private enrollments.</w:t>
      </w:r>
    </w:p>
    <w:p w:rsidR="003D7282" w:rsidRPr="005C511B" w:rsidRDefault="003D7282" w:rsidP="003D7282">
      <w:pPr>
        <w:rPr>
          <w:color w:val="00B0F0"/>
          <w:sz w:val="28"/>
          <w:szCs w:val="28"/>
        </w:rPr>
      </w:pPr>
      <w:r w:rsidRPr="005C511B">
        <w:rPr>
          <w:color w:val="00B0F0"/>
          <w:sz w:val="28"/>
          <w:szCs w:val="28"/>
        </w:rPr>
        <w:t>Scatter Plots</w:t>
      </w:r>
    </w:p>
    <w:p w:rsidR="003D7282" w:rsidRDefault="003D7282" w:rsidP="003D7282">
      <w:pPr>
        <w:rPr>
          <w:sz w:val="24"/>
          <w:szCs w:val="24"/>
        </w:rPr>
      </w:pPr>
      <w:r w:rsidRPr="005C511B">
        <w:rPr>
          <w:b/>
          <w:bCs/>
          <w:sz w:val="24"/>
          <w:szCs w:val="24"/>
        </w:rPr>
        <w:t>Scatter Plot</w:t>
      </w:r>
      <w:r w:rsidRPr="003D7282">
        <w:rPr>
          <w:sz w:val="24"/>
          <w:szCs w:val="24"/>
        </w:rPr>
        <w:t xml:space="preserve">: Public vs Private Enrollment The scatter plot shows a </w:t>
      </w:r>
      <w:r w:rsidR="005C511B">
        <w:rPr>
          <w:sz w:val="24"/>
          <w:szCs w:val="24"/>
        </w:rPr>
        <w:t>strong</w:t>
      </w:r>
      <w:r w:rsidRPr="003D7282">
        <w:rPr>
          <w:sz w:val="24"/>
          <w:szCs w:val="24"/>
        </w:rPr>
        <w:t xml:space="preserve"> </w:t>
      </w:r>
      <w:r w:rsidR="005C511B">
        <w:rPr>
          <w:sz w:val="24"/>
          <w:szCs w:val="24"/>
        </w:rPr>
        <w:t>positive</w:t>
      </w:r>
      <w:r w:rsidRPr="003D7282">
        <w:rPr>
          <w:sz w:val="24"/>
          <w:szCs w:val="24"/>
        </w:rPr>
        <w:t xml:space="preserve"> relationship between public and private enrollments, suggesting that increases in public enrollment are generally associated with </w:t>
      </w:r>
      <w:r w:rsidR="005C511B">
        <w:rPr>
          <w:sz w:val="24"/>
          <w:szCs w:val="24"/>
        </w:rPr>
        <w:t>increase</w:t>
      </w:r>
      <w:r w:rsidRPr="003D7282">
        <w:rPr>
          <w:sz w:val="24"/>
          <w:szCs w:val="24"/>
        </w:rPr>
        <w:t xml:space="preserve"> in private enrollment.</w:t>
      </w:r>
    </w:p>
    <w:p w:rsidR="005C511B" w:rsidRPr="003D7282" w:rsidRDefault="005C511B" w:rsidP="003D7282">
      <w:pPr>
        <w:rPr>
          <w:sz w:val="24"/>
          <w:szCs w:val="24"/>
        </w:rPr>
      </w:pPr>
      <w:r w:rsidRPr="005C511B">
        <w:rPr>
          <w:noProof/>
          <w:sz w:val="24"/>
          <w:szCs w:val="24"/>
        </w:rPr>
        <w:lastRenderedPageBreak/>
        <w:drawing>
          <wp:inline distT="0" distB="0" distL="0" distR="0">
            <wp:extent cx="4732020" cy="4726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3D7282" w:rsidRDefault="003D7282" w:rsidP="003D7282">
      <w:pPr>
        <w:rPr>
          <w:sz w:val="24"/>
          <w:szCs w:val="24"/>
        </w:rPr>
      </w:pPr>
      <w:r w:rsidRPr="005C511B">
        <w:rPr>
          <w:b/>
          <w:bCs/>
          <w:sz w:val="24"/>
          <w:szCs w:val="24"/>
        </w:rPr>
        <w:t>Scatter Plot:</w:t>
      </w:r>
      <w:r w:rsidRPr="003D7282">
        <w:rPr>
          <w:sz w:val="24"/>
          <w:szCs w:val="24"/>
        </w:rPr>
        <w:t xml:space="preserve"> Public vs Total Enrollment The scatter plot demonstrates that public enrollments largely predict total enrollments, as the points are close to the line, indicating a strong influence of public enrollments on the total number of students.</w:t>
      </w:r>
    </w:p>
    <w:p w:rsidR="005C511B" w:rsidRPr="003D7282" w:rsidRDefault="005C511B" w:rsidP="003D7282">
      <w:pPr>
        <w:rPr>
          <w:sz w:val="24"/>
          <w:szCs w:val="24"/>
        </w:rPr>
      </w:pPr>
      <w:r w:rsidRPr="005C511B">
        <w:rPr>
          <w:noProof/>
          <w:sz w:val="24"/>
          <w:szCs w:val="24"/>
        </w:rPr>
        <w:lastRenderedPageBreak/>
        <w:drawing>
          <wp:inline distT="0" distB="0" distL="0" distR="0">
            <wp:extent cx="4732020" cy="4726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3D7282" w:rsidRDefault="003D7282" w:rsidP="003D7282">
      <w:pPr>
        <w:rPr>
          <w:sz w:val="24"/>
          <w:szCs w:val="24"/>
        </w:rPr>
      </w:pPr>
      <w:r w:rsidRPr="005C511B">
        <w:rPr>
          <w:b/>
          <w:bCs/>
          <w:sz w:val="24"/>
          <w:szCs w:val="24"/>
        </w:rPr>
        <w:t>Scatter Plot:</w:t>
      </w:r>
      <w:r w:rsidRPr="003D7282">
        <w:rPr>
          <w:sz w:val="24"/>
          <w:szCs w:val="24"/>
        </w:rPr>
        <w:t xml:space="preserve"> Private vs Total Enrollment A similar upward trend can be seen in private vs total enrollment, although the correlation is weaker, indicating that private enrollments contribute to total enrollments but not as significantly as public enrollments.</w:t>
      </w:r>
    </w:p>
    <w:p w:rsidR="005C511B" w:rsidRPr="003D7282" w:rsidRDefault="005C511B" w:rsidP="003D7282">
      <w:pPr>
        <w:rPr>
          <w:sz w:val="24"/>
          <w:szCs w:val="24"/>
        </w:rPr>
      </w:pPr>
      <w:r w:rsidRPr="005C511B">
        <w:rPr>
          <w:noProof/>
          <w:sz w:val="24"/>
          <w:szCs w:val="24"/>
        </w:rPr>
        <w:lastRenderedPageBreak/>
        <w:drawing>
          <wp:inline distT="0" distB="0" distL="0" distR="0">
            <wp:extent cx="4732020" cy="4726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020" cy="4726305"/>
                    </a:xfrm>
                    <a:prstGeom prst="rect">
                      <a:avLst/>
                    </a:prstGeom>
                    <a:noFill/>
                    <a:ln>
                      <a:noFill/>
                    </a:ln>
                  </pic:spPr>
                </pic:pic>
              </a:graphicData>
            </a:graphic>
          </wp:inline>
        </w:drawing>
      </w:r>
    </w:p>
    <w:p w:rsidR="003D7282" w:rsidRPr="005C511B" w:rsidRDefault="003D7282" w:rsidP="003D7282">
      <w:pPr>
        <w:rPr>
          <w:color w:val="00B0F0"/>
          <w:sz w:val="28"/>
          <w:szCs w:val="28"/>
        </w:rPr>
      </w:pPr>
      <w:r w:rsidRPr="005C511B">
        <w:rPr>
          <w:color w:val="00B0F0"/>
          <w:sz w:val="28"/>
          <w:szCs w:val="28"/>
        </w:rPr>
        <w:t>Conclusion</w:t>
      </w:r>
    </w:p>
    <w:p w:rsidR="003D7282" w:rsidRPr="003D7282" w:rsidRDefault="003D7282" w:rsidP="003D7282">
      <w:pPr>
        <w:rPr>
          <w:sz w:val="24"/>
          <w:szCs w:val="24"/>
        </w:rPr>
      </w:pPr>
      <w:r w:rsidRPr="003D7282">
        <w:rPr>
          <w:sz w:val="24"/>
          <w:szCs w:val="24"/>
        </w:rPr>
        <w:t xml:space="preserve">The analysis of ECDE enrollments in </w:t>
      </w:r>
      <w:proofErr w:type="spellStart"/>
      <w:r w:rsidRPr="003D7282">
        <w:rPr>
          <w:sz w:val="24"/>
          <w:szCs w:val="24"/>
        </w:rPr>
        <w:t>Kilome</w:t>
      </w:r>
      <w:proofErr w:type="spellEnd"/>
      <w:r w:rsidRPr="003D7282">
        <w:rPr>
          <w:sz w:val="24"/>
          <w:szCs w:val="24"/>
        </w:rPr>
        <w:t xml:space="preserve"> Sub-county reveals that public enrollments dominate across all wards, with private enrollments playing a smaller, though still notable, role. </w:t>
      </w:r>
      <w:proofErr w:type="spellStart"/>
      <w:r w:rsidRPr="003D7282">
        <w:rPr>
          <w:sz w:val="24"/>
          <w:szCs w:val="24"/>
        </w:rPr>
        <w:t>Kiima</w:t>
      </w:r>
      <w:proofErr w:type="spellEnd"/>
      <w:r w:rsidRPr="003D7282">
        <w:rPr>
          <w:sz w:val="24"/>
          <w:szCs w:val="24"/>
        </w:rPr>
        <w:t xml:space="preserve"> </w:t>
      </w:r>
      <w:proofErr w:type="spellStart"/>
      <w:r w:rsidRPr="003D7282">
        <w:rPr>
          <w:sz w:val="24"/>
          <w:szCs w:val="24"/>
        </w:rPr>
        <w:t>Kiu</w:t>
      </w:r>
      <w:proofErr w:type="spellEnd"/>
      <w:r w:rsidRPr="003D7282">
        <w:rPr>
          <w:sz w:val="24"/>
          <w:szCs w:val="24"/>
        </w:rPr>
        <w:t>/</w:t>
      </w:r>
      <w:proofErr w:type="spellStart"/>
      <w:r w:rsidRPr="003D7282">
        <w:rPr>
          <w:sz w:val="24"/>
          <w:szCs w:val="24"/>
        </w:rPr>
        <w:t>Kalonzoni</w:t>
      </w:r>
      <w:proofErr w:type="spellEnd"/>
      <w:r w:rsidRPr="003D7282">
        <w:rPr>
          <w:sz w:val="24"/>
          <w:szCs w:val="24"/>
        </w:rPr>
        <w:t xml:space="preserve"> had the highest total enrollments, while </w:t>
      </w:r>
      <w:proofErr w:type="spellStart"/>
      <w:r w:rsidRPr="003D7282">
        <w:rPr>
          <w:sz w:val="24"/>
          <w:szCs w:val="24"/>
        </w:rPr>
        <w:t>Kukaa</w:t>
      </w:r>
      <w:proofErr w:type="spellEnd"/>
      <w:r w:rsidRPr="003D7282">
        <w:rPr>
          <w:sz w:val="24"/>
          <w:szCs w:val="24"/>
        </w:rPr>
        <w:t>/</w:t>
      </w:r>
      <w:proofErr w:type="spellStart"/>
      <w:r w:rsidRPr="003D7282">
        <w:rPr>
          <w:sz w:val="24"/>
          <w:szCs w:val="24"/>
        </w:rPr>
        <w:t>Kitaingo</w:t>
      </w:r>
      <w:proofErr w:type="spellEnd"/>
      <w:r w:rsidRPr="003D7282">
        <w:rPr>
          <w:sz w:val="24"/>
          <w:szCs w:val="24"/>
        </w:rPr>
        <w:t xml:space="preserve"> had the lowest private enrollments. The </w:t>
      </w:r>
      <w:r w:rsidR="005C511B">
        <w:rPr>
          <w:sz w:val="24"/>
          <w:szCs w:val="24"/>
        </w:rPr>
        <w:t>strong</w:t>
      </w:r>
      <w:r w:rsidRPr="003D7282">
        <w:rPr>
          <w:sz w:val="24"/>
          <w:szCs w:val="24"/>
        </w:rPr>
        <w:t xml:space="preserve"> </w:t>
      </w:r>
      <w:r w:rsidR="005C511B">
        <w:rPr>
          <w:sz w:val="24"/>
          <w:szCs w:val="24"/>
        </w:rPr>
        <w:t>positive</w:t>
      </w:r>
      <w:r w:rsidRPr="003D7282">
        <w:rPr>
          <w:sz w:val="24"/>
          <w:szCs w:val="24"/>
        </w:rPr>
        <w:t xml:space="preserve"> correlation between public and private enrollments suggests an in</w:t>
      </w:r>
      <w:r w:rsidR="005C511B">
        <w:rPr>
          <w:sz w:val="24"/>
          <w:szCs w:val="24"/>
        </w:rPr>
        <w:t>crease in public enrollment are associated with an increase in private enrollment</w:t>
      </w:r>
      <w:r w:rsidRPr="003D7282">
        <w:rPr>
          <w:sz w:val="24"/>
          <w:szCs w:val="24"/>
        </w:rPr>
        <w:t>.</w:t>
      </w:r>
    </w:p>
    <w:p w:rsidR="00B67746" w:rsidRDefault="005C511B" w:rsidP="003D7282"/>
    <w:sectPr w:rsidR="00B6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07DB"/>
    <w:multiLevelType w:val="multilevel"/>
    <w:tmpl w:val="213C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07668"/>
    <w:multiLevelType w:val="multilevel"/>
    <w:tmpl w:val="8004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B4D8A"/>
    <w:multiLevelType w:val="multilevel"/>
    <w:tmpl w:val="F69E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F078F"/>
    <w:multiLevelType w:val="multilevel"/>
    <w:tmpl w:val="4B9C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C2465"/>
    <w:multiLevelType w:val="multilevel"/>
    <w:tmpl w:val="039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94DD2"/>
    <w:multiLevelType w:val="multilevel"/>
    <w:tmpl w:val="72C4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82"/>
    <w:rsid w:val="003D7282"/>
    <w:rsid w:val="00415241"/>
    <w:rsid w:val="005C511B"/>
    <w:rsid w:val="00E1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924B"/>
  <w15:chartTrackingRefBased/>
  <w15:docId w15:val="{055ADBFE-4CCC-4067-997D-3FD77E8D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72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72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D728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72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728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D728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D72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2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0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Jonathan</dc:creator>
  <cp:keywords/>
  <dc:description/>
  <cp:lastModifiedBy>Ronald Jonathan</cp:lastModifiedBy>
  <cp:revision>1</cp:revision>
  <dcterms:created xsi:type="dcterms:W3CDTF">2024-09-19T07:34:00Z</dcterms:created>
  <dcterms:modified xsi:type="dcterms:W3CDTF">2024-09-19T07:55:00Z</dcterms:modified>
</cp:coreProperties>
</file>