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7F3" w:rsidRPr="00ED07F3" w:rsidRDefault="00ED07F3" w:rsidP="00ED07F3">
      <w:pPr>
        <w:rPr>
          <w:b/>
          <w:bCs/>
          <w:sz w:val="32"/>
          <w:szCs w:val="32"/>
        </w:rPr>
      </w:pPr>
      <w:r>
        <w:t xml:space="preserve">  </w:t>
      </w:r>
      <w:r w:rsidRPr="00ED07F3">
        <w:rPr>
          <w:b/>
          <w:bCs/>
          <w:sz w:val="32"/>
          <w:szCs w:val="32"/>
        </w:rPr>
        <w:t>Report on ECDE Enrollment Trends in Makueni Sub-County (2018</w:t>
      </w:r>
      <w:r>
        <w:rPr>
          <w:b/>
          <w:bCs/>
          <w:sz w:val="32"/>
          <w:szCs w:val="32"/>
        </w:rPr>
        <w:t>-</w:t>
      </w:r>
      <w:r w:rsidRPr="00ED07F3">
        <w:rPr>
          <w:b/>
          <w:bCs/>
          <w:sz w:val="32"/>
          <w:szCs w:val="32"/>
        </w:rPr>
        <w:t>2022)</w:t>
      </w:r>
    </w:p>
    <w:p w:rsidR="00ED07F3" w:rsidRPr="00ED07F3" w:rsidRDefault="00ED07F3" w:rsidP="00ED07F3">
      <w:pPr>
        <w:rPr>
          <w:b/>
          <w:bCs/>
          <w:sz w:val="28"/>
          <w:szCs w:val="28"/>
        </w:rPr>
      </w:pPr>
      <w:r w:rsidRPr="00ED07F3">
        <w:rPr>
          <w:b/>
          <w:bCs/>
          <w:sz w:val="28"/>
          <w:szCs w:val="28"/>
        </w:rPr>
        <w:t>Introduction</w:t>
      </w:r>
    </w:p>
    <w:p w:rsidR="00ED07F3" w:rsidRPr="00ED07F3" w:rsidRDefault="00ED07F3" w:rsidP="00ED07F3">
      <w:pPr>
        <w:rPr>
          <w:sz w:val="24"/>
          <w:szCs w:val="24"/>
        </w:rPr>
      </w:pPr>
      <w:r w:rsidRPr="00ED07F3">
        <w:rPr>
          <w:sz w:val="24"/>
          <w:szCs w:val="24"/>
        </w:rPr>
        <w:t xml:space="preserve">This report presents an analysis of Early Childhood Development Education (ECDE) enrollment trends in Makueni Sub-County, focusing on seven wards: </w:t>
      </w:r>
      <w:proofErr w:type="spellStart"/>
      <w:r w:rsidRPr="00ED07F3">
        <w:rPr>
          <w:sz w:val="24"/>
          <w:szCs w:val="24"/>
        </w:rPr>
        <w:t>Wote</w:t>
      </w:r>
      <w:proofErr w:type="spellEnd"/>
      <w:r w:rsidRPr="00ED07F3">
        <w:rPr>
          <w:sz w:val="24"/>
          <w:szCs w:val="24"/>
        </w:rPr>
        <w:t>/</w:t>
      </w:r>
      <w:proofErr w:type="spellStart"/>
      <w:r w:rsidRPr="00ED07F3">
        <w:rPr>
          <w:sz w:val="24"/>
          <w:szCs w:val="24"/>
        </w:rPr>
        <w:t>Nziu</w:t>
      </w:r>
      <w:proofErr w:type="spellEnd"/>
      <w:r w:rsidRPr="00ED07F3">
        <w:rPr>
          <w:sz w:val="24"/>
          <w:szCs w:val="24"/>
        </w:rPr>
        <w:t xml:space="preserve">, </w:t>
      </w:r>
      <w:proofErr w:type="spellStart"/>
      <w:r w:rsidRPr="00ED07F3">
        <w:rPr>
          <w:sz w:val="24"/>
          <w:szCs w:val="24"/>
        </w:rPr>
        <w:t>Muvau</w:t>
      </w:r>
      <w:proofErr w:type="spellEnd"/>
      <w:r w:rsidRPr="00ED07F3">
        <w:rPr>
          <w:sz w:val="24"/>
          <w:szCs w:val="24"/>
        </w:rPr>
        <w:t>/</w:t>
      </w:r>
      <w:proofErr w:type="spellStart"/>
      <w:r w:rsidRPr="00ED07F3">
        <w:rPr>
          <w:sz w:val="24"/>
          <w:szCs w:val="24"/>
        </w:rPr>
        <w:t>Kikumini</w:t>
      </w:r>
      <w:proofErr w:type="spellEnd"/>
      <w:r w:rsidRPr="00ED07F3">
        <w:rPr>
          <w:sz w:val="24"/>
          <w:szCs w:val="24"/>
        </w:rPr>
        <w:t xml:space="preserve">, </w:t>
      </w:r>
      <w:proofErr w:type="spellStart"/>
      <w:r w:rsidRPr="00ED07F3">
        <w:rPr>
          <w:sz w:val="24"/>
          <w:szCs w:val="24"/>
        </w:rPr>
        <w:t>Kathonzweni</w:t>
      </w:r>
      <w:proofErr w:type="spellEnd"/>
      <w:r w:rsidRPr="00ED07F3">
        <w:rPr>
          <w:sz w:val="24"/>
          <w:szCs w:val="24"/>
        </w:rPr>
        <w:t xml:space="preserve">, </w:t>
      </w:r>
      <w:proofErr w:type="spellStart"/>
      <w:r w:rsidRPr="00ED07F3">
        <w:rPr>
          <w:sz w:val="24"/>
          <w:szCs w:val="24"/>
        </w:rPr>
        <w:t>Kitise</w:t>
      </w:r>
      <w:proofErr w:type="spellEnd"/>
      <w:r w:rsidRPr="00ED07F3">
        <w:rPr>
          <w:sz w:val="24"/>
          <w:szCs w:val="24"/>
        </w:rPr>
        <w:t>/</w:t>
      </w:r>
      <w:proofErr w:type="spellStart"/>
      <w:r w:rsidRPr="00ED07F3">
        <w:rPr>
          <w:sz w:val="24"/>
          <w:szCs w:val="24"/>
        </w:rPr>
        <w:t>Kithuki</w:t>
      </w:r>
      <w:proofErr w:type="spellEnd"/>
      <w:r w:rsidRPr="00ED07F3">
        <w:rPr>
          <w:sz w:val="24"/>
          <w:szCs w:val="24"/>
        </w:rPr>
        <w:t xml:space="preserve">, </w:t>
      </w:r>
      <w:proofErr w:type="spellStart"/>
      <w:r w:rsidRPr="00ED07F3">
        <w:rPr>
          <w:sz w:val="24"/>
          <w:szCs w:val="24"/>
        </w:rPr>
        <w:t>Mbitini</w:t>
      </w:r>
      <w:proofErr w:type="spellEnd"/>
      <w:r w:rsidRPr="00ED07F3">
        <w:rPr>
          <w:sz w:val="24"/>
          <w:szCs w:val="24"/>
        </w:rPr>
        <w:t xml:space="preserve">, </w:t>
      </w:r>
      <w:proofErr w:type="spellStart"/>
      <w:r w:rsidRPr="00ED07F3">
        <w:rPr>
          <w:sz w:val="24"/>
          <w:szCs w:val="24"/>
        </w:rPr>
        <w:t>Nzaui</w:t>
      </w:r>
      <w:proofErr w:type="spellEnd"/>
      <w:r w:rsidRPr="00ED07F3">
        <w:rPr>
          <w:sz w:val="24"/>
          <w:szCs w:val="24"/>
        </w:rPr>
        <w:t>/Kilili/</w:t>
      </w:r>
      <w:proofErr w:type="spellStart"/>
      <w:r w:rsidRPr="00ED07F3">
        <w:rPr>
          <w:sz w:val="24"/>
          <w:szCs w:val="24"/>
        </w:rPr>
        <w:t>Kalamba</w:t>
      </w:r>
      <w:proofErr w:type="spellEnd"/>
      <w:r w:rsidRPr="00ED07F3">
        <w:rPr>
          <w:sz w:val="24"/>
          <w:szCs w:val="24"/>
        </w:rPr>
        <w:t xml:space="preserve">, and </w:t>
      </w:r>
      <w:proofErr w:type="spellStart"/>
      <w:r w:rsidRPr="00ED07F3">
        <w:rPr>
          <w:sz w:val="24"/>
          <w:szCs w:val="24"/>
        </w:rPr>
        <w:t>Mavindini</w:t>
      </w:r>
      <w:proofErr w:type="spellEnd"/>
      <w:r w:rsidRPr="00ED07F3">
        <w:rPr>
          <w:sz w:val="24"/>
          <w:szCs w:val="24"/>
        </w:rPr>
        <w:t>. The data spans five years, from 2018 to 2022, and includes both public and private enrollments. The goal is to identify trends, examine overall enrollments, and analyze the relationship between public and private enrollments within these wards.</w:t>
      </w:r>
    </w:p>
    <w:p w:rsidR="00ED07F3" w:rsidRPr="00ED07F3" w:rsidRDefault="00ED07F3" w:rsidP="00ED07F3">
      <w:pPr>
        <w:rPr>
          <w:color w:val="00B0F0"/>
          <w:sz w:val="28"/>
          <w:szCs w:val="28"/>
        </w:rPr>
      </w:pPr>
      <w:r w:rsidRPr="00ED07F3">
        <w:rPr>
          <w:color w:val="00B0F0"/>
          <w:sz w:val="28"/>
          <w:szCs w:val="28"/>
        </w:rPr>
        <w:t>Data Summary</w:t>
      </w:r>
    </w:p>
    <w:p w:rsidR="00ED07F3" w:rsidRPr="00ED07F3" w:rsidRDefault="00ED07F3" w:rsidP="00ED07F3">
      <w:pPr>
        <w:rPr>
          <w:sz w:val="24"/>
          <w:szCs w:val="24"/>
        </w:rPr>
      </w:pPr>
      <w:r w:rsidRPr="00ED07F3">
        <w:rPr>
          <w:sz w:val="24"/>
          <w:szCs w:val="24"/>
        </w:rPr>
        <w:t>The enrollment data comprises public and private ECDE centers, broken down into the following categories for each year:</w:t>
      </w:r>
    </w:p>
    <w:p w:rsidR="00ED07F3" w:rsidRPr="00ED07F3" w:rsidRDefault="00ED07F3" w:rsidP="00ED07F3">
      <w:pPr>
        <w:rPr>
          <w:sz w:val="24"/>
          <w:szCs w:val="24"/>
        </w:rPr>
      </w:pPr>
      <w:r w:rsidRPr="00ED07F3">
        <w:rPr>
          <w:sz w:val="24"/>
          <w:szCs w:val="24"/>
        </w:rPr>
        <w:t>Public enrollments (2018–2022)</w:t>
      </w:r>
    </w:p>
    <w:p w:rsidR="00ED07F3" w:rsidRPr="00ED07F3" w:rsidRDefault="00ED07F3" w:rsidP="00ED07F3">
      <w:pPr>
        <w:rPr>
          <w:sz w:val="24"/>
          <w:szCs w:val="24"/>
        </w:rPr>
      </w:pPr>
      <w:r w:rsidRPr="00ED07F3">
        <w:rPr>
          <w:sz w:val="24"/>
          <w:szCs w:val="24"/>
        </w:rPr>
        <w:t>Private enrollments (2018–2022)</w:t>
      </w:r>
    </w:p>
    <w:p w:rsidR="00ED07F3" w:rsidRPr="00ED07F3" w:rsidRDefault="00ED07F3" w:rsidP="00ED07F3">
      <w:pPr>
        <w:rPr>
          <w:sz w:val="24"/>
          <w:szCs w:val="24"/>
        </w:rPr>
      </w:pPr>
      <w:r w:rsidRPr="00ED07F3">
        <w:rPr>
          <w:sz w:val="24"/>
          <w:szCs w:val="24"/>
        </w:rPr>
        <w:t>Total enrollments, which is the sum of public and private enrollments.</w:t>
      </w:r>
    </w:p>
    <w:p w:rsidR="00ED07F3" w:rsidRPr="00ED07F3" w:rsidRDefault="00ED07F3" w:rsidP="00ED07F3">
      <w:pPr>
        <w:rPr>
          <w:sz w:val="24"/>
          <w:szCs w:val="24"/>
        </w:rPr>
      </w:pPr>
      <w:r w:rsidRPr="00ED07F3">
        <w:rPr>
          <w:sz w:val="24"/>
          <w:szCs w:val="24"/>
        </w:rPr>
        <w:t>The data for each ward was examined for trends in total enrollments, as well as the relative proportions of public and private enrollments.</w:t>
      </w:r>
    </w:p>
    <w:p w:rsidR="00ED07F3" w:rsidRPr="00ED07F3" w:rsidRDefault="00ED07F3" w:rsidP="00ED07F3">
      <w:pPr>
        <w:rPr>
          <w:color w:val="00B0F0"/>
          <w:sz w:val="28"/>
          <w:szCs w:val="28"/>
        </w:rPr>
      </w:pPr>
      <w:r w:rsidRPr="00ED07F3">
        <w:rPr>
          <w:color w:val="00B0F0"/>
          <w:sz w:val="28"/>
          <w:szCs w:val="28"/>
        </w:rPr>
        <w:t>Total Enrollment Trends (2018–2022)</w:t>
      </w:r>
    </w:p>
    <w:p w:rsidR="00ED07F3" w:rsidRPr="00ED07F3" w:rsidRDefault="00ED07F3" w:rsidP="00ED07F3">
      <w:pPr>
        <w:rPr>
          <w:sz w:val="24"/>
          <w:szCs w:val="24"/>
        </w:rPr>
      </w:pPr>
      <w:r w:rsidRPr="00ED07F3">
        <w:rPr>
          <w:sz w:val="24"/>
          <w:szCs w:val="24"/>
        </w:rPr>
        <w:t>The data reveals the following overall enrollments for each 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2430"/>
        <w:gridCol w:w="2499"/>
        <w:gridCol w:w="2382"/>
      </w:tblGrid>
      <w:tr w:rsidR="00ED07F3" w:rsidRPr="00ED07F3" w:rsidTr="00ED07F3">
        <w:trPr>
          <w:tblHeader/>
          <w:tblCellSpacing w:w="15" w:type="dxa"/>
        </w:trPr>
        <w:tc>
          <w:tcPr>
            <w:tcW w:w="0" w:type="auto"/>
            <w:vAlign w:val="center"/>
            <w:hideMark/>
          </w:tcPr>
          <w:p w:rsidR="00ED07F3" w:rsidRPr="00ED07F3" w:rsidRDefault="00ED07F3" w:rsidP="00ED07F3">
            <w:pPr>
              <w:rPr>
                <w:b/>
                <w:bCs/>
                <w:sz w:val="24"/>
                <w:szCs w:val="24"/>
              </w:rPr>
            </w:pPr>
            <w:r w:rsidRPr="00ED07F3">
              <w:rPr>
                <w:b/>
                <w:bCs/>
                <w:sz w:val="24"/>
                <w:szCs w:val="24"/>
              </w:rPr>
              <w:t>Ward</w:t>
            </w:r>
          </w:p>
        </w:tc>
        <w:tc>
          <w:tcPr>
            <w:tcW w:w="0" w:type="auto"/>
            <w:vAlign w:val="center"/>
            <w:hideMark/>
          </w:tcPr>
          <w:p w:rsidR="00ED07F3" w:rsidRPr="00ED07F3" w:rsidRDefault="00ED07F3" w:rsidP="00ED07F3">
            <w:pPr>
              <w:rPr>
                <w:b/>
                <w:bCs/>
                <w:sz w:val="24"/>
                <w:szCs w:val="24"/>
              </w:rPr>
            </w:pPr>
            <w:r w:rsidRPr="00ED07F3">
              <w:rPr>
                <w:b/>
                <w:bCs/>
                <w:sz w:val="24"/>
                <w:szCs w:val="24"/>
              </w:rPr>
              <w:t>Public Enrollment (2018-2022)</w:t>
            </w:r>
          </w:p>
        </w:tc>
        <w:tc>
          <w:tcPr>
            <w:tcW w:w="0" w:type="auto"/>
            <w:vAlign w:val="center"/>
            <w:hideMark/>
          </w:tcPr>
          <w:p w:rsidR="00ED07F3" w:rsidRPr="00ED07F3" w:rsidRDefault="00ED07F3" w:rsidP="00ED07F3">
            <w:pPr>
              <w:rPr>
                <w:b/>
                <w:bCs/>
                <w:sz w:val="24"/>
                <w:szCs w:val="24"/>
              </w:rPr>
            </w:pPr>
            <w:r w:rsidRPr="00ED07F3">
              <w:rPr>
                <w:b/>
                <w:bCs/>
                <w:sz w:val="24"/>
                <w:szCs w:val="24"/>
              </w:rPr>
              <w:t>Private Enrollment (2018-2022)</w:t>
            </w:r>
          </w:p>
        </w:tc>
        <w:tc>
          <w:tcPr>
            <w:tcW w:w="0" w:type="auto"/>
            <w:vAlign w:val="center"/>
            <w:hideMark/>
          </w:tcPr>
          <w:p w:rsidR="00ED07F3" w:rsidRPr="00ED07F3" w:rsidRDefault="00ED07F3" w:rsidP="00ED07F3">
            <w:pPr>
              <w:rPr>
                <w:b/>
                <w:bCs/>
                <w:sz w:val="24"/>
                <w:szCs w:val="24"/>
              </w:rPr>
            </w:pPr>
            <w:r w:rsidRPr="00ED07F3">
              <w:rPr>
                <w:b/>
                <w:bCs/>
                <w:sz w:val="24"/>
                <w:szCs w:val="24"/>
              </w:rPr>
              <w:t>Total Enrollment (2018-2022)</w:t>
            </w:r>
          </w:p>
        </w:tc>
      </w:tr>
      <w:tr w:rsidR="00ED07F3" w:rsidRPr="00ED07F3" w:rsidTr="00ED07F3">
        <w:trPr>
          <w:tblCellSpacing w:w="15" w:type="dxa"/>
        </w:trPr>
        <w:tc>
          <w:tcPr>
            <w:tcW w:w="0" w:type="auto"/>
            <w:vAlign w:val="center"/>
            <w:hideMark/>
          </w:tcPr>
          <w:p w:rsidR="00ED07F3" w:rsidRPr="00ED07F3" w:rsidRDefault="00ED07F3" w:rsidP="00ED07F3">
            <w:pPr>
              <w:rPr>
                <w:sz w:val="24"/>
                <w:szCs w:val="24"/>
              </w:rPr>
            </w:pPr>
            <w:proofErr w:type="spellStart"/>
            <w:r w:rsidRPr="00ED07F3">
              <w:rPr>
                <w:sz w:val="24"/>
                <w:szCs w:val="24"/>
              </w:rPr>
              <w:t>Wote</w:t>
            </w:r>
            <w:proofErr w:type="spellEnd"/>
            <w:r w:rsidRPr="00ED07F3">
              <w:rPr>
                <w:sz w:val="24"/>
                <w:szCs w:val="24"/>
              </w:rPr>
              <w:t>/</w:t>
            </w:r>
            <w:proofErr w:type="spellStart"/>
            <w:r w:rsidRPr="00ED07F3">
              <w:rPr>
                <w:sz w:val="24"/>
                <w:szCs w:val="24"/>
              </w:rPr>
              <w:t>Nziu</w:t>
            </w:r>
            <w:proofErr w:type="spellEnd"/>
          </w:p>
        </w:tc>
        <w:tc>
          <w:tcPr>
            <w:tcW w:w="0" w:type="auto"/>
            <w:vAlign w:val="center"/>
            <w:hideMark/>
          </w:tcPr>
          <w:p w:rsidR="00ED07F3" w:rsidRPr="00ED07F3" w:rsidRDefault="00ED07F3" w:rsidP="00ED07F3">
            <w:pPr>
              <w:rPr>
                <w:sz w:val="24"/>
                <w:szCs w:val="24"/>
              </w:rPr>
            </w:pPr>
            <w:r w:rsidRPr="00ED07F3">
              <w:rPr>
                <w:sz w:val="24"/>
                <w:szCs w:val="24"/>
              </w:rPr>
              <w:t>3,541</w:t>
            </w:r>
          </w:p>
        </w:tc>
        <w:tc>
          <w:tcPr>
            <w:tcW w:w="0" w:type="auto"/>
            <w:vAlign w:val="center"/>
            <w:hideMark/>
          </w:tcPr>
          <w:p w:rsidR="00ED07F3" w:rsidRPr="00ED07F3" w:rsidRDefault="00ED07F3" w:rsidP="00ED07F3">
            <w:pPr>
              <w:rPr>
                <w:sz w:val="24"/>
                <w:szCs w:val="24"/>
              </w:rPr>
            </w:pPr>
            <w:r w:rsidRPr="00ED07F3">
              <w:rPr>
                <w:sz w:val="24"/>
                <w:szCs w:val="24"/>
              </w:rPr>
              <w:t>5,217</w:t>
            </w:r>
          </w:p>
        </w:tc>
        <w:tc>
          <w:tcPr>
            <w:tcW w:w="0" w:type="auto"/>
            <w:vAlign w:val="center"/>
            <w:hideMark/>
          </w:tcPr>
          <w:p w:rsidR="00ED07F3" w:rsidRPr="00ED07F3" w:rsidRDefault="00ED07F3" w:rsidP="00ED07F3">
            <w:pPr>
              <w:rPr>
                <w:sz w:val="24"/>
                <w:szCs w:val="24"/>
              </w:rPr>
            </w:pPr>
            <w:r w:rsidRPr="00ED07F3">
              <w:rPr>
                <w:sz w:val="24"/>
                <w:szCs w:val="24"/>
              </w:rPr>
              <w:t>8,758</w:t>
            </w:r>
          </w:p>
        </w:tc>
      </w:tr>
      <w:tr w:rsidR="00ED07F3" w:rsidRPr="00ED07F3" w:rsidTr="00ED07F3">
        <w:trPr>
          <w:tblCellSpacing w:w="15" w:type="dxa"/>
        </w:trPr>
        <w:tc>
          <w:tcPr>
            <w:tcW w:w="0" w:type="auto"/>
            <w:vAlign w:val="center"/>
            <w:hideMark/>
          </w:tcPr>
          <w:p w:rsidR="00ED07F3" w:rsidRPr="00ED07F3" w:rsidRDefault="00ED07F3" w:rsidP="00ED07F3">
            <w:pPr>
              <w:rPr>
                <w:sz w:val="24"/>
                <w:szCs w:val="24"/>
              </w:rPr>
            </w:pPr>
            <w:proofErr w:type="spellStart"/>
            <w:r w:rsidRPr="00ED07F3">
              <w:rPr>
                <w:sz w:val="24"/>
                <w:szCs w:val="24"/>
              </w:rPr>
              <w:t>Muvau</w:t>
            </w:r>
            <w:proofErr w:type="spellEnd"/>
            <w:r w:rsidRPr="00ED07F3">
              <w:rPr>
                <w:sz w:val="24"/>
                <w:szCs w:val="24"/>
              </w:rPr>
              <w:t>/</w:t>
            </w:r>
            <w:proofErr w:type="spellStart"/>
            <w:r w:rsidRPr="00ED07F3">
              <w:rPr>
                <w:sz w:val="24"/>
                <w:szCs w:val="24"/>
              </w:rPr>
              <w:t>Kikumini</w:t>
            </w:r>
            <w:proofErr w:type="spellEnd"/>
          </w:p>
        </w:tc>
        <w:tc>
          <w:tcPr>
            <w:tcW w:w="0" w:type="auto"/>
            <w:vAlign w:val="center"/>
            <w:hideMark/>
          </w:tcPr>
          <w:p w:rsidR="00ED07F3" w:rsidRPr="00ED07F3" w:rsidRDefault="00ED07F3" w:rsidP="00ED07F3">
            <w:pPr>
              <w:rPr>
                <w:sz w:val="24"/>
                <w:szCs w:val="24"/>
              </w:rPr>
            </w:pPr>
            <w:r w:rsidRPr="00ED07F3">
              <w:rPr>
                <w:sz w:val="24"/>
                <w:szCs w:val="24"/>
              </w:rPr>
              <w:t>5,456</w:t>
            </w:r>
          </w:p>
        </w:tc>
        <w:tc>
          <w:tcPr>
            <w:tcW w:w="0" w:type="auto"/>
            <w:vAlign w:val="center"/>
            <w:hideMark/>
          </w:tcPr>
          <w:p w:rsidR="00ED07F3" w:rsidRPr="00ED07F3" w:rsidRDefault="00ED07F3" w:rsidP="00ED07F3">
            <w:pPr>
              <w:rPr>
                <w:sz w:val="24"/>
                <w:szCs w:val="24"/>
              </w:rPr>
            </w:pPr>
            <w:r w:rsidRPr="00ED07F3">
              <w:rPr>
                <w:sz w:val="24"/>
                <w:szCs w:val="24"/>
              </w:rPr>
              <w:t>1,294</w:t>
            </w:r>
          </w:p>
        </w:tc>
        <w:tc>
          <w:tcPr>
            <w:tcW w:w="0" w:type="auto"/>
            <w:vAlign w:val="center"/>
            <w:hideMark/>
          </w:tcPr>
          <w:p w:rsidR="00ED07F3" w:rsidRPr="00ED07F3" w:rsidRDefault="00ED07F3" w:rsidP="00ED07F3">
            <w:pPr>
              <w:rPr>
                <w:sz w:val="24"/>
                <w:szCs w:val="24"/>
              </w:rPr>
            </w:pPr>
            <w:r w:rsidRPr="00ED07F3">
              <w:rPr>
                <w:sz w:val="24"/>
                <w:szCs w:val="24"/>
              </w:rPr>
              <w:t>6,750</w:t>
            </w:r>
          </w:p>
        </w:tc>
      </w:tr>
      <w:tr w:rsidR="00ED07F3" w:rsidRPr="00ED07F3" w:rsidTr="00ED07F3">
        <w:trPr>
          <w:tblCellSpacing w:w="15" w:type="dxa"/>
        </w:trPr>
        <w:tc>
          <w:tcPr>
            <w:tcW w:w="0" w:type="auto"/>
            <w:vAlign w:val="center"/>
            <w:hideMark/>
          </w:tcPr>
          <w:p w:rsidR="00ED07F3" w:rsidRPr="00ED07F3" w:rsidRDefault="00ED07F3" w:rsidP="00ED07F3">
            <w:pPr>
              <w:rPr>
                <w:sz w:val="24"/>
                <w:szCs w:val="24"/>
              </w:rPr>
            </w:pPr>
            <w:proofErr w:type="spellStart"/>
            <w:r w:rsidRPr="00ED07F3">
              <w:rPr>
                <w:sz w:val="24"/>
                <w:szCs w:val="24"/>
              </w:rPr>
              <w:t>Kathonzweni</w:t>
            </w:r>
            <w:proofErr w:type="spellEnd"/>
          </w:p>
        </w:tc>
        <w:tc>
          <w:tcPr>
            <w:tcW w:w="0" w:type="auto"/>
            <w:vAlign w:val="center"/>
            <w:hideMark/>
          </w:tcPr>
          <w:p w:rsidR="00ED07F3" w:rsidRPr="00ED07F3" w:rsidRDefault="00ED07F3" w:rsidP="00ED07F3">
            <w:pPr>
              <w:rPr>
                <w:sz w:val="24"/>
                <w:szCs w:val="24"/>
              </w:rPr>
            </w:pPr>
            <w:r w:rsidRPr="00ED07F3">
              <w:rPr>
                <w:sz w:val="24"/>
                <w:szCs w:val="24"/>
              </w:rPr>
              <w:t>6,628</w:t>
            </w:r>
          </w:p>
        </w:tc>
        <w:tc>
          <w:tcPr>
            <w:tcW w:w="0" w:type="auto"/>
            <w:vAlign w:val="center"/>
            <w:hideMark/>
          </w:tcPr>
          <w:p w:rsidR="00ED07F3" w:rsidRPr="00ED07F3" w:rsidRDefault="00ED07F3" w:rsidP="00ED07F3">
            <w:pPr>
              <w:rPr>
                <w:sz w:val="24"/>
                <w:szCs w:val="24"/>
              </w:rPr>
            </w:pPr>
            <w:r w:rsidRPr="00ED07F3">
              <w:rPr>
                <w:sz w:val="24"/>
                <w:szCs w:val="24"/>
              </w:rPr>
              <w:t>826</w:t>
            </w:r>
          </w:p>
        </w:tc>
        <w:tc>
          <w:tcPr>
            <w:tcW w:w="0" w:type="auto"/>
            <w:vAlign w:val="center"/>
            <w:hideMark/>
          </w:tcPr>
          <w:p w:rsidR="00ED07F3" w:rsidRPr="00ED07F3" w:rsidRDefault="00ED07F3" w:rsidP="00ED07F3">
            <w:pPr>
              <w:rPr>
                <w:sz w:val="24"/>
                <w:szCs w:val="24"/>
              </w:rPr>
            </w:pPr>
            <w:r w:rsidRPr="00ED07F3">
              <w:rPr>
                <w:sz w:val="24"/>
                <w:szCs w:val="24"/>
              </w:rPr>
              <w:t>7,454</w:t>
            </w:r>
          </w:p>
        </w:tc>
      </w:tr>
      <w:tr w:rsidR="00ED07F3" w:rsidRPr="00ED07F3" w:rsidTr="00ED07F3">
        <w:trPr>
          <w:tblCellSpacing w:w="15" w:type="dxa"/>
        </w:trPr>
        <w:tc>
          <w:tcPr>
            <w:tcW w:w="0" w:type="auto"/>
            <w:vAlign w:val="center"/>
            <w:hideMark/>
          </w:tcPr>
          <w:p w:rsidR="00ED07F3" w:rsidRPr="00ED07F3" w:rsidRDefault="00ED07F3" w:rsidP="00ED07F3">
            <w:pPr>
              <w:rPr>
                <w:sz w:val="24"/>
                <w:szCs w:val="24"/>
              </w:rPr>
            </w:pPr>
            <w:proofErr w:type="spellStart"/>
            <w:r w:rsidRPr="00ED07F3">
              <w:rPr>
                <w:sz w:val="24"/>
                <w:szCs w:val="24"/>
              </w:rPr>
              <w:t>Kitise</w:t>
            </w:r>
            <w:proofErr w:type="spellEnd"/>
            <w:r w:rsidRPr="00ED07F3">
              <w:rPr>
                <w:sz w:val="24"/>
                <w:szCs w:val="24"/>
              </w:rPr>
              <w:t>/</w:t>
            </w:r>
            <w:proofErr w:type="spellStart"/>
            <w:r w:rsidRPr="00ED07F3">
              <w:rPr>
                <w:sz w:val="24"/>
                <w:szCs w:val="24"/>
              </w:rPr>
              <w:t>Kithuki</w:t>
            </w:r>
            <w:proofErr w:type="spellEnd"/>
          </w:p>
        </w:tc>
        <w:tc>
          <w:tcPr>
            <w:tcW w:w="0" w:type="auto"/>
            <w:vAlign w:val="center"/>
            <w:hideMark/>
          </w:tcPr>
          <w:p w:rsidR="00ED07F3" w:rsidRPr="00ED07F3" w:rsidRDefault="00ED07F3" w:rsidP="00ED07F3">
            <w:pPr>
              <w:rPr>
                <w:sz w:val="24"/>
                <w:szCs w:val="24"/>
              </w:rPr>
            </w:pPr>
            <w:r w:rsidRPr="00ED07F3">
              <w:rPr>
                <w:sz w:val="24"/>
                <w:szCs w:val="24"/>
              </w:rPr>
              <w:t>5,683</w:t>
            </w:r>
          </w:p>
        </w:tc>
        <w:tc>
          <w:tcPr>
            <w:tcW w:w="0" w:type="auto"/>
            <w:vAlign w:val="center"/>
            <w:hideMark/>
          </w:tcPr>
          <w:p w:rsidR="00ED07F3" w:rsidRPr="00ED07F3" w:rsidRDefault="00ED07F3" w:rsidP="00ED07F3">
            <w:pPr>
              <w:rPr>
                <w:sz w:val="24"/>
                <w:szCs w:val="24"/>
              </w:rPr>
            </w:pPr>
            <w:r w:rsidRPr="00ED07F3">
              <w:rPr>
                <w:sz w:val="24"/>
                <w:szCs w:val="24"/>
              </w:rPr>
              <w:t>8</w:t>
            </w:r>
          </w:p>
        </w:tc>
        <w:tc>
          <w:tcPr>
            <w:tcW w:w="0" w:type="auto"/>
            <w:vAlign w:val="center"/>
            <w:hideMark/>
          </w:tcPr>
          <w:p w:rsidR="00ED07F3" w:rsidRPr="00ED07F3" w:rsidRDefault="00ED07F3" w:rsidP="00ED07F3">
            <w:pPr>
              <w:rPr>
                <w:sz w:val="24"/>
                <w:szCs w:val="24"/>
              </w:rPr>
            </w:pPr>
            <w:r w:rsidRPr="00ED07F3">
              <w:rPr>
                <w:sz w:val="24"/>
                <w:szCs w:val="24"/>
              </w:rPr>
              <w:t>5,691</w:t>
            </w:r>
          </w:p>
        </w:tc>
      </w:tr>
      <w:tr w:rsidR="00ED07F3" w:rsidRPr="00ED07F3" w:rsidTr="00ED07F3">
        <w:trPr>
          <w:tblCellSpacing w:w="15" w:type="dxa"/>
        </w:trPr>
        <w:tc>
          <w:tcPr>
            <w:tcW w:w="0" w:type="auto"/>
            <w:vAlign w:val="center"/>
            <w:hideMark/>
          </w:tcPr>
          <w:p w:rsidR="00ED07F3" w:rsidRPr="00ED07F3" w:rsidRDefault="00ED07F3" w:rsidP="00ED07F3">
            <w:pPr>
              <w:rPr>
                <w:sz w:val="24"/>
                <w:szCs w:val="24"/>
              </w:rPr>
            </w:pPr>
            <w:proofErr w:type="spellStart"/>
            <w:r w:rsidRPr="00ED07F3">
              <w:rPr>
                <w:sz w:val="24"/>
                <w:szCs w:val="24"/>
              </w:rPr>
              <w:t>Mbitini</w:t>
            </w:r>
            <w:proofErr w:type="spellEnd"/>
          </w:p>
        </w:tc>
        <w:tc>
          <w:tcPr>
            <w:tcW w:w="0" w:type="auto"/>
            <w:vAlign w:val="center"/>
            <w:hideMark/>
          </w:tcPr>
          <w:p w:rsidR="00ED07F3" w:rsidRPr="00ED07F3" w:rsidRDefault="00ED07F3" w:rsidP="00ED07F3">
            <w:pPr>
              <w:rPr>
                <w:sz w:val="24"/>
                <w:szCs w:val="24"/>
              </w:rPr>
            </w:pPr>
            <w:r w:rsidRPr="00ED07F3">
              <w:rPr>
                <w:sz w:val="24"/>
                <w:szCs w:val="24"/>
              </w:rPr>
              <w:t>6,377</w:t>
            </w:r>
          </w:p>
        </w:tc>
        <w:tc>
          <w:tcPr>
            <w:tcW w:w="0" w:type="auto"/>
            <w:vAlign w:val="center"/>
            <w:hideMark/>
          </w:tcPr>
          <w:p w:rsidR="00ED07F3" w:rsidRPr="00ED07F3" w:rsidRDefault="00ED07F3" w:rsidP="00ED07F3">
            <w:pPr>
              <w:rPr>
                <w:sz w:val="24"/>
                <w:szCs w:val="24"/>
              </w:rPr>
            </w:pPr>
            <w:r w:rsidRPr="00ED07F3">
              <w:rPr>
                <w:sz w:val="24"/>
                <w:szCs w:val="24"/>
              </w:rPr>
              <w:t>632</w:t>
            </w:r>
          </w:p>
        </w:tc>
        <w:tc>
          <w:tcPr>
            <w:tcW w:w="0" w:type="auto"/>
            <w:vAlign w:val="center"/>
            <w:hideMark/>
          </w:tcPr>
          <w:p w:rsidR="00ED07F3" w:rsidRPr="00ED07F3" w:rsidRDefault="00ED07F3" w:rsidP="00ED07F3">
            <w:pPr>
              <w:rPr>
                <w:sz w:val="24"/>
                <w:szCs w:val="24"/>
              </w:rPr>
            </w:pPr>
            <w:r w:rsidRPr="00ED07F3">
              <w:rPr>
                <w:sz w:val="24"/>
                <w:szCs w:val="24"/>
              </w:rPr>
              <w:t>7,009</w:t>
            </w:r>
          </w:p>
        </w:tc>
      </w:tr>
      <w:tr w:rsidR="00ED07F3" w:rsidRPr="00ED07F3" w:rsidTr="00ED07F3">
        <w:trPr>
          <w:tblCellSpacing w:w="15" w:type="dxa"/>
        </w:trPr>
        <w:tc>
          <w:tcPr>
            <w:tcW w:w="0" w:type="auto"/>
            <w:vAlign w:val="center"/>
            <w:hideMark/>
          </w:tcPr>
          <w:p w:rsidR="00ED07F3" w:rsidRPr="00ED07F3" w:rsidRDefault="00ED07F3" w:rsidP="00ED07F3">
            <w:pPr>
              <w:rPr>
                <w:sz w:val="24"/>
                <w:szCs w:val="24"/>
              </w:rPr>
            </w:pPr>
            <w:proofErr w:type="spellStart"/>
            <w:r w:rsidRPr="00ED07F3">
              <w:rPr>
                <w:sz w:val="24"/>
                <w:szCs w:val="24"/>
              </w:rPr>
              <w:t>Nzaui</w:t>
            </w:r>
            <w:proofErr w:type="spellEnd"/>
            <w:r w:rsidRPr="00ED07F3">
              <w:rPr>
                <w:sz w:val="24"/>
                <w:szCs w:val="24"/>
              </w:rPr>
              <w:t>/Kilili/</w:t>
            </w:r>
            <w:proofErr w:type="spellStart"/>
            <w:r w:rsidRPr="00ED07F3">
              <w:rPr>
                <w:sz w:val="24"/>
                <w:szCs w:val="24"/>
              </w:rPr>
              <w:t>Kalamba</w:t>
            </w:r>
            <w:proofErr w:type="spellEnd"/>
          </w:p>
        </w:tc>
        <w:tc>
          <w:tcPr>
            <w:tcW w:w="0" w:type="auto"/>
            <w:vAlign w:val="center"/>
            <w:hideMark/>
          </w:tcPr>
          <w:p w:rsidR="00ED07F3" w:rsidRPr="00ED07F3" w:rsidRDefault="00ED07F3" w:rsidP="00ED07F3">
            <w:pPr>
              <w:rPr>
                <w:sz w:val="24"/>
                <w:szCs w:val="24"/>
              </w:rPr>
            </w:pPr>
            <w:r w:rsidRPr="00ED07F3">
              <w:rPr>
                <w:sz w:val="24"/>
                <w:szCs w:val="24"/>
              </w:rPr>
              <w:t>8,701</w:t>
            </w:r>
          </w:p>
        </w:tc>
        <w:tc>
          <w:tcPr>
            <w:tcW w:w="0" w:type="auto"/>
            <w:vAlign w:val="center"/>
            <w:hideMark/>
          </w:tcPr>
          <w:p w:rsidR="00ED07F3" w:rsidRPr="00ED07F3" w:rsidRDefault="00ED07F3" w:rsidP="00ED07F3">
            <w:pPr>
              <w:rPr>
                <w:sz w:val="24"/>
                <w:szCs w:val="24"/>
              </w:rPr>
            </w:pPr>
            <w:r w:rsidRPr="00ED07F3">
              <w:rPr>
                <w:sz w:val="24"/>
                <w:szCs w:val="24"/>
              </w:rPr>
              <w:t>1,201</w:t>
            </w:r>
          </w:p>
        </w:tc>
        <w:tc>
          <w:tcPr>
            <w:tcW w:w="0" w:type="auto"/>
            <w:vAlign w:val="center"/>
            <w:hideMark/>
          </w:tcPr>
          <w:p w:rsidR="00ED07F3" w:rsidRPr="00ED07F3" w:rsidRDefault="00ED07F3" w:rsidP="00ED07F3">
            <w:pPr>
              <w:rPr>
                <w:sz w:val="24"/>
                <w:szCs w:val="24"/>
              </w:rPr>
            </w:pPr>
            <w:r w:rsidRPr="00ED07F3">
              <w:rPr>
                <w:sz w:val="24"/>
                <w:szCs w:val="24"/>
              </w:rPr>
              <w:t>9,902</w:t>
            </w:r>
          </w:p>
        </w:tc>
      </w:tr>
      <w:tr w:rsidR="00ED07F3" w:rsidRPr="00ED07F3" w:rsidTr="00ED07F3">
        <w:trPr>
          <w:tblCellSpacing w:w="15" w:type="dxa"/>
        </w:trPr>
        <w:tc>
          <w:tcPr>
            <w:tcW w:w="0" w:type="auto"/>
            <w:vAlign w:val="center"/>
            <w:hideMark/>
          </w:tcPr>
          <w:p w:rsidR="00ED07F3" w:rsidRPr="00ED07F3" w:rsidRDefault="00ED07F3" w:rsidP="00ED07F3">
            <w:pPr>
              <w:rPr>
                <w:sz w:val="24"/>
                <w:szCs w:val="24"/>
              </w:rPr>
            </w:pPr>
            <w:proofErr w:type="spellStart"/>
            <w:r w:rsidRPr="00ED07F3">
              <w:rPr>
                <w:sz w:val="24"/>
                <w:szCs w:val="24"/>
              </w:rPr>
              <w:t>Mavindini</w:t>
            </w:r>
            <w:proofErr w:type="spellEnd"/>
          </w:p>
        </w:tc>
        <w:tc>
          <w:tcPr>
            <w:tcW w:w="0" w:type="auto"/>
            <w:vAlign w:val="center"/>
            <w:hideMark/>
          </w:tcPr>
          <w:p w:rsidR="00ED07F3" w:rsidRPr="00ED07F3" w:rsidRDefault="00ED07F3" w:rsidP="00ED07F3">
            <w:pPr>
              <w:rPr>
                <w:sz w:val="24"/>
                <w:szCs w:val="24"/>
              </w:rPr>
            </w:pPr>
            <w:r w:rsidRPr="00ED07F3">
              <w:rPr>
                <w:sz w:val="24"/>
                <w:szCs w:val="24"/>
              </w:rPr>
              <w:t>4,786</w:t>
            </w:r>
          </w:p>
        </w:tc>
        <w:tc>
          <w:tcPr>
            <w:tcW w:w="0" w:type="auto"/>
            <w:vAlign w:val="center"/>
            <w:hideMark/>
          </w:tcPr>
          <w:p w:rsidR="00ED07F3" w:rsidRPr="00ED07F3" w:rsidRDefault="00ED07F3" w:rsidP="00ED07F3">
            <w:pPr>
              <w:rPr>
                <w:sz w:val="24"/>
                <w:szCs w:val="24"/>
              </w:rPr>
            </w:pPr>
            <w:r w:rsidRPr="00ED07F3">
              <w:rPr>
                <w:sz w:val="24"/>
                <w:szCs w:val="24"/>
              </w:rPr>
              <w:t>263</w:t>
            </w:r>
          </w:p>
        </w:tc>
        <w:tc>
          <w:tcPr>
            <w:tcW w:w="0" w:type="auto"/>
            <w:vAlign w:val="center"/>
            <w:hideMark/>
          </w:tcPr>
          <w:p w:rsidR="00ED07F3" w:rsidRPr="00ED07F3" w:rsidRDefault="00ED07F3" w:rsidP="00ED07F3">
            <w:pPr>
              <w:rPr>
                <w:sz w:val="24"/>
                <w:szCs w:val="24"/>
              </w:rPr>
            </w:pPr>
            <w:r w:rsidRPr="00ED07F3">
              <w:rPr>
                <w:sz w:val="24"/>
                <w:szCs w:val="24"/>
              </w:rPr>
              <w:t>5,049</w:t>
            </w:r>
          </w:p>
        </w:tc>
      </w:tr>
    </w:tbl>
    <w:p w:rsidR="00ED07F3" w:rsidRPr="00ED07F3" w:rsidRDefault="00ED07F3" w:rsidP="00ED07F3">
      <w:pPr>
        <w:rPr>
          <w:sz w:val="24"/>
          <w:szCs w:val="24"/>
        </w:rPr>
      </w:pPr>
      <w:proofErr w:type="spellStart"/>
      <w:r w:rsidRPr="00ED07F3">
        <w:rPr>
          <w:sz w:val="24"/>
          <w:szCs w:val="24"/>
        </w:rPr>
        <w:lastRenderedPageBreak/>
        <w:t>Nzaui</w:t>
      </w:r>
      <w:proofErr w:type="spellEnd"/>
      <w:r w:rsidRPr="00ED07F3">
        <w:rPr>
          <w:sz w:val="24"/>
          <w:szCs w:val="24"/>
        </w:rPr>
        <w:t>/Kilili/</w:t>
      </w:r>
      <w:proofErr w:type="spellStart"/>
      <w:r w:rsidRPr="00ED07F3">
        <w:rPr>
          <w:sz w:val="24"/>
          <w:szCs w:val="24"/>
        </w:rPr>
        <w:t>Kalamba</w:t>
      </w:r>
      <w:proofErr w:type="spellEnd"/>
      <w:r w:rsidRPr="00ED07F3">
        <w:rPr>
          <w:sz w:val="24"/>
          <w:szCs w:val="24"/>
        </w:rPr>
        <w:t xml:space="preserve"> had the highest total enrollment with 9,902 students from 2018 to 2022, while </w:t>
      </w:r>
      <w:proofErr w:type="spellStart"/>
      <w:r w:rsidRPr="00ED07F3">
        <w:rPr>
          <w:sz w:val="24"/>
          <w:szCs w:val="24"/>
        </w:rPr>
        <w:t>Kitise</w:t>
      </w:r>
      <w:proofErr w:type="spellEnd"/>
      <w:r w:rsidRPr="00ED07F3">
        <w:rPr>
          <w:sz w:val="24"/>
          <w:szCs w:val="24"/>
        </w:rPr>
        <w:t>/</w:t>
      </w:r>
      <w:proofErr w:type="spellStart"/>
      <w:r w:rsidRPr="00ED07F3">
        <w:rPr>
          <w:sz w:val="24"/>
          <w:szCs w:val="24"/>
        </w:rPr>
        <w:t>Kithuki</w:t>
      </w:r>
      <w:proofErr w:type="spellEnd"/>
      <w:r w:rsidRPr="00ED07F3">
        <w:rPr>
          <w:sz w:val="24"/>
          <w:szCs w:val="24"/>
        </w:rPr>
        <w:t xml:space="preserve"> recorded the lowest private enrollment, totaling only 8 students.</w:t>
      </w:r>
    </w:p>
    <w:p w:rsidR="00ED07F3" w:rsidRPr="00ED07F3" w:rsidRDefault="00ED07F3" w:rsidP="00ED07F3">
      <w:pPr>
        <w:rPr>
          <w:sz w:val="24"/>
          <w:szCs w:val="24"/>
        </w:rPr>
      </w:pPr>
      <w:proofErr w:type="spellStart"/>
      <w:r w:rsidRPr="00ED07F3">
        <w:rPr>
          <w:sz w:val="24"/>
          <w:szCs w:val="24"/>
        </w:rPr>
        <w:t>Wote</w:t>
      </w:r>
      <w:proofErr w:type="spellEnd"/>
      <w:r w:rsidRPr="00ED07F3">
        <w:rPr>
          <w:sz w:val="24"/>
          <w:szCs w:val="24"/>
        </w:rPr>
        <w:t>/</w:t>
      </w:r>
      <w:proofErr w:type="spellStart"/>
      <w:r w:rsidRPr="00ED07F3">
        <w:rPr>
          <w:sz w:val="24"/>
          <w:szCs w:val="24"/>
        </w:rPr>
        <w:t>Nziu</w:t>
      </w:r>
      <w:proofErr w:type="spellEnd"/>
      <w:r w:rsidRPr="00ED07F3">
        <w:rPr>
          <w:sz w:val="24"/>
          <w:szCs w:val="24"/>
        </w:rPr>
        <w:t xml:space="preserve"> has the highest private enrollments across all the wards, with 5,217 enrollments over the five-year period.</w:t>
      </w:r>
    </w:p>
    <w:p w:rsidR="00ED07F3" w:rsidRPr="00ED07F3" w:rsidRDefault="00ED07F3" w:rsidP="00ED07F3">
      <w:pPr>
        <w:rPr>
          <w:color w:val="00B0F0"/>
          <w:sz w:val="28"/>
          <w:szCs w:val="28"/>
        </w:rPr>
      </w:pPr>
      <w:r w:rsidRPr="00ED07F3">
        <w:rPr>
          <w:color w:val="00B0F0"/>
          <w:sz w:val="28"/>
          <w:szCs w:val="28"/>
        </w:rPr>
        <w:t>Proportions of Public vs Private Enrollment (2018–2022)</w:t>
      </w:r>
    </w:p>
    <w:p w:rsidR="00ED07F3" w:rsidRPr="00ED07F3" w:rsidRDefault="00ED07F3" w:rsidP="00ED07F3">
      <w:pPr>
        <w:rPr>
          <w:sz w:val="24"/>
          <w:szCs w:val="24"/>
        </w:rPr>
      </w:pPr>
      <w:r w:rsidRPr="00ED07F3">
        <w:rPr>
          <w:sz w:val="24"/>
          <w:szCs w:val="24"/>
        </w:rPr>
        <w:t>Public enrollments consistently outnumber private enrollments across all wards. The proportions of public vs. private enrollment are as follows:</w:t>
      </w:r>
    </w:p>
    <w:p w:rsidR="00ED07F3" w:rsidRPr="00ED07F3" w:rsidRDefault="00ED07F3" w:rsidP="00ED07F3">
      <w:pPr>
        <w:rPr>
          <w:sz w:val="24"/>
          <w:szCs w:val="24"/>
        </w:rPr>
      </w:pPr>
      <w:r w:rsidRPr="00ED07F3">
        <w:rPr>
          <w:sz w:val="24"/>
          <w:szCs w:val="24"/>
        </w:rPr>
        <w:t>Public Enrollment: 79.74%</w:t>
      </w:r>
    </w:p>
    <w:p w:rsidR="00ED07F3" w:rsidRPr="00ED07F3" w:rsidRDefault="00ED07F3" w:rsidP="00ED07F3">
      <w:pPr>
        <w:rPr>
          <w:sz w:val="24"/>
          <w:szCs w:val="24"/>
        </w:rPr>
      </w:pPr>
      <w:r w:rsidRPr="00ED07F3">
        <w:rPr>
          <w:sz w:val="24"/>
          <w:szCs w:val="24"/>
        </w:rPr>
        <w:t>Private Enrollment: 20.26%</w:t>
      </w:r>
    </w:p>
    <w:p w:rsidR="00ED07F3" w:rsidRPr="00ED07F3" w:rsidRDefault="00ED07F3" w:rsidP="00ED07F3">
      <w:pPr>
        <w:rPr>
          <w:sz w:val="24"/>
          <w:szCs w:val="24"/>
        </w:rPr>
      </w:pPr>
      <w:r w:rsidRPr="00ED07F3">
        <w:rPr>
          <w:sz w:val="24"/>
          <w:szCs w:val="24"/>
        </w:rPr>
        <w:t>These figures emphasize the dominance of public ECDE centers, with private enrollments making up a smaller fraction of the total enrollments.</w:t>
      </w:r>
    </w:p>
    <w:p w:rsidR="00ED07F3" w:rsidRPr="00ED07F3" w:rsidRDefault="00ED07F3" w:rsidP="00ED07F3">
      <w:pPr>
        <w:rPr>
          <w:color w:val="00B0F0"/>
          <w:sz w:val="28"/>
          <w:szCs w:val="28"/>
        </w:rPr>
      </w:pPr>
      <w:r w:rsidRPr="00ED07F3">
        <w:rPr>
          <w:color w:val="00B0F0"/>
          <w:sz w:val="28"/>
          <w:szCs w:val="28"/>
        </w:rPr>
        <w:t>Visual Representation</w:t>
      </w:r>
    </w:p>
    <w:p w:rsidR="00ED07F3" w:rsidRPr="00B44944" w:rsidRDefault="00ED07F3" w:rsidP="00ED07F3">
      <w:pPr>
        <w:rPr>
          <w:b/>
          <w:bCs/>
          <w:sz w:val="28"/>
          <w:szCs w:val="28"/>
        </w:rPr>
      </w:pPr>
      <w:r w:rsidRPr="00B44944">
        <w:rPr>
          <w:b/>
          <w:bCs/>
          <w:sz w:val="28"/>
          <w:szCs w:val="28"/>
        </w:rPr>
        <w:t>Bar Plot: Public vs Private Enrollment by Ward (2018–2022)</w:t>
      </w:r>
    </w:p>
    <w:p w:rsidR="00ED07F3" w:rsidRPr="00ED07F3" w:rsidRDefault="00ED07F3" w:rsidP="00ED07F3">
      <w:pPr>
        <w:rPr>
          <w:sz w:val="24"/>
          <w:szCs w:val="24"/>
        </w:rPr>
      </w:pPr>
      <w:r w:rsidRPr="00ED07F3">
        <w:rPr>
          <w:sz w:val="24"/>
          <w:szCs w:val="24"/>
        </w:rPr>
        <w:t>The following plot represents the distribution of public and private enrollments across the seven wards, highlighting the difference in public and private enrollments.</w:t>
      </w:r>
    </w:p>
    <w:p w:rsidR="00ED07F3" w:rsidRPr="00ED07F3" w:rsidRDefault="00ED07F3" w:rsidP="00ED07F3">
      <w:pPr>
        <w:rPr>
          <w:sz w:val="24"/>
          <w:szCs w:val="24"/>
        </w:rPr>
      </w:pPr>
      <w:r w:rsidRPr="00ED07F3">
        <w:rPr>
          <w:sz w:val="24"/>
          <w:szCs w:val="24"/>
        </w:rPr>
        <w:t>Public enrollments far surpass private enrollments in all wards.</w:t>
      </w:r>
    </w:p>
    <w:p w:rsidR="00ED07F3" w:rsidRDefault="00ED07F3" w:rsidP="00ED07F3">
      <w:pPr>
        <w:rPr>
          <w:sz w:val="24"/>
          <w:szCs w:val="24"/>
        </w:rPr>
      </w:pPr>
      <w:proofErr w:type="spellStart"/>
      <w:r w:rsidRPr="00ED07F3">
        <w:rPr>
          <w:sz w:val="24"/>
          <w:szCs w:val="24"/>
        </w:rPr>
        <w:t>Wote</w:t>
      </w:r>
      <w:proofErr w:type="spellEnd"/>
      <w:r w:rsidRPr="00ED07F3">
        <w:rPr>
          <w:sz w:val="24"/>
          <w:szCs w:val="24"/>
        </w:rPr>
        <w:t>/</w:t>
      </w:r>
      <w:proofErr w:type="spellStart"/>
      <w:r w:rsidRPr="00ED07F3">
        <w:rPr>
          <w:sz w:val="24"/>
          <w:szCs w:val="24"/>
        </w:rPr>
        <w:t>Nziu</w:t>
      </w:r>
      <w:proofErr w:type="spellEnd"/>
      <w:r w:rsidRPr="00ED07F3">
        <w:rPr>
          <w:sz w:val="24"/>
          <w:szCs w:val="24"/>
        </w:rPr>
        <w:t xml:space="preserve"> and </w:t>
      </w:r>
      <w:proofErr w:type="spellStart"/>
      <w:r w:rsidRPr="00ED07F3">
        <w:rPr>
          <w:sz w:val="24"/>
          <w:szCs w:val="24"/>
        </w:rPr>
        <w:t>Nzaui</w:t>
      </w:r>
      <w:proofErr w:type="spellEnd"/>
      <w:r w:rsidRPr="00ED07F3">
        <w:rPr>
          <w:sz w:val="24"/>
          <w:szCs w:val="24"/>
        </w:rPr>
        <w:t>/Kilili/</w:t>
      </w:r>
      <w:proofErr w:type="spellStart"/>
      <w:r w:rsidRPr="00ED07F3">
        <w:rPr>
          <w:sz w:val="24"/>
          <w:szCs w:val="24"/>
        </w:rPr>
        <w:t>Kalamba</w:t>
      </w:r>
      <w:proofErr w:type="spellEnd"/>
      <w:r w:rsidRPr="00ED07F3">
        <w:rPr>
          <w:sz w:val="24"/>
          <w:szCs w:val="24"/>
        </w:rPr>
        <w:t xml:space="preserve"> show higher private enrollment levels compared to other wards, but public enrollments still dominate.</w:t>
      </w:r>
    </w:p>
    <w:p w:rsidR="00B44944" w:rsidRPr="00ED07F3" w:rsidRDefault="00B44944" w:rsidP="00ED07F3">
      <w:pPr>
        <w:rPr>
          <w:sz w:val="24"/>
          <w:szCs w:val="24"/>
        </w:rPr>
      </w:pPr>
      <w:r w:rsidRPr="00B44944">
        <w:rPr>
          <w:noProof/>
          <w:sz w:val="24"/>
          <w:szCs w:val="24"/>
        </w:rPr>
        <w:lastRenderedPageBreak/>
        <w:drawing>
          <wp:inline distT="0" distB="0" distL="0" distR="0">
            <wp:extent cx="4732020" cy="472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D07F3" w:rsidRPr="00B44944" w:rsidRDefault="00ED07F3" w:rsidP="00ED07F3">
      <w:pPr>
        <w:rPr>
          <w:color w:val="00B0F0"/>
          <w:sz w:val="28"/>
          <w:szCs w:val="28"/>
        </w:rPr>
      </w:pPr>
      <w:r w:rsidRPr="00B44944">
        <w:rPr>
          <w:color w:val="00B0F0"/>
          <w:sz w:val="28"/>
          <w:szCs w:val="28"/>
        </w:rPr>
        <w:t>Pie Charts: Public vs Private Enrollment by Ward</w:t>
      </w:r>
    </w:p>
    <w:p w:rsidR="00ED07F3" w:rsidRPr="00ED07F3" w:rsidRDefault="00B44944" w:rsidP="00ED07F3">
      <w:pPr>
        <w:rPr>
          <w:sz w:val="24"/>
          <w:szCs w:val="24"/>
        </w:rPr>
      </w:pPr>
      <w:r w:rsidRPr="00B44944">
        <w:rPr>
          <w:noProof/>
          <w:sz w:val="24"/>
          <w:szCs w:val="24"/>
        </w:rPr>
        <w:lastRenderedPageBreak/>
        <w:drawing>
          <wp:inline distT="0" distB="0" distL="0" distR="0">
            <wp:extent cx="4732020" cy="47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B44944" w:rsidRDefault="00B44944" w:rsidP="00ED07F3">
      <w:pPr>
        <w:rPr>
          <w:sz w:val="24"/>
          <w:szCs w:val="24"/>
        </w:rPr>
      </w:pPr>
      <w:r w:rsidRPr="00B44944">
        <w:rPr>
          <w:noProof/>
          <w:sz w:val="24"/>
          <w:szCs w:val="24"/>
        </w:rPr>
        <w:lastRenderedPageBreak/>
        <w:drawing>
          <wp:inline distT="0" distB="0" distL="0" distR="0">
            <wp:extent cx="4732020" cy="472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B44944" w:rsidRDefault="00B44944" w:rsidP="00ED07F3">
      <w:pPr>
        <w:rPr>
          <w:sz w:val="24"/>
          <w:szCs w:val="24"/>
        </w:rPr>
      </w:pPr>
      <w:r w:rsidRPr="00B44944">
        <w:rPr>
          <w:noProof/>
          <w:sz w:val="24"/>
          <w:szCs w:val="24"/>
        </w:rPr>
        <w:lastRenderedPageBreak/>
        <w:drawing>
          <wp:inline distT="0" distB="0" distL="0" distR="0">
            <wp:extent cx="4732020"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B44944" w:rsidRDefault="00B44944" w:rsidP="00ED07F3">
      <w:pPr>
        <w:rPr>
          <w:sz w:val="24"/>
          <w:szCs w:val="24"/>
        </w:rPr>
      </w:pPr>
      <w:r w:rsidRPr="00B44944">
        <w:rPr>
          <w:noProof/>
          <w:sz w:val="24"/>
          <w:szCs w:val="24"/>
        </w:rPr>
        <w:lastRenderedPageBreak/>
        <w:drawing>
          <wp:inline distT="0" distB="0" distL="0" distR="0">
            <wp:extent cx="4732020" cy="4726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E05A0" w:rsidRDefault="00EE05A0" w:rsidP="00ED07F3">
      <w:pPr>
        <w:rPr>
          <w:sz w:val="24"/>
          <w:szCs w:val="24"/>
        </w:rPr>
      </w:pPr>
      <w:r w:rsidRPr="00EE05A0">
        <w:rPr>
          <w:noProof/>
          <w:sz w:val="24"/>
          <w:szCs w:val="24"/>
        </w:rPr>
        <w:lastRenderedPageBreak/>
        <w:drawing>
          <wp:inline distT="0" distB="0" distL="0" distR="0">
            <wp:extent cx="4732020" cy="4726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E05A0" w:rsidRDefault="00EE05A0" w:rsidP="00ED07F3">
      <w:pPr>
        <w:rPr>
          <w:sz w:val="24"/>
          <w:szCs w:val="24"/>
        </w:rPr>
      </w:pPr>
      <w:r w:rsidRPr="00EE05A0">
        <w:rPr>
          <w:noProof/>
          <w:sz w:val="24"/>
          <w:szCs w:val="24"/>
        </w:rPr>
        <w:lastRenderedPageBreak/>
        <w:drawing>
          <wp:inline distT="0" distB="0" distL="0" distR="0">
            <wp:extent cx="4732020" cy="4726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E05A0" w:rsidRDefault="00EE05A0" w:rsidP="00ED07F3">
      <w:pPr>
        <w:rPr>
          <w:sz w:val="24"/>
          <w:szCs w:val="24"/>
        </w:rPr>
      </w:pPr>
      <w:r w:rsidRPr="00EE05A0">
        <w:rPr>
          <w:noProof/>
          <w:sz w:val="24"/>
          <w:szCs w:val="24"/>
        </w:rPr>
        <w:lastRenderedPageBreak/>
        <w:drawing>
          <wp:inline distT="0" distB="0" distL="0" distR="0">
            <wp:extent cx="4732020" cy="472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E05A0" w:rsidRDefault="00EE05A0" w:rsidP="00ED07F3">
      <w:pPr>
        <w:rPr>
          <w:sz w:val="24"/>
          <w:szCs w:val="24"/>
        </w:rPr>
      </w:pPr>
      <w:r w:rsidRPr="00EE05A0">
        <w:rPr>
          <w:noProof/>
          <w:sz w:val="24"/>
          <w:szCs w:val="24"/>
        </w:rPr>
        <w:lastRenderedPageBreak/>
        <w:drawing>
          <wp:inline distT="0" distB="0" distL="0" distR="0">
            <wp:extent cx="4732020" cy="472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D07F3" w:rsidRPr="00ED07F3" w:rsidRDefault="00ED07F3" w:rsidP="00ED07F3">
      <w:pPr>
        <w:rPr>
          <w:sz w:val="24"/>
          <w:szCs w:val="24"/>
        </w:rPr>
      </w:pPr>
      <w:r w:rsidRPr="00ED07F3">
        <w:rPr>
          <w:sz w:val="24"/>
          <w:szCs w:val="24"/>
        </w:rPr>
        <w:t xml:space="preserve">These pie charts highlight the significant disparity between public and private enrollments, particularly in wards like </w:t>
      </w:r>
      <w:proofErr w:type="spellStart"/>
      <w:r w:rsidRPr="00ED07F3">
        <w:rPr>
          <w:sz w:val="24"/>
          <w:szCs w:val="24"/>
        </w:rPr>
        <w:t>Kitise</w:t>
      </w:r>
      <w:proofErr w:type="spellEnd"/>
      <w:r w:rsidRPr="00ED07F3">
        <w:rPr>
          <w:sz w:val="24"/>
          <w:szCs w:val="24"/>
        </w:rPr>
        <w:t>/</w:t>
      </w:r>
      <w:proofErr w:type="spellStart"/>
      <w:r w:rsidRPr="00ED07F3">
        <w:rPr>
          <w:sz w:val="24"/>
          <w:szCs w:val="24"/>
        </w:rPr>
        <w:t>Kithuki</w:t>
      </w:r>
      <w:proofErr w:type="spellEnd"/>
      <w:r w:rsidRPr="00ED07F3">
        <w:rPr>
          <w:sz w:val="24"/>
          <w:szCs w:val="24"/>
        </w:rPr>
        <w:t>, where private enrollment is almost negligible.</w:t>
      </w:r>
    </w:p>
    <w:p w:rsidR="00ED07F3" w:rsidRPr="00600190" w:rsidRDefault="00ED07F3" w:rsidP="00ED07F3">
      <w:pPr>
        <w:rPr>
          <w:color w:val="00B0F0"/>
          <w:sz w:val="28"/>
          <w:szCs w:val="28"/>
        </w:rPr>
      </w:pPr>
      <w:r w:rsidRPr="00600190">
        <w:rPr>
          <w:color w:val="00B0F0"/>
          <w:sz w:val="28"/>
          <w:szCs w:val="28"/>
        </w:rPr>
        <w:t>Correlation Analysis</w:t>
      </w:r>
    </w:p>
    <w:p w:rsidR="00ED07F3" w:rsidRPr="00600190" w:rsidRDefault="00ED07F3" w:rsidP="00ED07F3">
      <w:pPr>
        <w:rPr>
          <w:b/>
          <w:bCs/>
          <w:sz w:val="28"/>
          <w:szCs w:val="28"/>
        </w:rPr>
      </w:pPr>
      <w:r w:rsidRPr="00600190">
        <w:rPr>
          <w:b/>
          <w:bCs/>
          <w:sz w:val="28"/>
          <w:szCs w:val="28"/>
        </w:rPr>
        <w:t>Correlation between Public and Private Enrollment (2018–2022)</w:t>
      </w:r>
    </w:p>
    <w:p w:rsidR="00ED07F3" w:rsidRPr="00ED07F3" w:rsidRDefault="00ED07F3" w:rsidP="00ED07F3">
      <w:pPr>
        <w:rPr>
          <w:sz w:val="24"/>
          <w:szCs w:val="24"/>
        </w:rPr>
      </w:pPr>
      <w:r w:rsidRPr="00ED07F3">
        <w:rPr>
          <w:sz w:val="24"/>
          <w:szCs w:val="24"/>
        </w:rPr>
        <w:t xml:space="preserve">The correlation coefficient between public and private enrollments across all seven wards is </w:t>
      </w:r>
      <w:r w:rsidR="00A45771" w:rsidRPr="00A45771">
        <w:rPr>
          <w:sz w:val="24"/>
          <w:szCs w:val="24"/>
        </w:rPr>
        <w:t>-0.5001</w:t>
      </w:r>
      <w:r w:rsidRPr="00ED07F3">
        <w:rPr>
          <w:sz w:val="24"/>
          <w:szCs w:val="24"/>
        </w:rPr>
        <w:t>, indicating a weak positive correlation. This suggests that there is little relationship between the rise or fall of public enrollments and private enrollments, meaning that variations in public enrollments do not strongly predict changes in private enrollments.</w:t>
      </w:r>
    </w:p>
    <w:p w:rsidR="00ED07F3" w:rsidRPr="00A45771" w:rsidRDefault="00ED07F3" w:rsidP="00ED07F3">
      <w:pPr>
        <w:rPr>
          <w:color w:val="00B0F0"/>
          <w:sz w:val="28"/>
          <w:szCs w:val="28"/>
        </w:rPr>
      </w:pPr>
      <w:r w:rsidRPr="00A45771">
        <w:rPr>
          <w:color w:val="00B0F0"/>
          <w:sz w:val="28"/>
          <w:szCs w:val="28"/>
        </w:rPr>
        <w:t>Scatter Plots</w:t>
      </w:r>
    </w:p>
    <w:p w:rsidR="00ED07F3" w:rsidRPr="00A45771" w:rsidRDefault="00ED07F3" w:rsidP="00ED07F3">
      <w:pPr>
        <w:rPr>
          <w:b/>
          <w:bCs/>
          <w:sz w:val="28"/>
          <w:szCs w:val="28"/>
        </w:rPr>
      </w:pPr>
      <w:r w:rsidRPr="00A45771">
        <w:rPr>
          <w:b/>
          <w:bCs/>
          <w:sz w:val="28"/>
          <w:szCs w:val="28"/>
        </w:rPr>
        <w:t>Public vs Private Enrollment</w:t>
      </w:r>
    </w:p>
    <w:p w:rsidR="00ED07F3" w:rsidRDefault="00ED07F3" w:rsidP="00ED07F3">
      <w:pPr>
        <w:rPr>
          <w:sz w:val="24"/>
          <w:szCs w:val="24"/>
        </w:rPr>
      </w:pPr>
      <w:r w:rsidRPr="00ED07F3">
        <w:rPr>
          <w:sz w:val="24"/>
          <w:szCs w:val="24"/>
        </w:rPr>
        <w:t>The scatter plot of public versus private enrollment for the seven wards shows a slight upward trend, indicating that in some cases, an increase in public enrollment correlates with a slight increase in private enrollment, though this is not strongly evident in the data.</w:t>
      </w:r>
    </w:p>
    <w:p w:rsidR="00A45771" w:rsidRPr="00ED07F3" w:rsidRDefault="00A45771" w:rsidP="00ED07F3">
      <w:pPr>
        <w:rPr>
          <w:sz w:val="24"/>
          <w:szCs w:val="24"/>
        </w:rPr>
      </w:pPr>
      <w:r w:rsidRPr="00A45771">
        <w:rPr>
          <w:noProof/>
          <w:sz w:val="24"/>
          <w:szCs w:val="24"/>
        </w:rPr>
        <w:lastRenderedPageBreak/>
        <w:drawing>
          <wp:inline distT="0" distB="0" distL="0" distR="0">
            <wp:extent cx="4732020" cy="4726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D07F3" w:rsidRPr="00A45771" w:rsidRDefault="00ED07F3" w:rsidP="00ED07F3">
      <w:pPr>
        <w:rPr>
          <w:b/>
          <w:bCs/>
          <w:sz w:val="28"/>
          <w:szCs w:val="28"/>
        </w:rPr>
      </w:pPr>
      <w:r w:rsidRPr="00A45771">
        <w:rPr>
          <w:b/>
          <w:bCs/>
          <w:sz w:val="28"/>
          <w:szCs w:val="28"/>
        </w:rPr>
        <w:t>Public vs Total Enrollment</w:t>
      </w:r>
    </w:p>
    <w:p w:rsidR="00ED07F3" w:rsidRDefault="00ED07F3" w:rsidP="00ED07F3">
      <w:pPr>
        <w:rPr>
          <w:sz w:val="24"/>
          <w:szCs w:val="24"/>
        </w:rPr>
      </w:pPr>
      <w:r w:rsidRPr="00ED07F3">
        <w:rPr>
          <w:sz w:val="24"/>
          <w:szCs w:val="24"/>
        </w:rPr>
        <w:t>The scatter plot shows a stronger upward trend, indicating that public enrollment contributes heavily to the overall enrollment numbers. This further highlights the importance of public ECDE centers in Makueni Sub-County.</w:t>
      </w:r>
    </w:p>
    <w:p w:rsidR="00A45771" w:rsidRPr="00ED07F3" w:rsidRDefault="00A45771" w:rsidP="00ED07F3">
      <w:pPr>
        <w:rPr>
          <w:sz w:val="24"/>
          <w:szCs w:val="24"/>
        </w:rPr>
      </w:pPr>
      <w:r w:rsidRPr="00A45771">
        <w:rPr>
          <w:noProof/>
          <w:sz w:val="24"/>
          <w:szCs w:val="24"/>
        </w:rPr>
        <w:lastRenderedPageBreak/>
        <w:drawing>
          <wp:inline distT="0" distB="0" distL="0" distR="0">
            <wp:extent cx="4732020" cy="4726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D07F3" w:rsidRPr="00A45771" w:rsidRDefault="00ED07F3" w:rsidP="00ED07F3">
      <w:pPr>
        <w:rPr>
          <w:b/>
          <w:bCs/>
          <w:sz w:val="28"/>
          <w:szCs w:val="28"/>
        </w:rPr>
      </w:pPr>
      <w:r w:rsidRPr="00A45771">
        <w:rPr>
          <w:b/>
          <w:bCs/>
          <w:sz w:val="28"/>
          <w:szCs w:val="28"/>
        </w:rPr>
        <w:t>Private vs Total Enrollment</w:t>
      </w:r>
    </w:p>
    <w:p w:rsidR="00ED07F3" w:rsidRDefault="00ED07F3" w:rsidP="00ED07F3">
      <w:pPr>
        <w:rPr>
          <w:sz w:val="24"/>
          <w:szCs w:val="24"/>
        </w:rPr>
      </w:pPr>
      <w:r w:rsidRPr="00ED07F3">
        <w:rPr>
          <w:sz w:val="24"/>
          <w:szCs w:val="24"/>
        </w:rPr>
        <w:t>The scatter plot shows a weaker correlation between private and total enrollments. While private enrollment contributes to total enrollment, its impact is considerably smaller than that of public enrollment.</w:t>
      </w:r>
    </w:p>
    <w:p w:rsidR="00A45771" w:rsidRPr="00ED07F3" w:rsidRDefault="00A45771" w:rsidP="00ED07F3">
      <w:pPr>
        <w:rPr>
          <w:sz w:val="24"/>
          <w:szCs w:val="24"/>
        </w:rPr>
      </w:pPr>
      <w:r w:rsidRPr="00A45771">
        <w:rPr>
          <w:noProof/>
          <w:sz w:val="24"/>
          <w:szCs w:val="24"/>
        </w:rPr>
        <w:lastRenderedPageBreak/>
        <w:drawing>
          <wp:inline distT="0" distB="0" distL="0" distR="0">
            <wp:extent cx="4732020" cy="4726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ED07F3" w:rsidRPr="00A45771" w:rsidRDefault="00ED07F3" w:rsidP="00ED07F3">
      <w:pPr>
        <w:rPr>
          <w:color w:val="00B0F0"/>
          <w:sz w:val="28"/>
          <w:szCs w:val="28"/>
        </w:rPr>
      </w:pPr>
      <w:r w:rsidRPr="00A45771">
        <w:rPr>
          <w:color w:val="00B0F0"/>
          <w:sz w:val="28"/>
          <w:szCs w:val="28"/>
        </w:rPr>
        <w:t>Conclusion</w:t>
      </w:r>
    </w:p>
    <w:p w:rsidR="00ED07F3" w:rsidRPr="00ED07F3" w:rsidRDefault="00ED07F3" w:rsidP="00ED07F3">
      <w:pPr>
        <w:rPr>
          <w:sz w:val="24"/>
          <w:szCs w:val="24"/>
        </w:rPr>
      </w:pPr>
      <w:r w:rsidRPr="00ED07F3">
        <w:rPr>
          <w:sz w:val="24"/>
          <w:szCs w:val="24"/>
        </w:rPr>
        <w:t xml:space="preserve">The analysis of ECDE enrollments in Makueni Sub-County reveals that public enrollments dominate across all wards, with private enrollments playing a smaller, yet notable, role. </w:t>
      </w:r>
      <w:proofErr w:type="spellStart"/>
      <w:r w:rsidRPr="00ED07F3">
        <w:rPr>
          <w:sz w:val="24"/>
          <w:szCs w:val="24"/>
        </w:rPr>
        <w:t>Nzaui</w:t>
      </w:r>
      <w:proofErr w:type="spellEnd"/>
      <w:r w:rsidRPr="00ED07F3">
        <w:rPr>
          <w:sz w:val="24"/>
          <w:szCs w:val="24"/>
        </w:rPr>
        <w:t>/Kilili/</w:t>
      </w:r>
      <w:proofErr w:type="spellStart"/>
      <w:r w:rsidRPr="00ED07F3">
        <w:rPr>
          <w:sz w:val="24"/>
          <w:szCs w:val="24"/>
        </w:rPr>
        <w:t>Kalamba</w:t>
      </w:r>
      <w:proofErr w:type="spellEnd"/>
      <w:r w:rsidRPr="00ED07F3">
        <w:rPr>
          <w:sz w:val="24"/>
          <w:szCs w:val="24"/>
        </w:rPr>
        <w:t xml:space="preserve"> had the highest total enrollments, while </w:t>
      </w:r>
      <w:proofErr w:type="spellStart"/>
      <w:r w:rsidRPr="00ED07F3">
        <w:rPr>
          <w:sz w:val="24"/>
          <w:szCs w:val="24"/>
        </w:rPr>
        <w:t>Kitise</w:t>
      </w:r>
      <w:proofErr w:type="spellEnd"/>
      <w:r w:rsidRPr="00ED07F3">
        <w:rPr>
          <w:sz w:val="24"/>
          <w:szCs w:val="24"/>
        </w:rPr>
        <w:t>/</w:t>
      </w:r>
      <w:proofErr w:type="spellStart"/>
      <w:r w:rsidRPr="00ED07F3">
        <w:rPr>
          <w:sz w:val="24"/>
          <w:szCs w:val="24"/>
        </w:rPr>
        <w:t>Kithuki</w:t>
      </w:r>
      <w:proofErr w:type="spellEnd"/>
      <w:r w:rsidRPr="00ED07F3">
        <w:rPr>
          <w:sz w:val="24"/>
          <w:szCs w:val="24"/>
        </w:rPr>
        <w:t xml:space="preserve"> had the lowest private enrollments.</w:t>
      </w:r>
    </w:p>
    <w:p w:rsidR="00ED07F3" w:rsidRPr="00ED07F3" w:rsidRDefault="00ED07F3" w:rsidP="00ED07F3">
      <w:pPr>
        <w:rPr>
          <w:sz w:val="24"/>
          <w:szCs w:val="24"/>
        </w:rPr>
      </w:pPr>
      <w:r w:rsidRPr="00ED07F3">
        <w:rPr>
          <w:sz w:val="24"/>
          <w:szCs w:val="24"/>
        </w:rPr>
        <w:t>The weak correlation between public and private enrollments suggests that public enrollments are not a strong indicator of private enrollments. Overall, the data reflects the reliance on public ECDE centers in Makueni Sub-County, with private enrollments contributing less to the total.</w:t>
      </w:r>
    </w:p>
    <w:p w:rsidR="00B67746" w:rsidRDefault="00A45771" w:rsidP="00ED07F3"/>
    <w:sectPr w:rsidR="00B6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A6F5C"/>
    <w:multiLevelType w:val="multilevel"/>
    <w:tmpl w:val="FC0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97309"/>
    <w:multiLevelType w:val="multilevel"/>
    <w:tmpl w:val="D42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50948"/>
    <w:multiLevelType w:val="multilevel"/>
    <w:tmpl w:val="930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51344"/>
    <w:multiLevelType w:val="multilevel"/>
    <w:tmpl w:val="7832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5030A"/>
    <w:multiLevelType w:val="multilevel"/>
    <w:tmpl w:val="A7B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F3"/>
    <w:rsid w:val="00415241"/>
    <w:rsid w:val="00600190"/>
    <w:rsid w:val="00A45771"/>
    <w:rsid w:val="00B44944"/>
    <w:rsid w:val="00E15601"/>
    <w:rsid w:val="00ED07F3"/>
    <w:rsid w:val="00EE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430F"/>
  <w15:chartTrackingRefBased/>
  <w15:docId w15:val="{D3BB9711-C244-40FB-9C87-25FA3C60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0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07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D07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7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07F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D07F3"/>
    <w:rPr>
      <w:rFonts w:ascii="Times New Roman" w:eastAsia="Times New Roman" w:hAnsi="Times New Roman" w:cs="Times New Roman"/>
      <w:b/>
      <w:bCs/>
      <w:sz w:val="20"/>
      <w:szCs w:val="20"/>
    </w:rPr>
  </w:style>
  <w:style w:type="character" w:styleId="Strong">
    <w:name w:val="Strong"/>
    <w:basedOn w:val="DefaultParagraphFont"/>
    <w:uiPriority w:val="22"/>
    <w:qFormat/>
    <w:rsid w:val="00ED07F3"/>
    <w:rPr>
      <w:b/>
      <w:bCs/>
    </w:rPr>
  </w:style>
  <w:style w:type="paragraph" w:styleId="NormalWeb">
    <w:name w:val="Normal (Web)"/>
    <w:basedOn w:val="Normal"/>
    <w:uiPriority w:val="99"/>
    <w:semiHidden/>
    <w:unhideWhenUsed/>
    <w:rsid w:val="00ED0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ED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585310">
      <w:bodyDiv w:val="1"/>
      <w:marLeft w:val="0"/>
      <w:marRight w:val="0"/>
      <w:marTop w:val="0"/>
      <w:marBottom w:val="0"/>
      <w:divBdr>
        <w:top w:val="none" w:sz="0" w:space="0" w:color="auto"/>
        <w:left w:val="none" w:sz="0" w:space="0" w:color="auto"/>
        <w:bottom w:val="none" w:sz="0" w:space="0" w:color="auto"/>
        <w:right w:val="none" w:sz="0" w:space="0" w:color="auto"/>
      </w:divBdr>
      <w:divsChild>
        <w:div w:id="1161041798">
          <w:marLeft w:val="0"/>
          <w:marRight w:val="0"/>
          <w:marTop w:val="0"/>
          <w:marBottom w:val="0"/>
          <w:divBdr>
            <w:top w:val="none" w:sz="0" w:space="0" w:color="auto"/>
            <w:left w:val="none" w:sz="0" w:space="0" w:color="auto"/>
            <w:bottom w:val="none" w:sz="0" w:space="0" w:color="auto"/>
            <w:right w:val="none" w:sz="0" w:space="0" w:color="auto"/>
          </w:divBdr>
          <w:divsChild>
            <w:div w:id="77755795">
              <w:marLeft w:val="0"/>
              <w:marRight w:val="0"/>
              <w:marTop w:val="0"/>
              <w:marBottom w:val="0"/>
              <w:divBdr>
                <w:top w:val="none" w:sz="0" w:space="0" w:color="auto"/>
                <w:left w:val="none" w:sz="0" w:space="0" w:color="auto"/>
                <w:bottom w:val="none" w:sz="0" w:space="0" w:color="auto"/>
                <w:right w:val="none" w:sz="0" w:space="0" w:color="auto"/>
              </w:divBdr>
              <w:divsChild>
                <w:div w:id="1841508816">
                  <w:marLeft w:val="0"/>
                  <w:marRight w:val="0"/>
                  <w:marTop w:val="0"/>
                  <w:marBottom w:val="0"/>
                  <w:divBdr>
                    <w:top w:val="none" w:sz="0" w:space="0" w:color="auto"/>
                    <w:left w:val="none" w:sz="0" w:space="0" w:color="auto"/>
                    <w:bottom w:val="none" w:sz="0" w:space="0" w:color="auto"/>
                    <w:right w:val="none" w:sz="0" w:space="0" w:color="auto"/>
                  </w:divBdr>
                  <w:divsChild>
                    <w:div w:id="20275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888">
          <w:marLeft w:val="0"/>
          <w:marRight w:val="0"/>
          <w:marTop w:val="0"/>
          <w:marBottom w:val="0"/>
          <w:divBdr>
            <w:top w:val="none" w:sz="0" w:space="0" w:color="auto"/>
            <w:left w:val="none" w:sz="0" w:space="0" w:color="auto"/>
            <w:bottom w:val="none" w:sz="0" w:space="0" w:color="auto"/>
            <w:right w:val="none" w:sz="0" w:space="0" w:color="auto"/>
          </w:divBdr>
          <w:divsChild>
            <w:div w:id="1806242139">
              <w:marLeft w:val="0"/>
              <w:marRight w:val="0"/>
              <w:marTop w:val="0"/>
              <w:marBottom w:val="0"/>
              <w:divBdr>
                <w:top w:val="none" w:sz="0" w:space="0" w:color="auto"/>
                <w:left w:val="none" w:sz="0" w:space="0" w:color="auto"/>
                <w:bottom w:val="none" w:sz="0" w:space="0" w:color="auto"/>
                <w:right w:val="none" w:sz="0" w:space="0" w:color="auto"/>
              </w:divBdr>
              <w:divsChild>
                <w:div w:id="1040128848">
                  <w:marLeft w:val="0"/>
                  <w:marRight w:val="0"/>
                  <w:marTop w:val="0"/>
                  <w:marBottom w:val="0"/>
                  <w:divBdr>
                    <w:top w:val="none" w:sz="0" w:space="0" w:color="auto"/>
                    <w:left w:val="none" w:sz="0" w:space="0" w:color="auto"/>
                    <w:bottom w:val="none" w:sz="0" w:space="0" w:color="auto"/>
                    <w:right w:val="none" w:sz="0" w:space="0" w:color="auto"/>
                  </w:divBdr>
                  <w:divsChild>
                    <w:div w:id="498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Jonathan</dc:creator>
  <cp:keywords/>
  <dc:description/>
  <cp:lastModifiedBy>Ronald Jonathan</cp:lastModifiedBy>
  <cp:revision>1</cp:revision>
  <dcterms:created xsi:type="dcterms:W3CDTF">2024-09-19T06:00:00Z</dcterms:created>
  <dcterms:modified xsi:type="dcterms:W3CDTF">2024-09-19T06:52:00Z</dcterms:modified>
</cp:coreProperties>
</file>