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00C8" w:rsidRPr="002E00C8" w:rsidRDefault="002E00C8" w:rsidP="002E00C8">
      <w:pPr>
        <w:rPr>
          <w:b/>
          <w:bCs/>
          <w:sz w:val="32"/>
          <w:szCs w:val="32"/>
        </w:rPr>
      </w:pPr>
      <w:r w:rsidRPr="002E00C8">
        <w:rPr>
          <w:b/>
          <w:bCs/>
          <w:sz w:val="32"/>
          <w:szCs w:val="32"/>
        </w:rPr>
        <w:t xml:space="preserve">Report on ECDE Enrollment Trends in </w:t>
      </w:r>
      <w:proofErr w:type="spellStart"/>
      <w:r w:rsidRPr="002E00C8">
        <w:rPr>
          <w:b/>
          <w:bCs/>
          <w:sz w:val="32"/>
          <w:szCs w:val="32"/>
        </w:rPr>
        <w:t>Mbooni</w:t>
      </w:r>
      <w:proofErr w:type="spellEnd"/>
      <w:r w:rsidRPr="002E00C8">
        <w:rPr>
          <w:b/>
          <w:bCs/>
          <w:sz w:val="32"/>
          <w:szCs w:val="32"/>
        </w:rPr>
        <w:t xml:space="preserve"> Sub-County (2018–2022)</w:t>
      </w:r>
    </w:p>
    <w:p w:rsidR="002E00C8" w:rsidRPr="002E00C8" w:rsidRDefault="002E00C8" w:rsidP="002E00C8">
      <w:pPr>
        <w:rPr>
          <w:b/>
          <w:bCs/>
          <w:sz w:val="28"/>
          <w:szCs w:val="28"/>
        </w:rPr>
      </w:pPr>
      <w:r w:rsidRPr="002E00C8">
        <w:rPr>
          <w:b/>
          <w:bCs/>
          <w:sz w:val="28"/>
          <w:szCs w:val="28"/>
        </w:rPr>
        <w:t>Introduction</w:t>
      </w:r>
    </w:p>
    <w:p w:rsidR="002E00C8" w:rsidRPr="002E00C8" w:rsidRDefault="002E00C8" w:rsidP="002E00C8">
      <w:pPr>
        <w:rPr>
          <w:sz w:val="24"/>
          <w:szCs w:val="24"/>
        </w:rPr>
      </w:pPr>
      <w:r w:rsidRPr="002E00C8">
        <w:rPr>
          <w:sz w:val="24"/>
          <w:szCs w:val="24"/>
        </w:rPr>
        <w:t xml:space="preserve">This report focuses on the analysis of ECDE enrollment data in </w:t>
      </w:r>
      <w:proofErr w:type="spellStart"/>
      <w:r w:rsidRPr="002E00C8">
        <w:rPr>
          <w:sz w:val="24"/>
          <w:szCs w:val="24"/>
        </w:rPr>
        <w:t>Mbooni</w:t>
      </w:r>
      <w:proofErr w:type="spellEnd"/>
      <w:r w:rsidRPr="002E00C8">
        <w:rPr>
          <w:sz w:val="24"/>
          <w:szCs w:val="24"/>
        </w:rPr>
        <w:t xml:space="preserve"> Sub-County for the wards of </w:t>
      </w:r>
      <w:proofErr w:type="spellStart"/>
      <w:r w:rsidRPr="002E00C8">
        <w:rPr>
          <w:sz w:val="24"/>
          <w:szCs w:val="24"/>
        </w:rPr>
        <w:t>Mbooni</w:t>
      </w:r>
      <w:proofErr w:type="spellEnd"/>
      <w:r w:rsidRPr="002E00C8">
        <w:rPr>
          <w:sz w:val="24"/>
          <w:szCs w:val="24"/>
        </w:rPr>
        <w:t xml:space="preserve">, </w:t>
      </w:r>
      <w:proofErr w:type="spellStart"/>
      <w:r w:rsidRPr="002E00C8">
        <w:rPr>
          <w:sz w:val="24"/>
          <w:szCs w:val="24"/>
        </w:rPr>
        <w:t>Tulimani</w:t>
      </w:r>
      <w:proofErr w:type="spellEnd"/>
      <w:r w:rsidRPr="002E00C8">
        <w:rPr>
          <w:sz w:val="24"/>
          <w:szCs w:val="24"/>
        </w:rPr>
        <w:t xml:space="preserve">, </w:t>
      </w:r>
      <w:proofErr w:type="spellStart"/>
      <w:r w:rsidRPr="002E00C8">
        <w:rPr>
          <w:sz w:val="24"/>
          <w:szCs w:val="24"/>
        </w:rPr>
        <w:t>Kithungo</w:t>
      </w:r>
      <w:proofErr w:type="spellEnd"/>
      <w:r w:rsidRPr="002E00C8">
        <w:rPr>
          <w:sz w:val="24"/>
          <w:szCs w:val="24"/>
        </w:rPr>
        <w:t>/</w:t>
      </w:r>
      <w:proofErr w:type="spellStart"/>
      <w:r w:rsidRPr="002E00C8">
        <w:rPr>
          <w:sz w:val="24"/>
          <w:szCs w:val="24"/>
        </w:rPr>
        <w:t>Kitundu</w:t>
      </w:r>
      <w:proofErr w:type="spellEnd"/>
      <w:r w:rsidRPr="002E00C8">
        <w:rPr>
          <w:sz w:val="24"/>
          <w:szCs w:val="24"/>
        </w:rPr>
        <w:t xml:space="preserve">, </w:t>
      </w:r>
      <w:proofErr w:type="spellStart"/>
      <w:r w:rsidRPr="002E00C8">
        <w:rPr>
          <w:sz w:val="24"/>
          <w:szCs w:val="24"/>
        </w:rPr>
        <w:t>Kalawa</w:t>
      </w:r>
      <w:proofErr w:type="spellEnd"/>
      <w:r w:rsidRPr="002E00C8">
        <w:rPr>
          <w:sz w:val="24"/>
          <w:szCs w:val="24"/>
        </w:rPr>
        <w:t xml:space="preserve">, </w:t>
      </w:r>
      <w:proofErr w:type="spellStart"/>
      <w:r w:rsidRPr="002E00C8">
        <w:rPr>
          <w:sz w:val="24"/>
          <w:szCs w:val="24"/>
        </w:rPr>
        <w:t>Kako</w:t>
      </w:r>
      <w:proofErr w:type="spellEnd"/>
      <w:r w:rsidRPr="002E00C8">
        <w:rPr>
          <w:sz w:val="24"/>
          <w:szCs w:val="24"/>
        </w:rPr>
        <w:t>/</w:t>
      </w:r>
      <w:proofErr w:type="spellStart"/>
      <w:r w:rsidRPr="002E00C8">
        <w:rPr>
          <w:sz w:val="24"/>
          <w:szCs w:val="24"/>
        </w:rPr>
        <w:t>Waia</w:t>
      </w:r>
      <w:proofErr w:type="spellEnd"/>
      <w:r w:rsidRPr="002E00C8">
        <w:rPr>
          <w:sz w:val="24"/>
          <w:szCs w:val="24"/>
        </w:rPr>
        <w:t xml:space="preserve">, and </w:t>
      </w:r>
      <w:proofErr w:type="spellStart"/>
      <w:r w:rsidRPr="002E00C8">
        <w:rPr>
          <w:sz w:val="24"/>
          <w:szCs w:val="24"/>
        </w:rPr>
        <w:t>Kisau</w:t>
      </w:r>
      <w:proofErr w:type="spellEnd"/>
      <w:r w:rsidRPr="002E00C8">
        <w:rPr>
          <w:sz w:val="24"/>
          <w:szCs w:val="24"/>
        </w:rPr>
        <w:t>/</w:t>
      </w:r>
      <w:proofErr w:type="spellStart"/>
      <w:r w:rsidRPr="002E00C8">
        <w:rPr>
          <w:sz w:val="24"/>
          <w:szCs w:val="24"/>
        </w:rPr>
        <w:t>Kiteta</w:t>
      </w:r>
      <w:proofErr w:type="spellEnd"/>
      <w:r w:rsidRPr="002E00C8">
        <w:rPr>
          <w:sz w:val="24"/>
          <w:szCs w:val="24"/>
        </w:rPr>
        <w:t>. The data encompasses both public and private enrollments from 2018 to 2022, aiming to identify trends in the number of enrollments and the relationship between public and private ECDE centers.</w:t>
      </w:r>
    </w:p>
    <w:p w:rsidR="002E00C8" w:rsidRPr="002E00C8" w:rsidRDefault="002E00C8" w:rsidP="002E00C8">
      <w:pPr>
        <w:rPr>
          <w:sz w:val="24"/>
          <w:szCs w:val="24"/>
        </w:rPr>
      </w:pPr>
      <w:r w:rsidRPr="002E00C8">
        <w:rPr>
          <w:sz w:val="24"/>
          <w:szCs w:val="24"/>
        </w:rPr>
        <w:t>Data Summary</w:t>
      </w:r>
    </w:p>
    <w:p w:rsidR="002E00C8" w:rsidRPr="002E00C8" w:rsidRDefault="002E00C8" w:rsidP="002E00C8">
      <w:pPr>
        <w:rPr>
          <w:sz w:val="24"/>
          <w:szCs w:val="24"/>
        </w:rPr>
      </w:pPr>
      <w:r w:rsidRPr="002E00C8">
        <w:rPr>
          <w:sz w:val="24"/>
          <w:szCs w:val="24"/>
        </w:rPr>
        <w:t>The dataset includes public, private, and total enrollments across the years 2018 to 2022 for each ward, which is summarized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1915"/>
        <w:gridCol w:w="2019"/>
        <w:gridCol w:w="1834"/>
      </w:tblGrid>
      <w:tr w:rsidR="002E00C8" w:rsidRPr="002E00C8" w:rsidTr="002E0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E00C8" w:rsidRPr="002E00C8" w:rsidRDefault="002E00C8" w:rsidP="002E00C8">
            <w:pPr>
              <w:rPr>
                <w:b/>
                <w:bCs/>
                <w:sz w:val="24"/>
                <w:szCs w:val="24"/>
              </w:rPr>
            </w:pPr>
            <w:r w:rsidRPr="002E00C8">
              <w:rPr>
                <w:b/>
                <w:bCs/>
                <w:sz w:val="24"/>
                <w:szCs w:val="24"/>
              </w:rPr>
              <w:t>Ward</w:t>
            </w:r>
          </w:p>
        </w:tc>
        <w:tc>
          <w:tcPr>
            <w:tcW w:w="0" w:type="auto"/>
            <w:vAlign w:val="center"/>
            <w:hideMark/>
          </w:tcPr>
          <w:p w:rsidR="002E00C8" w:rsidRPr="002E00C8" w:rsidRDefault="002E00C8" w:rsidP="002E00C8">
            <w:pPr>
              <w:rPr>
                <w:b/>
                <w:bCs/>
                <w:sz w:val="24"/>
                <w:szCs w:val="24"/>
              </w:rPr>
            </w:pPr>
            <w:r w:rsidRPr="002E00C8">
              <w:rPr>
                <w:b/>
                <w:bCs/>
                <w:sz w:val="24"/>
                <w:szCs w:val="24"/>
              </w:rPr>
              <w:t>Public (2018-2022)</w:t>
            </w:r>
          </w:p>
        </w:tc>
        <w:tc>
          <w:tcPr>
            <w:tcW w:w="0" w:type="auto"/>
            <w:vAlign w:val="center"/>
            <w:hideMark/>
          </w:tcPr>
          <w:p w:rsidR="002E00C8" w:rsidRPr="002E00C8" w:rsidRDefault="002E00C8" w:rsidP="002E00C8">
            <w:pPr>
              <w:rPr>
                <w:b/>
                <w:bCs/>
                <w:sz w:val="24"/>
                <w:szCs w:val="24"/>
              </w:rPr>
            </w:pPr>
            <w:r w:rsidRPr="002E00C8">
              <w:rPr>
                <w:b/>
                <w:bCs/>
                <w:sz w:val="24"/>
                <w:szCs w:val="24"/>
              </w:rPr>
              <w:t>Private (2018-2022)</w:t>
            </w:r>
          </w:p>
        </w:tc>
        <w:tc>
          <w:tcPr>
            <w:tcW w:w="0" w:type="auto"/>
            <w:vAlign w:val="center"/>
            <w:hideMark/>
          </w:tcPr>
          <w:p w:rsidR="002E00C8" w:rsidRPr="002E00C8" w:rsidRDefault="002E00C8" w:rsidP="002E00C8">
            <w:pPr>
              <w:rPr>
                <w:b/>
                <w:bCs/>
                <w:sz w:val="24"/>
                <w:szCs w:val="24"/>
              </w:rPr>
            </w:pPr>
            <w:r w:rsidRPr="002E00C8">
              <w:rPr>
                <w:b/>
                <w:bCs/>
                <w:sz w:val="24"/>
                <w:szCs w:val="24"/>
              </w:rPr>
              <w:t>Total (2018-2022)</w:t>
            </w:r>
          </w:p>
        </w:tc>
      </w:tr>
      <w:tr w:rsidR="002E00C8" w:rsidRPr="002E00C8" w:rsidTr="002E0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00C8" w:rsidRPr="002E00C8" w:rsidRDefault="002E00C8" w:rsidP="002E00C8">
            <w:pPr>
              <w:rPr>
                <w:sz w:val="24"/>
                <w:szCs w:val="24"/>
              </w:rPr>
            </w:pPr>
            <w:proofErr w:type="spellStart"/>
            <w:r w:rsidRPr="002E00C8">
              <w:rPr>
                <w:sz w:val="24"/>
                <w:szCs w:val="24"/>
              </w:rPr>
              <w:t>Mbooni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00C8" w:rsidRPr="002E00C8" w:rsidRDefault="002E00C8" w:rsidP="002E00C8">
            <w:pPr>
              <w:rPr>
                <w:sz w:val="24"/>
                <w:szCs w:val="24"/>
              </w:rPr>
            </w:pPr>
            <w:r w:rsidRPr="002E00C8">
              <w:rPr>
                <w:sz w:val="24"/>
                <w:szCs w:val="24"/>
              </w:rPr>
              <w:t>9,009</w:t>
            </w:r>
          </w:p>
        </w:tc>
        <w:tc>
          <w:tcPr>
            <w:tcW w:w="0" w:type="auto"/>
            <w:vAlign w:val="center"/>
            <w:hideMark/>
          </w:tcPr>
          <w:p w:rsidR="002E00C8" w:rsidRPr="002E00C8" w:rsidRDefault="002E00C8" w:rsidP="002E00C8">
            <w:pPr>
              <w:rPr>
                <w:sz w:val="24"/>
                <w:szCs w:val="24"/>
              </w:rPr>
            </w:pPr>
            <w:r w:rsidRPr="002E00C8">
              <w:rPr>
                <w:sz w:val="24"/>
                <w:szCs w:val="24"/>
              </w:rPr>
              <w:t>590</w:t>
            </w:r>
          </w:p>
        </w:tc>
        <w:tc>
          <w:tcPr>
            <w:tcW w:w="0" w:type="auto"/>
            <w:vAlign w:val="center"/>
            <w:hideMark/>
          </w:tcPr>
          <w:p w:rsidR="002E00C8" w:rsidRPr="002E00C8" w:rsidRDefault="002E00C8" w:rsidP="002E00C8">
            <w:pPr>
              <w:rPr>
                <w:sz w:val="24"/>
                <w:szCs w:val="24"/>
              </w:rPr>
            </w:pPr>
            <w:r w:rsidRPr="002E00C8">
              <w:rPr>
                <w:sz w:val="24"/>
                <w:szCs w:val="24"/>
              </w:rPr>
              <w:t>9,599</w:t>
            </w:r>
          </w:p>
        </w:tc>
      </w:tr>
      <w:tr w:rsidR="002E00C8" w:rsidRPr="002E00C8" w:rsidTr="002E0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00C8" w:rsidRPr="002E00C8" w:rsidRDefault="002E00C8" w:rsidP="002E00C8">
            <w:pPr>
              <w:rPr>
                <w:sz w:val="24"/>
                <w:szCs w:val="24"/>
              </w:rPr>
            </w:pPr>
            <w:proofErr w:type="spellStart"/>
            <w:r w:rsidRPr="002E00C8">
              <w:rPr>
                <w:sz w:val="24"/>
                <w:szCs w:val="24"/>
              </w:rPr>
              <w:t>Tulimani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00C8" w:rsidRPr="002E00C8" w:rsidRDefault="002E00C8" w:rsidP="002E00C8">
            <w:pPr>
              <w:rPr>
                <w:sz w:val="24"/>
                <w:szCs w:val="24"/>
              </w:rPr>
            </w:pPr>
            <w:r w:rsidRPr="002E00C8">
              <w:rPr>
                <w:sz w:val="24"/>
                <w:szCs w:val="24"/>
              </w:rPr>
              <w:t>7,094</w:t>
            </w:r>
          </w:p>
        </w:tc>
        <w:tc>
          <w:tcPr>
            <w:tcW w:w="0" w:type="auto"/>
            <w:vAlign w:val="center"/>
            <w:hideMark/>
          </w:tcPr>
          <w:p w:rsidR="002E00C8" w:rsidRPr="002E00C8" w:rsidRDefault="002E00C8" w:rsidP="002E00C8">
            <w:pPr>
              <w:rPr>
                <w:sz w:val="24"/>
                <w:szCs w:val="24"/>
              </w:rPr>
            </w:pPr>
            <w:r w:rsidRPr="002E00C8">
              <w:rPr>
                <w:sz w:val="24"/>
                <w:szCs w:val="24"/>
              </w:rPr>
              <w:t>677</w:t>
            </w:r>
          </w:p>
        </w:tc>
        <w:tc>
          <w:tcPr>
            <w:tcW w:w="0" w:type="auto"/>
            <w:vAlign w:val="center"/>
            <w:hideMark/>
          </w:tcPr>
          <w:p w:rsidR="002E00C8" w:rsidRPr="002E00C8" w:rsidRDefault="002E00C8" w:rsidP="002E00C8">
            <w:pPr>
              <w:rPr>
                <w:sz w:val="24"/>
                <w:szCs w:val="24"/>
              </w:rPr>
            </w:pPr>
            <w:r w:rsidRPr="002E00C8">
              <w:rPr>
                <w:sz w:val="24"/>
                <w:szCs w:val="24"/>
              </w:rPr>
              <w:t>7,771</w:t>
            </w:r>
          </w:p>
        </w:tc>
      </w:tr>
      <w:tr w:rsidR="002E00C8" w:rsidRPr="002E00C8" w:rsidTr="002E0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00C8" w:rsidRPr="002E00C8" w:rsidRDefault="002E00C8" w:rsidP="002E00C8">
            <w:pPr>
              <w:rPr>
                <w:sz w:val="24"/>
                <w:szCs w:val="24"/>
              </w:rPr>
            </w:pPr>
            <w:proofErr w:type="spellStart"/>
            <w:r w:rsidRPr="002E00C8">
              <w:rPr>
                <w:sz w:val="24"/>
                <w:szCs w:val="24"/>
              </w:rPr>
              <w:t>Kithungo</w:t>
            </w:r>
            <w:proofErr w:type="spellEnd"/>
            <w:r w:rsidRPr="002E00C8">
              <w:rPr>
                <w:sz w:val="24"/>
                <w:szCs w:val="24"/>
              </w:rPr>
              <w:t>/</w:t>
            </w:r>
            <w:proofErr w:type="spellStart"/>
            <w:r w:rsidRPr="002E00C8">
              <w:rPr>
                <w:sz w:val="24"/>
                <w:szCs w:val="24"/>
              </w:rPr>
              <w:t>Kitundu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00C8" w:rsidRPr="002E00C8" w:rsidRDefault="002E00C8" w:rsidP="002E00C8">
            <w:pPr>
              <w:rPr>
                <w:sz w:val="24"/>
                <w:szCs w:val="24"/>
              </w:rPr>
            </w:pPr>
            <w:r w:rsidRPr="002E00C8">
              <w:rPr>
                <w:sz w:val="24"/>
                <w:szCs w:val="24"/>
              </w:rPr>
              <w:t>7,492</w:t>
            </w:r>
          </w:p>
        </w:tc>
        <w:tc>
          <w:tcPr>
            <w:tcW w:w="0" w:type="auto"/>
            <w:vAlign w:val="center"/>
            <w:hideMark/>
          </w:tcPr>
          <w:p w:rsidR="002E00C8" w:rsidRPr="002E00C8" w:rsidRDefault="002E00C8" w:rsidP="002E00C8">
            <w:pPr>
              <w:rPr>
                <w:sz w:val="24"/>
                <w:szCs w:val="24"/>
              </w:rPr>
            </w:pPr>
            <w:r w:rsidRPr="002E00C8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E00C8" w:rsidRPr="002E00C8" w:rsidRDefault="002E00C8" w:rsidP="002E00C8">
            <w:pPr>
              <w:rPr>
                <w:sz w:val="24"/>
                <w:szCs w:val="24"/>
              </w:rPr>
            </w:pPr>
            <w:r w:rsidRPr="002E00C8">
              <w:rPr>
                <w:sz w:val="24"/>
                <w:szCs w:val="24"/>
              </w:rPr>
              <w:t>7,492</w:t>
            </w:r>
          </w:p>
        </w:tc>
      </w:tr>
      <w:tr w:rsidR="002E00C8" w:rsidRPr="002E00C8" w:rsidTr="002E0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00C8" w:rsidRPr="002E00C8" w:rsidRDefault="002E00C8" w:rsidP="002E00C8">
            <w:pPr>
              <w:rPr>
                <w:sz w:val="24"/>
                <w:szCs w:val="24"/>
              </w:rPr>
            </w:pPr>
            <w:proofErr w:type="spellStart"/>
            <w:r w:rsidRPr="002E00C8">
              <w:rPr>
                <w:sz w:val="24"/>
                <w:szCs w:val="24"/>
              </w:rPr>
              <w:t>Kalawa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00C8" w:rsidRPr="002E00C8" w:rsidRDefault="002E00C8" w:rsidP="002E00C8">
            <w:pPr>
              <w:rPr>
                <w:sz w:val="24"/>
                <w:szCs w:val="24"/>
              </w:rPr>
            </w:pPr>
            <w:r w:rsidRPr="002E00C8">
              <w:rPr>
                <w:sz w:val="24"/>
                <w:szCs w:val="24"/>
              </w:rPr>
              <w:t>6,545</w:t>
            </w:r>
          </w:p>
        </w:tc>
        <w:tc>
          <w:tcPr>
            <w:tcW w:w="0" w:type="auto"/>
            <w:vAlign w:val="center"/>
            <w:hideMark/>
          </w:tcPr>
          <w:p w:rsidR="002E00C8" w:rsidRPr="002E00C8" w:rsidRDefault="002E00C8" w:rsidP="002E00C8">
            <w:pPr>
              <w:rPr>
                <w:sz w:val="24"/>
                <w:szCs w:val="24"/>
              </w:rPr>
            </w:pPr>
            <w:r w:rsidRPr="002E00C8">
              <w:rPr>
                <w:sz w:val="24"/>
                <w:szCs w:val="24"/>
              </w:rPr>
              <w:t>704</w:t>
            </w:r>
          </w:p>
        </w:tc>
        <w:tc>
          <w:tcPr>
            <w:tcW w:w="0" w:type="auto"/>
            <w:vAlign w:val="center"/>
            <w:hideMark/>
          </w:tcPr>
          <w:p w:rsidR="002E00C8" w:rsidRPr="002E00C8" w:rsidRDefault="002E00C8" w:rsidP="002E00C8">
            <w:pPr>
              <w:rPr>
                <w:sz w:val="24"/>
                <w:szCs w:val="24"/>
              </w:rPr>
            </w:pPr>
            <w:r w:rsidRPr="002E00C8">
              <w:rPr>
                <w:sz w:val="24"/>
                <w:szCs w:val="24"/>
              </w:rPr>
              <w:t>7,249</w:t>
            </w:r>
          </w:p>
        </w:tc>
      </w:tr>
      <w:tr w:rsidR="002E00C8" w:rsidRPr="002E00C8" w:rsidTr="002E0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00C8" w:rsidRPr="002E00C8" w:rsidRDefault="002E00C8" w:rsidP="002E00C8">
            <w:pPr>
              <w:rPr>
                <w:sz w:val="24"/>
                <w:szCs w:val="24"/>
              </w:rPr>
            </w:pPr>
            <w:proofErr w:type="spellStart"/>
            <w:r w:rsidRPr="002E00C8">
              <w:rPr>
                <w:sz w:val="24"/>
                <w:szCs w:val="24"/>
              </w:rPr>
              <w:t>Kako</w:t>
            </w:r>
            <w:proofErr w:type="spellEnd"/>
            <w:r w:rsidRPr="002E00C8">
              <w:rPr>
                <w:sz w:val="24"/>
                <w:szCs w:val="24"/>
              </w:rPr>
              <w:t>/</w:t>
            </w:r>
            <w:proofErr w:type="spellStart"/>
            <w:r w:rsidRPr="002E00C8">
              <w:rPr>
                <w:sz w:val="24"/>
                <w:szCs w:val="24"/>
              </w:rPr>
              <w:t>Waia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00C8" w:rsidRPr="002E00C8" w:rsidRDefault="002E00C8" w:rsidP="002E00C8">
            <w:pPr>
              <w:rPr>
                <w:sz w:val="24"/>
                <w:szCs w:val="24"/>
              </w:rPr>
            </w:pPr>
            <w:r w:rsidRPr="002E00C8">
              <w:rPr>
                <w:sz w:val="24"/>
                <w:szCs w:val="24"/>
              </w:rPr>
              <w:t>5,520</w:t>
            </w:r>
          </w:p>
        </w:tc>
        <w:tc>
          <w:tcPr>
            <w:tcW w:w="0" w:type="auto"/>
            <w:vAlign w:val="center"/>
            <w:hideMark/>
          </w:tcPr>
          <w:p w:rsidR="002E00C8" w:rsidRPr="002E00C8" w:rsidRDefault="002E00C8" w:rsidP="002E00C8">
            <w:pPr>
              <w:rPr>
                <w:sz w:val="24"/>
                <w:szCs w:val="24"/>
              </w:rPr>
            </w:pPr>
            <w:r w:rsidRPr="002E00C8">
              <w:rPr>
                <w:sz w:val="24"/>
                <w:szCs w:val="24"/>
              </w:rPr>
              <w:t>540</w:t>
            </w:r>
          </w:p>
        </w:tc>
        <w:tc>
          <w:tcPr>
            <w:tcW w:w="0" w:type="auto"/>
            <w:vAlign w:val="center"/>
            <w:hideMark/>
          </w:tcPr>
          <w:p w:rsidR="002E00C8" w:rsidRPr="002E00C8" w:rsidRDefault="002E00C8" w:rsidP="002E00C8">
            <w:pPr>
              <w:rPr>
                <w:sz w:val="24"/>
                <w:szCs w:val="24"/>
              </w:rPr>
            </w:pPr>
            <w:r w:rsidRPr="002E00C8">
              <w:rPr>
                <w:sz w:val="24"/>
                <w:szCs w:val="24"/>
              </w:rPr>
              <w:t>6,060</w:t>
            </w:r>
          </w:p>
        </w:tc>
      </w:tr>
      <w:tr w:rsidR="002E00C8" w:rsidRPr="002E00C8" w:rsidTr="002E0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00C8" w:rsidRPr="002E00C8" w:rsidRDefault="002E00C8" w:rsidP="002E00C8">
            <w:pPr>
              <w:rPr>
                <w:sz w:val="24"/>
                <w:szCs w:val="24"/>
              </w:rPr>
            </w:pPr>
            <w:proofErr w:type="spellStart"/>
            <w:r w:rsidRPr="002E00C8">
              <w:rPr>
                <w:sz w:val="24"/>
                <w:szCs w:val="24"/>
              </w:rPr>
              <w:t>Kisau</w:t>
            </w:r>
            <w:proofErr w:type="spellEnd"/>
            <w:r w:rsidRPr="002E00C8">
              <w:rPr>
                <w:sz w:val="24"/>
                <w:szCs w:val="24"/>
              </w:rPr>
              <w:t>/</w:t>
            </w:r>
            <w:proofErr w:type="spellStart"/>
            <w:r w:rsidRPr="002E00C8">
              <w:rPr>
                <w:sz w:val="24"/>
                <w:szCs w:val="24"/>
              </w:rPr>
              <w:t>Kiteta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00C8" w:rsidRPr="002E00C8" w:rsidRDefault="002E00C8" w:rsidP="002E00C8">
            <w:pPr>
              <w:rPr>
                <w:sz w:val="24"/>
                <w:szCs w:val="24"/>
              </w:rPr>
            </w:pPr>
            <w:r w:rsidRPr="002E00C8">
              <w:rPr>
                <w:sz w:val="24"/>
                <w:szCs w:val="24"/>
              </w:rPr>
              <w:t>8,978</w:t>
            </w:r>
          </w:p>
        </w:tc>
        <w:tc>
          <w:tcPr>
            <w:tcW w:w="0" w:type="auto"/>
            <w:vAlign w:val="center"/>
            <w:hideMark/>
          </w:tcPr>
          <w:p w:rsidR="002E00C8" w:rsidRPr="002E00C8" w:rsidRDefault="002E00C8" w:rsidP="002E00C8">
            <w:pPr>
              <w:rPr>
                <w:sz w:val="24"/>
                <w:szCs w:val="24"/>
              </w:rPr>
            </w:pPr>
            <w:r w:rsidRPr="002E00C8">
              <w:rPr>
                <w:sz w:val="24"/>
                <w:szCs w:val="24"/>
              </w:rPr>
              <w:t>1,115</w:t>
            </w:r>
          </w:p>
        </w:tc>
        <w:tc>
          <w:tcPr>
            <w:tcW w:w="0" w:type="auto"/>
            <w:vAlign w:val="center"/>
            <w:hideMark/>
          </w:tcPr>
          <w:p w:rsidR="002E00C8" w:rsidRPr="002E00C8" w:rsidRDefault="002E00C8" w:rsidP="002E00C8">
            <w:pPr>
              <w:rPr>
                <w:sz w:val="24"/>
                <w:szCs w:val="24"/>
              </w:rPr>
            </w:pPr>
            <w:r w:rsidRPr="002E00C8">
              <w:rPr>
                <w:sz w:val="24"/>
                <w:szCs w:val="24"/>
              </w:rPr>
              <w:t>10,093</w:t>
            </w:r>
          </w:p>
        </w:tc>
      </w:tr>
    </w:tbl>
    <w:p w:rsidR="002E00C8" w:rsidRPr="002E00C8" w:rsidRDefault="002E00C8" w:rsidP="002E00C8">
      <w:pPr>
        <w:rPr>
          <w:color w:val="00B0F0"/>
          <w:sz w:val="28"/>
          <w:szCs w:val="28"/>
        </w:rPr>
      </w:pPr>
      <w:r w:rsidRPr="002E00C8">
        <w:rPr>
          <w:color w:val="00B0F0"/>
          <w:sz w:val="28"/>
          <w:szCs w:val="28"/>
        </w:rPr>
        <w:t>Total Enrollment Trends (2018–2022)</w:t>
      </w:r>
    </w:p>
    <w:p w:rsidR="002E00C8" w:rsidRPr="002E00C8" w:rsidRDefault="002E00C8" w:rsidP="002E00C8">
      <w:pPr>
        <w:rPr>
          <w:sz w:val="24"/>
          <w:szCs w:val="24"/>
        </w:rPr>
      </w:pPr>
      <w:proofErr w:type="spellStart"/>
      <w:r w:rsidRPr="002E00C8">
        <w:rPr>
          <w:sz w:val="24"/>
          <w:szCs w:val="24"/>
        </w:rPr>
        <w:t>Kisau</w:t>
      </w:r>
      <w:proofErr w:type="spellEnd"/>
      <w:r w:rsidRPr="002E00C8">
        <w:rPr>
          <w:sz w:val="24"/>
          <w:szCs w:val="24"/>
        </w:rPr>
        <w:t>/</w:t>
      </w:r>
      <w:proofErr w:type="spellStart"/>
      <w:r w:rsidRPr="002E00C8">
        <w:rPr>
          <w:sz w:val="24"/>
          <w:szCs w:val="24"/>
        </w:rPr>
        <w:t>Kiteta</w:t>
      </w:r>
      <w:proofErr w:type="spellEnd"/>
      <w:r w:rsidRPr="002E00C8">
        <w:rPr>
          <w:sz w:val="24"/>
          <w:szCs w:val="24"/>
        </w:rPr>
        <w:t xml:space="preserve"> had the highest total enrollments over the five-year period, reaching a total of 10,093.</w:t>
      </w:r>
    </w:p>
    <w:p w:rsidR="002E00C8" w:rsidRPr="002E00C8" w:rsidRDefault="002E00C8" w:rsidP="002E00C8">
      <w:pPr>
        <w:rPr>
          <w:sz w:val="24"/>
          <w:szCs w:val="24"/>
        </w:rPr>
      </w:pPr>
      <w:proofErr w:type="spellStart"/>
      <w:r w:rsidRPr="002E00C8">
        <w:rPr>
          <w:sz w:val="24"/>
          <w:szCs w:val="24"/>
        </w:rPr>
        <w:t>Kithungo</w:t>
      </w:r>
      <w:proofErr w:type="spellEnd"/>
      <w:r w:rsidRPr="002E00C8">
        <w:rPr>
          <w:sz w:val="24"/>
          <w:szCs w:val="24"/>
        </w:rPr>
        <w:t>/</w:t>
      </w:r>
      <w:proofErr w:type="spellStart"/>
      <w:r w:rsidRPr="002E00C8">
        <w:rPr>
          <w:sz w:val="24"/>
          <w:szCs w:val="24"/>
        </w:rPr>
        <w:t>Kitundu</w:t>
      </w:r>
      <w:proofErr w:type="spellEnd"/>
      <w:r w:rsidRPr="002E00C8">
        <w:rPr>
          <w:sz w:val="24"/>
          <w:szCs w:val="24"/>
        </w:rPr>
        <w:t>, despite having no private enrollments, recorded a total of 7,492 public enrollments.</w:t>
      </w:r>
    </w:p>
    <w:p w:rsidR="002E00C8" w:rsidRPr="002E00C8" w:rsidRDefault="002E00C8" w:rsidP="002E00C8">
      <w:pPr>
        <w:rPr>
          <w:sz w:val="24"/>
          <w:szCs w:val="24"/>
        </w:rPr>
      </w:pPr>
      <w:proofErr w:type="spellStart"/>
      <w:r w:rsidRPr="002E00C8">
        <w:rPr>
          <w:sz w:val="24"/>
          <w:szCs w:val="24"/>
        </w:rPr>
        <w:t>Mbooni</w:t>
      </w:r>
      <w:proofErr w:type="spellEnd"/>
      <w:r w:rsidRPr="002E00C8">
        <w:rPr>
          <w:sz w:val="24"/>
          <w:szCs w:val="24"/>
        </w:rPr>
        <w:t xml:space="preserve"> had the second-highest total enrollments, with 9,599, followed by </w:t>
      </w:r>
      <w:proofErr w:type="spellStart"/>
      <w:r w:rsidRPr="002E00C8">
        <w:rPr>
          <w:sz w:val="24"/>
          <w:szCs w:val="24"/>
        </w:rPr>
        <w:t>Tulimani</w:t>
      </w:r>
      <w:proofErr w:type="spellEnd"/>
      <w:r w:rsidRPr="002E00C8">
        <w:rPr>
          <w:sz w:val="24"/>
          <w:szCs w:val="24"/>
        </w:rPr>
        <w:t xml:space="preserve"> with 7,771 enrollments.</w:t>
      </w:r>
    </w:p>
    <w:p w:rsidR="002E00C8" w:rsidRPr="002E00C8" w:rsidRDefault="002E00C8" w:rsidP="002E00C8">
      <w:pPr>
        <w:rPr>
          <w:color w:val="00B0F0"/>
          <w:sz w:val="28"/>
          <w:szCs w:val="28"/>
        </w:rPr>
      </w:pPr>
      <w:r w:rsidRPr="002E00C8">
        <w:rPr>
          <w:color w:val="00B0F0"/>
          <w:sz w:val="28"/>
          <w:szCs w:val="28"/>
        </w:rPr>
        <w:t>Proportions of Public vs Private Enrollment</w:t>
      </w:r>
    </w:p>
    <w:p w:rsidR="002E00C8" w:rsidRPr="002E00C8" w:rsidRDefault="002E00C8" w:rsidP="002E00C8">
      <w:pPr>
        <w:rPr>
          <w:sz w:val="24"/>
          <w:szCs w:val="24"/>
        </w:rPr>
      </w:pPr>
      <w:r w:rsidRPr="002E00C8">
        <w:rPr>
          <w:sz w:val="24"/>
          <w:szCs w:val="24"/>
        </w:rPr>
        <w:t>Public enrollment consistently exceeds private enrollment in all wards. The proportions of public and private enrollment, considering total enrollments for the years 2018–2022, are as follows:</w:t>
      </w:r>
    </w:p>
    <w:p w:rsidR="002E00C8" w:rsidRPr="002E00C8" w:rsidRDefault="002E00C8" w:rsidP="002E00C8">
      <w:pPr>
        <w:rPr>
          <w:sz w:val="24"/>
          <w:szCs w:val="24"/>
        </w:rPr>
      </w:pPr>
      <w:r w:rsidRPr="002E00C8">
        <w:rPr>
          <w:sz w:val="24"/>
          <w:szCs w:val="24"/>
        </w:rPr>
        <w:t>Public Enrollment: 89.24%</w:t>
      </w:r>
    </w:p>
    <w:p w:rsidR="002E00C8" w:rsidRPr="002E00C8" w:rsidRDefault="002E00C8" w:rsidP="002E00C8">
      <w:pPr>
        <w:rPr>
          <w:sz w:val="24"/>
          <w:szCs w:val="24"/>
        </w:rPr>
      </w:pPr>
      <w:r w:rsidRPr="002E00C8">
        <w:rPr>
          <w:sz w:val="24"/>
          <w:szCs w:val="24"/>
        </w:rPr>
        <w:lastRenderedPageBreak/>
        <w:t>Private Enrollment: 10.76%</w:t>
      </w:r>
    </w:p>
    <w:p w:rsidR="002E00C8" w:rsidRPr="002E00C8" w:rsidRDefault="002E00C8" w:rsidP="002E00C8">
      <w:pPr>
        <w:rPr>
          <w:color w:val="00B0F0"/>
          <w:sz w:val="28"/>
          <w:szCs w:val="28"/>
        </w:rPr>
      </w:pPr>
      <w:r w:rsidRPr="002E00C8">
        <w:rPr>
          <w:color w:val="00B0F0"/>
          <w:sz w:val="28"/>
          <w:szCs w:val="28"/>
        </w:rPr>
        <w:t>Visual Representation</w:t>
      </w:r>
    </w:p>
    <w:p w:rsidR="002E00C8" w:rsidRPr="002E00C8" w:rsidRDefault="002E00C8" w:rsidP="002E00C8">
      <w:pPr>
        <w:rPr>
          <w:b/>
          <w:bCs/>
          <w:sz w:val="28"/>
          <w:szCs w:val="28"/>
        </w:rPr>
      </w:pPr>
      <w:r w:rsidRPr="002E00C8">
        <w:rPr>
          <w:b/>
          <w:bCs/>
          <w:sz w:val="28"/>
          <w:szCs w:val="28"/>
        </w:rPr>
        <w:t>Bar Plot: Public vs Private Enrollment by Ward (2018–2022)</w:t>
      </w:r>
    </w:p>
    <w:p w:rsidR="002E00C8" w:rsidRPr="002E00C8" w:rsidRDefault="002E00C8" w:rsidP="002E00C8">
      <w:pPr>
        <w:rPr>
          <w:sz w:val="24"/>
          <w:szCs w:val="24"/>
        </w:rPr>
      </w:pPr>
      <w:r w:rsidRPr="002E00C8">
        <w:rPr>
          <w:sz w:val="24"/>
          <w:szCs w:val="24"/>
        </w:rPr>
        <w:t>In all wards, public enrollments exceed private enrollments by a significant margin.</w:t>
      </w:r>
    </w:p>
    <w:p w:rsidR="002E00C8" w:rsidRPr="002E00C8" w:rsidRDefault="002E00C8" w:rsidP="002E00C8">
      <w:pPr>
        <w:rPr>
          <w:sz w:val="24"/>
          <w:szCs w:val="24"/>
        </w:rPr>
      </w:pPr>
      <w:proofErr w:type="spellStart"/>
      <w:r w:rsidRPr="002E00C8">
        <w:rPr>
          <w:sz w:val="24"/>
          <w:szCs w:val="24"/>
        </w:rPr>
        <w:t>Kisau</w:t>
      </w:r>
      <w:proofErr w:type="spellEnd"/>
      <w:r w:rsidRPr="002E00C8">
        <w:rPr>
          <w:sz w:val="24"/>
          <w:szCs w:val="24"/>
        </w:rPr>
        <w:t>/</w:t>
      </w:r>
      <w:proofErr w:type="spellStart"/>
      <w:r w:rsidRPr="002E00C8">
        <w:rPr>
          <w:sz w:val="24"/>
          <w:szCs w:val="24"/>
        </w:rPr>
        <w:t>Kiteta</w:t>
      </w:r>
      <w:proofErr w:type="spellEnd"/>
      <w:r w:rsidRPr="002E00C8">
        <w:rPr>
          <w:sz w:val="24"/>
          <w:szCs w:val="24"/>
        </w:rPr>
        <w:t xml:space="preserve"> shows the highest private enrollment contribution with 1,115 private enrollments, yet public enrollments still constitute the majority at 8,978.</w:t>
      </w:r>
    </w:p>
    <w:p w:rsidR="002E00C8" w:rsidRDefault="002E00C8" w:rsidP="002E00C8">
      <w:pPr>
        <w:rPr>
          <w:sz w:val="24"/>
          <w:szCs w:val="24"/>
        </w:rPr>
      </w:pPr>
      <w:proofErr w:type="spellStart"/>
      <w:r w:rsidRPr="002E00C8">
        <w:rPr>
          <w:sz w:val="24"/>
          <w:szCs w:val="24"/>
        </w:rPr>
        <w:t>Kithungo</w:t>
      </w:r>
      <w:proofErr w:type="spellEnd"/>
      <w:r w:rsidRPr="002E00C8">
        <w:rPr>
          <w:sz w:val="24"/>
          <w:szCs w:val="24"/>
        </w:rPr>
        <w:t>/</w:t>
      </w:r>
      <w:proofErr w:type="spellStart"/>
      <w:r w:rsidRPr="002E00C8">
        <w:rPr>
          <w:sz w:val="24"/>
          <w:szCs w:val="24"/>
        </w:rPr>
        <w:t>Kitundu</w:t>
      </w:r>
      <w:proofErr w:type="spellEnd"/>
      <w:r w:rsidRPr="002E00C8">
        <w:rPr>
          <w:sz w:val="24"/>
          <w:szCs w:val="24"/>
        </w:rPr>
        <w:t xml:space="preserve"> shows no private enrollments over the five years.</w:t>
      </w:r>
    </w:p>
    <w:p w:rsidR="002E00C8" w:rsidRPr="002E00C8" w:rsidRDefault="002E00C8" w:rsidP="002E00C8">
      <w:pPr>
        <w:rPr>
          <w:sz w:val="24"/>
          <w:szCs w:val="24"/>
        </w:rPr>
      </w:pPr>
      <w:r w:rsidRPr="002E00C8">
        <w:rPr>
          <w:noProof/>
          <w:sz w:val="24"/>
          <w:szCs w:val="24"/>
        </w:rPr>
        <w:drawing>
          <wp:inline distT="0" distB="0" distL="0" distR="0">
            <wp:extent cx="4732020" cy="4726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0C8" w:rsidRPr="002E00C8" w:rsidRDefault="002E00C8" w:rsidP="002E00C8">
      <w:pPr>
        <w:rPr>
          <w:color w:val="00B0F0"/>
          <w:sz w:val="28"/>
          <w:szCs w:val="28"/>
        </w:rPr>
      </w:pPr>
      <w:r w:rsidRPr="002E00C8">
        <w:rPr>
          <w:color w:val="00B0F0"/>
          <w:sz w:val="28"/>
          <w:szCs w:val="28"/>
        </w:rPr>
        <w:t>Pie Charts: Public vs Private Enrollment by Ward</w:t>
      </w:r>
    </w:p>
    <w:p w:rsidR="002E00C8" w:rsidRPr="002E00C8" w:rsidRDefault="002E00C8" w:rsidP="002E00C8">
      <w:pPr>
        <w:rPr>
          <w:sz w:val="24"/>
          <w:szCs w:val="24"/>
        </w:rPr>
      </w:pPr>
      <w:proofErr w:type="spellStart"/>
      <w:r w:rsidRPr="002E00C8">
        <w:rPr>
          <w:sz w:val="24"/>
          <w:szCs w:val="24"/>
        </w:rPr>
        <w:t>Mbooni</w:t>
      </w:r>
      <w:proofErr w:type="spellEnd"/>
      <w:r w:rsidRPr="002E00C8">
        <w:rPr>
          <w:sz w:val="24"/>
          <w:szCs w:val="24"/>
        </w:rPr>
        <w:t>: Public enrollment constitutes 93.85%, and private enrollment accounts for 6.15%.</w:t>
      </w:r>
    </w:p>
    <w:p w:rsidR="002E00C8" w:rsidRPr="002E00C8" w:rsidRDefault="002E00C8" w:rsidP="002E00C8">
      <w:pPr>
        <w:rPr>
          <w:sz w:val="24"/>
          <w:szCs w:val="24"/>
        </w:rPr>
      </w:pPr>
      <w:proofErr w:type="spellStart"/>
      <w:r w:rsidRPr="002E00C8">
        <w:rPr>
          <w:sz w:val="24"/>
          <w:szCs w:val="24"/>
        </w:rPr>
        <w:t>Tulimani</w:t>
      </w:r>
      <w:proofErr w:type="spellEnd"/>
      <w:r w:rsidRPr="002E00C8">
        <w:rPr>
          <w:sz w:val="24"/>
          <w:szCs w:val="24"/>
        </w:rPr>
        <w:t>: Public enrollment makes up 91.29%, while private enrollment stands at 8.71%.</w:t>
      </w:r>
    </w:p>
    <w:p w:rsidR="002E00C8" w:rsidRDefault="002E00C8" w:rsidP="002E00C8">
      <w:pPr>
        <w:rPr>
          <w:sz w:val="24"/>
          <w:szCs w:val="24"/>
        </w:rPr>
      </w:pPr>
      <w:proofErr w:type="spellStart"/>
      <w:r w:rsidRPr="002E00C8">
        <w:rPr>
          <w:sz w:val="24"/>
          <w:szCs w:val="24"/>
        </w:rPr>
        <w:t>Kako</w:t>
      </w:r>
      <w:proofErr w:type="spellEnd"/>
      <w:r w:rsidRPr="002E00C8">
        <w:rPr>
          <w:sz w:val="24"/>
          <w:szCs w:val="24"/>
        </w:rPr>
        <w:t>/</w:t>
      </w:r>
      <w:proofErr w:type="spellStart"/>
      <w:r w:rsidRPr="002E00C8">
        <w:rPr>
          <w:sz w:val="24"/>
          <w:szCs w:val="24"/>
        </w:rPr>
        <w:t>Waia</w:t>
      </w:r>
      <w:proofErr w:type="spellEnd"/>
      <w:r w:rsidRPr="002E00C8">
        <w:rPr>
          <w:sz w:val="24"/>
          <w:szCs w:val="24"/>
        </w:rPr>
        <w:t>: Public enrollment is 91.09%, and private enrollment is 8.91%.</w:t>
      </w:r>
    </w:p>
    <w:p w:rsidR="002E00C8" w:rsidRPr="002E00C8" w:rsidRDefault="002E00C8" w:rsidP="002E00C8">
      <w:pPr>
        <w:rPr>
          <w:sz w:val="24"/>
          <w:szCs w:val="24"/>
        </w:rPr>
      </w:pPr>
      <w:r w:rsidRPr="002E00C8">
        <w:rPr>
          <w:noProof/>
          <w:sz w:val="24"/>
          <w:szCs w:val="24"/>
        </w:rPr>
        <w:lastRenderedPageBreak/>
        <w:drawing>
          <wp:inline distT="0" distB="0" distL="0" distR="0">
            <wp:extent cx="4732020" cy="4726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0C8" w:rsidRDefault="002E00C8" w:rsidP="002E00C8">
      <w:pPr>
        <w:rPr>
          <w:sz w:val="24"/>
          <w:szCs w:val="24"/>
        </w:rPr>
      </w:pPr>
      <w:r w:rsidRPr="002E00C8">
        <w:rPr>
          <w:noProof/>
          <w:sz w:val="24"/>
          <w:szCs w:val="24"/>
        </w:rPr>
        <w:lastRenderedPageBreak/>
        <w:drawing>
          <wp:inline distT="0" distB="0" distL="0" distR="0">
            <wp:extent cx="4732020" cy="4726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0C8" w:rsidRDefault="009656E5" w:rsidP="002E00C8">
      <w:pPr>
        <w:rPr>
          <w:sz w:val="24"/>
          <w:szCs w:val="24"/>
        </w:rPr>
      </w:pPr>
      <w:r w:rsidRPr="009656E5">
        <w:rPr>
          <w:noProof/>
          <w:sz w:val="24"/>
          <w:szCs w:val="24"/>
        </w:rPr>
        <w:lastRenderedPageBreak/>
        <w:drawing>
          <wp:inline distT="0" distB="0" distL="0" distR="0">
            <wp:extent cx="4732020" cy="4726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6E5" w:rsidRDefault="009656E5" w:rsidP="002E00C8">
      <w:pPr>
        <w:rPr>
          <w:sz w:val="24"/>
          <w:szCs w:val="24"/>
        </w:rPr>
      </w:pPr>
      <w:r w:rsidRPr="009656E5">
        <w:rPr>
          <w:noProof/>
          <w:sz w:val="24"/>
          <w:szCs w:val="24"/>
        </w:rPr>
        <w:lastRenderedPageBreak/>
        <w:drawing>
          <wp:inline distT="0" distB="0" distL="0" distR="0">
            <wp:extent cx="4732020" cy="4726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6E5" w:rsidRDefault="009656E5" w:rsidP="002E00C8">
      <w:pPr>
        <w:rPr>
          <w:sz w:val="24"/>
          <w:szCs w:val="24"/>
        </w:rPr>
      </w:pPr>
      <w:r w:rsidRPr="009656E5">
        <w:rPr>
          <w:noProof/>
          <w:sz w:val="24"/>
          <w:szCs w:val="24"/>
        </w:rPr>
        <w:lastRenderedPageBreak/>
        <w:drawing>
          <wp:inline distT="0" distB="0" distL="0" distR="0">
            <wp:extent cx="4732020" cy="4726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6E5" w:rsidRDefault="009656E5" w:rsidP="002E00C8">
      <w:pPr>
        <w:rPr>
          <w:sz w:val="24"/>
          <w:szCs w:val="24"/>
        </w:rPr>
      </w:pPr>
      <w:r w:rsidRPr="009656E5">
        <w:rPr>
          <w:noProof/>
          <w:sz w:val="24"/>
          <w:szCs w:val="24"/>
        </w:rPr>
        <w:lastRenderedPageBreak/>
        <w:drawing>
          <wp:inline distT="0" distB="0" distL="0" distR="0">
            <wp:extent cx="4732020" cy="4726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6E5" w:rsidRDefault="009656E5" w:rsidP="002E00C8">
      <w:pPr>
        <w:rPr>
          <w:sz w:val="24"/>
          <w:szCs w:val="24"/>
        </w:rPr>
      </w:pPr>
      <w:r w:rsidRPr="009656E5">
        <w:rPr>
          <w:noProof/>
          <w:sz w:val="24"/>
          <w:szCs w:val="24"/>
        </w:rPr>
        <w:lastRenderedPageBreak/>
        <w:drawing>
          <wp:inline distT="0" distB="0" distL="0" distR="0">
            <wp:extent cx="4732020" cy="4726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0C8" w:rsidRPr="002E00C8" w:rsidRDefault="002E00C8" w:rsidP="002E00C8">
      <w:pPr>
        <w:rPr>
          <w:sz w:val="24"/>
          <w:szCs w:val="24"/>
        </w:rPr>
      </w:pPr>
      <w:r w:rsidRPr="002E00C8">
        <w:rPr>
          <w:sz w:val="24"/>
          <w:szCs w:val="24"/>
        </w:rPr>
        <w:t xml:space="preserve">These visualizations emphasize that public ECDE centers are the dominant providers of early childhood education in </w:t>
      </w:r>
      <w:proofErr w:type="spellStart"/>
      <w:r w:rsidRPr="002E00C8">
        <w:rPr>
          <w:sz w:val="24"/>
          <w:szCs w:val="24"/>
        </w:rPr>
        <w:t>Mbooni</w:t>
      </w:r>
      <w:proofErr w:type="spellEnd"/>
      <w:r w:rsidRPr="002E00C8">
        <w:rPr>
          <w:sz w:val="24"/>
          <w:szCs w:val="24"/>
        </w:rPr>
        <w:t xml:space="preserve"> Sub-County.</w:t>
      </w:r>
    </w:p>
    <w:p w:rsidR="002E00C8" w:rsidRPr="009656E5" w:rsidRDefault="002E00C8" w:rsidP="002E00C8">
      <w:pPr>
        <w:rPr>
          <w:color w:val="00B0F0"/>
          <w:sz w:val="28"/>
          <w:szCs w:val="28"/>
        </w:rPr>
      </w:pPr>
      <w:r w:rsidRPr="009656E5">
        <w:rPr>
          <w:color w:val="00B0F0"/>
          <w:sz w:val="28"/>
          <w:szCs w:val="28"/>
        </w:rPr>
        <w:t>Correlation Analysis</w:t>
      </w:r>
    </w:p>
    <w:p w:rsidR="002E00C8" w:rsidRPr="009656E5" w:rsidRDefault="002E00C8" w:rsidP="002E00C8">
      <w:pPr>
        <w:rPr>
          <w:b/>
          <w:bCs/>
          <w:sz w:val="28"/>
          <w:szCs w:val="28"/>
        </w:rPr>
      </w:pPr>
      <w:r w:rsidRPr="009656E5">
        <w:rPr>
          <w:b/>
          <w:bCs/>
          <w:sz w:val="28"/>
          <w:szCs w:val="28"/>
        </w:rPr>
        <w:t>Correlation between Public and Private Enrollment (2018–2022)</w:t>
      </w:r>
    </w:p>
    <w:p w:rsidR="002E00C8" w:rsidRPr="002E00C8" w:rsidRDefault="002E00C8" w:rsidP="002E00C8">
      <w:pPr>
        <w:rPr>
          <w:sz w:val="24"/>
          <w:szCs w:val="24"/>
        </w:rPr>
      </w:pPr>
      <w:r w:rsidRPr="002E00C8">
        <w:rPr>
          <w:sz w:val="24"/>
          <w:szCs w:val="24"/>
        </w:rPr>
        <w:t xml:space="preserve">The correlation coefficient between public and private enrollments for </w:t>
      </w:r>
      <w:proofErr w:type="spellStart"/>
      <w:r w:rsidRPr="002E00C8">
        <w:rPr>
          <w:sz w:val="24"/>
          <w:szCs w:val="24"/>
        </w:rPr>
        <w:t>Mbooni</w:t>
      </w:r>
      <w:proofErr w:type="spellEnd"/>
      <w:r w:rsidRPr="002E00C8">
        <w:rPr>
          <w:sz w:val="24"/>
          <w:szCs w:val="24"/>
        </w:rPr>
        <w:t xml:space="preserve"> Sub-County is 0.3</w:t>
      </w:r>
      <w:r w:rsidR="009656E5">
        <w:rPr>
          <w:sz w:val="24"/>
          <w:szCs w:val="24"/>
        </w:rPr>
        <w:t>92</w:t>
      </w:r>
      <w:r w:rsidRPr="002E00C8">
        <w:rPr>
          <w:sz w:val="24"/>
          <w:szCs w:val="24"/>
        </w:rPr>
        <w:t>, indicating a low positive correlation. This suggests a slight tendency for private enrollments to increase in response to public enrollments, but the relationship is weak.</w:t>
      </w:r>
    </w:p>
    <w:p w:rsidR="002E00C8" w:rsidRPr="009656E5" w:rsidRDefault="002E00C8" w:rsidP="002E00C8">
      <w:pPr>
        <w:rPr>
          <w:color w:val="00B0F0"/>
          <w:sz w:val="28"/>
          <w:szCs w:val="28"/>
        </w:rPr>
      </w:pPr>
      <w:r w:rsidRPr="009656E5">
        <w:rPr>
          <w:color w:val="00B0F0"/>
          <w:sz w:val="28"/>
          <w:szCs w:val="28"/>
        </w:rPr>
        <w:t>Scatter Plots</w:t>
      </w:r>
    </w:p>
    <w:p w:rsidR="002E00C8" w:rsidRPr="009656E5" w:rsidRDefault="002E00C8" w:rsidP="002E00C8">
      <w:pPr>
        <w:rPr>
          <w:b/>
          <w:bCs/>
          <w:sz w:val="28"/>
          <w:szCs w:val="28"/>
        </w:rPr>
      </w:pPr>
      <w:r w:rsidRPr="009656E5">
        <w:rPr>
          <w:b/>
          <w:bCs/>
          <w:sz w:val="28"/>
          <w:szCs w:val="28"/>
        </w:rPr>
        <w:t>Public vs Private Enrollment</w:t>
      </w:r>
    </w:p>
    <w:p w:rsidR="002E00C8" w:rsidRDefault="002E00C8" w:rsidP="002E00C8">
      <w:pPr>
        <w:rPr>
          <w:sz w:val="24"/>
          <w:szCs w:val="24"/>
        </w:rPr>
      </w:pPr>
      <w:r w:rsidRPr="002E00C8">
        <w:rPr>
          <w:sz w:val="24"/>
          <w:szCs w:val="24"/>
        </w:rPr>
        <w:t>A scatter plot of public and private enrollments reveals a weak upward trend, suggesting that in some cases, as public enrollments increase, private enrollments may also rise. However, the trend is not significant.</w:t>
      </w:r>
    </w:p>
    <w:p w:rsidR="009656E5" w:rsidRPr="002E00C8" w:rsidRDefault="009656E5" w:rsidP="002E00C8">
      <w:pPr>
        <w:rPr>
          <w:sz w:val="24"/>
          <w:szCs w:val="24"/>
        </w:rPr>
      </w:pPr>
      <w:r w:rsidRPr="009656E5">
        <w:rPr>
          <w:noProof/>
          <w:sz w:val="24"/>
          <w:szCs w:val="24"/>
        </w:rPr>
        <w:lastRenderedPageBreak/>
        <w:drawing>
          <wp:inline distT="0" distB="0" distL="0" distR="0">
            <wp:extent cx="4732020" cy="4726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0C8" w:rsidRPr="009656E5" w:rsidRDefault="002E00C8" w:rsidP="002E00C8">
      <w:pPr>
        <w:rPr>
          <w:b/>
          <w:bCs/>
          <w:sz w:val="28"/>
          <w:szCs w:val="28"/>
        </w:rPr>
      </w:pPr>
      <w:r w:rsidRPr="009656E5">
        <w:rPr>
          <w:b/>
          <w:bCs/>
          <w:sz w:val="28"/>
          <w:szCs w:val="28"/>
        </w:rPr>
        <w:t>Public vs Total Enrollment</w:t>
      </w:r>
    </w:p>
    <w:p w:rsidR="002E00C8" w:rsidRDefault="002E00C8" w:rsidP="002E00C8">
      <w:pPr>
        <w:rPr>
          <w:sz w:val="24"/>
          <w:szCs w:val="24"/>
        </w:rPr>
      </w:pPr>
      <w:r w:rsidRPr="002E00C8">
        <w:rPr>
          <w:sz w:val="24"/>
          <w:szCs w:val="24"/>
        </w:rPr>
        <w:t>A scatter plot of public enrollments against total enrollments shows a stronger positive relationship, reinforcing the fact that public enrollments are the primary driver of total enrollments in the sub-county.</w:t>
      </w:r>
    </w:p>
    <w:p w:rsidR="009656E5" w:rsidRPr="002E00C8" w:rsidRDefault="009656E5" w:rsidP="002E00C8">
      <w:pPr>
        <w:rPr>
          <w:sz w:val="24"/>
          <w:szCs w:val="24"/>
        </w:rPr>
      </w:pPr>
      <w:r w:rsidRPr="009656E5">
        <w:rPr>
          <w:noProof/>
          <w:sz w:val="24"/>
          <w:szCs w:val="24"/>
        </w:rPr>
        <w:lastRenderedPageBreak/>
        <w:drawing>
          <wp:inline distT="0" distB="0" distL="0" distR="0">
            <wp:extent cx="4732020" cy="4726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0C8" w:rsidRPr="009656E5" w:rsidRDefault="002E00C8" w:rsidP="002E00C8">
      <w:pPr>
        <w:rPr>
          <w:b/>
          <w:bCs/>
          <w:sz w:val="28"/>
          <w:szCs w:val="28"/>
        </w:rPr>
      </w:pPr>
      <w:r w:rsidRPr="009656E5">
        <w:rPr>
          <w:b/>
          <w:bCs/>
          <w:sz w:val="28"/>
          <w:szCs w:val="28"/>
        </w:rPr>
        <w:t>Private vs Total Enrollment</w:t>
      </w:r>
    </w:p>
    <w:p w:rsidR="002E00C8" w:rsidRDefault="002E00C8" w:rsidP="002E00C8">
      <w:pPr>
        <w:rPr>
          <w:sz w:val="24"/>
          <w:szCs w:val="24"/>
        </w:rPr>
      </w:pPr>
      <w:r w:rsidRPr="002E00C8">
        <w:rPr>
          <w:sz w:val="24"/>
          <w:szCs w:val="24"/>
        </w:rPr>
        <w:t>The scatter plot of private versus total enrollments indicates a weaker relationship. Private enrollments contribute less to the overall enrollment figures, though their impact is still noticeable in certain wards.</w:t>
      </w:r>
    </w:p>
    <w:p w:rsidR="009656E5" w:rsidRPr="002E00C8" w:rsidRDefault="009656E5" w:rsidP="002E00C8">
      <w:pPr>
        <w:rPr>
          <w:sz w:val="24"/>
          <w:szCs w:val="24"/>
        </w:rPr>
      </w:pPr>
      <w:r w:rsidRPr="009656E5">
        <w:rPr>
          <w:noProof/>
          <w:sz w:val="24"/>
          <w:szCs w:val="24"/>
        </w:rPr>
        <w:lastRenderedPageBreak/>
        <w:drawing>
          <wp:inline distT="0" distB="0" distL="0" distR="0">
            <wp:extent cx="4732020" cy="47263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0C8" w:rsidRPr="002E00C8" w:rsidRDefault="002E00C8" w:rsidP="002E00C8">
      <w:pPr>
        <w:rPr>
          <w:sz w:val="24"/>
          <w:szCs w:val="24"/>
        </w:rPr>
      </w:pPr>
      <w:r w:rsidRPr="002E00C8">
        <w:rPr>
          <w:sz w:val="24"/>
          <w:szCs w:val="24"/>
        </w:rPr>
        <w:t>Conclusion</w:t>
      </w:r>
    </w:p>
    <w:p w:rsidR="002E00C8" w:rsidRPr="002E00C8" w:rsidRDefault="002E00C8" w:rsidP="002E00C8">
      <w:pPr>
        <w:rPr>
          <w:sz w:val="24"/>
          <w:szCs w:val="24"/>
        </w:rPr>
      </w:pPr>
      <w:r w:rsidRPr="002E00C8">
        <w:rPr>
          <w:sz w:val="24"/>
          <w:szCs w:val="24"/>
        </w:rPr>
        <w:t xml:space="preserve">The data analysis reveals that public ECDE centers are the primary providers of early childhood education in </w:t>
      </w:r>
      <w:proofErr w:type="spellStart"/>
      <w:r w:rsidRPr="002E00C8">
        <w:rPr>
          <w:sz w:val="24"/>
          <w:szCs w:val="24"/>
        </w:rPr>
        <w:t>Mbooni</w:t>
      </w:r>
      <w:proofErr w:type="spellEnd"/>
      <w:r w:rsidRPr="002E00C8">
        <w:rPr>
          <w:sz w:val="24"/>
          <w:szCs w:val="24"/>
        </w:rPr>
        <w:t xml:space="preserve"> Sub-County, with private enrollments playing a much smaller role. </w:t>
      </w:r>
      <w:proofErr w:type="spellStart"/>
      <w:r w:rsidRPr="002E00C8">
        <w:rPr>
          <w:sz w:val="24"/>
          <w:szCs w:val="24"/>
        </w:rPr>
        <w:t>Kisau</w:t>
      </w:r>
      <w:proofErr w:type="spellEnd"/>
      <w:r w:rsidRPr="002E00C8">
        <w:rPr>
          <w:sz w:val="24"/>
          <w:szCs w:val="24"/>
        </w:rPr>
        <w:t>/</w:t>
      </w:r>
      <w:proofErr w:type="spellStart"/>
      <w:r w:rsidRPr="002E00C8">
        <w:rPr>
          <w:sz w:val="24"/>
          <w:szCs w:val="24"/>
        </w:rPr>
        <w:t>Kiteta</w:t>
      </w:r>
      <w:proofErr w:type="spellEnd"/>
      <w:r w:rsidRPr="002E00C8">
        <w:rPr>
          <w:sz w:val="24"/>
          <w:szCs w:val="24"/>
        </w:rPr>
        <w:t xml:space="preserve"> recorded the highest overall enrollment across the five years, while </w:t>
      </w:r>
      <w:proofErr w:type="spellStart"/>
      <w:r w:rsidRPr="002E00C8">
        <w:rPr>
          <w:sz w:val="24"/>
          <w:szCs w:val="24"/>
        </w:rPr>
        <w:t>Kithungo</w:t>
      </w:r>
      <w:proofErr w:type="spellEnd"/>
      <w:r w:rsidRPr="002E00C8">
        <w:rPr>
          <w:sz w:val="24"/>
          <w:szCs w:val="24"/>
        </w:rPr>
        <w:t>/</w:t>
      </w:r>
      <w:proofErr w:type="spellStart"/>
      <w:r w:rsidRPr="002E00C8">
        <w:rPr>
          <w:sz w:val="24"/>
          <w:szCs w:val="24"/>
        </w:rPr>
        <w:t>Kitundu</w:t>
      </w:r>
      <w:proofErr w:type="spellEnd"/>
      <w:r w:rsidRPr="002E00C8">
        <w:rPr>
          <w:sz w:val="24"/>
          <w:szCs w:val="24"/>
        </w:rPr>
        <w:t xml:space="preserve"> did not report any private enrollments. The weak correlation between public and private enrollments suggests that changes in public enrollment numbers do not strongly influence private enrollments.</w:t>
      </w:r>
    </w:p>
    <w:p w:rsidR="00B67746" w:rsidRDefault="009656E5" w:rsidP="002E00C8"/>
    <w:sectPr w:rsidR="00B67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E448F"/>
    <w:multiLevelType w:val="multilevel"/>
    <w:tmpl w:val="E4BE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A5A32"/>
    <w:multiLevelType w:val="multilevel"/>
    <w:tmpl w:val="E2AA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64E00"/>
    <w:multiLevelType w:val="multilevel"/>
    <w:tmpl w:val="2570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E43F6"/>
    <w:multiLevelType w:val="multilevel"/>
    <w:tmpl w:val="CF14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C8"/>
    <w:rsid w:val="002E00C8"/>
    <w:rsid w:val="00415241"/>
    <w:rsid w:val="009656E5"/>
    <w:rsid w:val="00E1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46AD3"/>
  <w15:chartTrackingRefBased/>
  <w15:docId w15:val="{9001DA95-B94F-4912-8DF9-86CC141E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00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E00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E00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00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E00C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E00C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2E00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0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7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Jonathan</dc:creator>
  <cp:keywords/>
  <dc:description/>
  <cp:lastModifiedBy>Ronald Jonathan</cp:lastModifiedBy>
  <cp:revision>1</cp:revision>
  <dcterms:created xsi:type="dcterms:W3CDTF">2024-09-19T07:02:00Z</dcterms:created>
  <dcterms:modified xsi:type="dcterms:W3CDTF">2024-09-19T07:21:00Z</dcterms:modified>
</cp:coreProperties>
</file>