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603CD" w:rsidRPr="000603CD" w:rsidRDefault="000603CD" w:rsidP="000603CD">
      <w:pPr>
        <w:rPr>
          <w:b/>
          <w:bCs/>
          <w:sz w:val="32"/>
          <w:szCs w:val="32"/>
        </w:rPr>
      </w:pPr>
      <w:r w:rsidRPr="000603CD">
        <w:rPr>
          <w:b/>
          <w:bCs/>
          <w:sz w:val="32"/>
          <w:szCs w:val="32"/>
        </w:rPr>
        <w:t>ECDE E</w:t>
      </w:r>
      <w:r w:rsidRPr="000603CD">
        <w:rPr>
          <w:b/>
          <w:bCs/>
          <w:sz w:val="32"/>
          <w:szCs w:val="32"/>
        </w:rPr>
        <w:t>NROLLMENT</w:t>
      </w:r>
      <w:r w:rsidRPr="000603CD">
        <w:rPr>
          <w:b/>
          <w:bCs/>
          <w:sz w:val="32"/>
          <w:szCs w:val="32"/>
        </w:rPr>
        <w:t xml:space="preserve"> A</w:t>
      </w:r>
      <w:r w:rsidRPr="000603CD">
        <w:rPr>
          <w:b/>
          <w:bCs/>
          <w:sz w:val="32"/>
          <w:szCs w:val="32"/>
        </w:rPr>
        <w:t>NALYSIS</w:t>
      </w:r>
      <w:r w:rsidRPr="000603CD">
        <w:rPr>
          <w:b/>
          <w:bCs/>
          <w:sz w:val="32"/>
          <w:szCs w:val="32"/>
        </w:rPr>
        <w:t xml:space="preserve"> R</w:t>
      </w:r>
      <w:r w:rsidRPr="000603CD">
        <w:rPr>
          <w:b/>
          <w:bCs/>
          <w:sz w:val="32"/>
          <w:szCs w:val="32"/>
        </w:rPr>
        <w:t>EPORT</w:t>
      </w:r>
      <w:r w:rsidRPr="000603CD">
        <w:rPr>
          <w:b/>
          <w:bCs/>
          <w:sz w:val="32"/>
          <w:szCs w:val="32"/>
        </w:rPr>
        <w:t xml:space="preserve"> </w:t>
      </w:r>
      <w:r w:rsidRPr="000603CD">
        <w:rPr>
          <w:b/>
          <w:bCs/>
          <w:sz w:val="32"/>
          <w:szCs w:val="32"/>
        </w:rPr>
        <w:t>FOR</w:t>
      </w:r>
      <w:r w:rsidRPr="000603CD">
        <w:rPr>
          <w:b/>
          <w:bCs/>
          <w:sz w:val="32"/>
          <w:szCs w:val="32"/>
        </w:rPr>
        <w:t xml:space="preserve"> M</w:t>
      </w:r>
      <w:r w:rsidRPr="000603CD">
        <w:rPr>
          <w:b/>
          <w:bCs/>
          <w:sz w:val="32"/>
          <w:szCs w:val="32"/>
        </w:rPr>
        <w:t>BOONI</w:t>
      </w:r>
      <w:r w:rsidRPr="000603CD">
        <w:rPr>
          <w:b/>
          <w:bCs/>
          <w:sz w:val="32"/>
          <w:szCs w:val="32"/>
        </w:rPr>
        <w:t xml:space="preserve"> S</w:t>
      </w:r>
      <w:r w:rsidRPr="000603CD">
        <w:rPr>
          <w:b/>
          <w:bCs/>
          <w:sz w:val="32"/>
          <w:szCs w:val="32"/>
        </w:rPr>
        <w:t>UB</w:t>
      </w:r>
      <w:r w:rsidRPr="000603CD">
        <w:rPr>
          <w:b/>
          <w:bCs/>
          <w:sz w:val="32"/>
          <w:szCs w:val="32"/>
        </w:rPr>
        <w:t>-</w:t>
      </w:r>
      <w:r w:rsidRPr="000603CD">
        <w:rPr>
          <w:b/>
          <w:bCs/>
          <w:sz w:val="32"/>
          <w:szCs w:val="32"/>
        </w:rPr>
        <w:t>COUNTY</w:t>
      </w:r>
      <w:r w:rsidRPr="000603CD">
        <w:rPr>
          <w:b/>
          <w:bCs/>
          <w:sz w:val="32"/>
          <w:szCs w:val="32"/>
        </w:rPr>
        <w:t xml:space="preserve"> (2018-2022)</w:t>
      </w:r>
    </w:p>
    <w:p w:rsidR="000603CD" w:rsidRPr="000603CD" w:rsidRDefault="000603CD" w:rsidP="000603CD">
      <w:pPr>
        <w:rPr>
          <w:b/>
          <w:bCs/>
          <w:sz w:val="28"/>
          <w:szCs w:val="28"/>
        </w:rPr>
      </w:pPr>
      <w:r w:rsidRPr="000603CD">
        <w:rPr>
          <w:b/>
          <w:bCs/>
          <w:sz w:val="28"/>
          <w:szCs w:val="28"/>
        </w:rPr>
        <w:t>Introduction</w:t>
      </w:r>
    </w:p>
    <w:p w:rsidR="000603CD" w:rsidRPr="000603CD" w:rsidRDefault="000603CD" w:rsidP="000603CD">
      <w:pPr>
        <w:rPr>
          <w:sz w:val="24"/>
          <w:szCs w:val="24"/>
        </w:rPr>
      </w:pPr>
      <w:r w:rsidRPr="000603CD">
        <w:rPr>
          <w:sz w:val="24"/>
          <w:szCs w:val="24"/>
        </w:rPr>
        <w:t xml:space="preserve">This report presents an analysis of the Early Childhood Development and Education (ECDE) enrollment data for </w:t>
      </w:r>
      <w:proofErr w:type="spellStart"/>
      <w:r w:rsidRPr="000603CD">
        <w:rPr>
          <w:sz w:val="24"/>
          <w:szCs w:val="24"/>
        </w:rPr>
        <w:t>Mbooni</w:t>
      </w:r>
      <w:proofErr w:type="spellEnd"/>
      <w:r w:rsidRPr="000603CD">
        <w:rPr>
          <w:sz w:val="24"/>
          <w:szCs w:val="24"/>
        </w:rPr>
        <w:t xml:space="preserve"> Sub-county, covering six wards: </w:t>
      </w:r>
      <w:proofErr w:type="spellStart"/>
      <w:r w:rsidRPr="000603CD">
        <w:rPr>
          <w:sz w:val="24"/>
          <w:szCs w:val="24"/>
        </w:rPr>
        <w:t>Mbooni</w:t>
      </w:r>
      <w:proofErr w:type="spellEnd"/>
      <w:r w:rsidRPr="000603CD">
        <w:rPr>
          <w:sz w:val="24"/>
          <w:szCs w:val="24"/>
        </w:rPr>
        <w:t xml:space="preserve">, </w:t>
      </w:r>
      <w:proofErr w:type="spellStart"/>
      <w:r w:rsidRPr="000603CD">
        <w:rPr>
          <w:sz w:val="24"/>
          <w:szCs w:val="24"/>
        </w:rPr>
        <w:t>Tulimani</w:t>
      </w:r>
      <w:proofErr w:type="spellEnd"/>
      <w:r w:rsidRPr="000603CD">
        <w:rPr>
          <w:sz w:val="24"/>
          <w:szCs w:val="24"/>
        </w:rPr>
        <w:t xml:space="preserve">, </w:t>
      </w:r>
      <w:proofErr w:type="spellStart"/>
      <w:r w:rsidRPr="000603CD">
        <w:rPr>
          <w:sz w:val="24"/>
          <w:szCs w:val="24"/>
        </w:rPr>
        <w:t>Kithungo</w:t>
      </w:r>
      <w:proofErr w:type="spellEnd"/>
      <w:r w:rsidRPr="000603CD">
        <w:rPr>
          <w:sz w:val="24"/>
          <w:szCs w:val="24"/>
        </w:rPr>
        <w:t>/</w:t>
      </w:r>
      <w:proofErr w:type="spellStart"/>
      <w:r w:rsidRPr="000603CD">
        <w:rPr>
          <w:sz w:val="24"/>
          <w:szCs w:val="24"/>
        </w:rPr>
        <w:t>Kitundu</w:t>
      </w:r>
      <w:proofErr w:type="spellEnd"/>
      <w:r w:rsidRPr="000603CD">
        <w:rPr>
          <w:sz w:val="24"/>
          <w:szCs w:val="24"/>
        </w:rPr>
        <w:t xml:space="preserve">, </w:t>
      </w:r>
      <w:proofErr w:type="spellStart"/>
      <w:r w:rsidRPr="000603CD">
        <w:rPr>
          <w:sz w:val="24"/>
          <w:szCs w:val="24"/>
        </w:rPr>
        <w:t>Kalawa</w:t>
      </w:r>
      <w:proofErr w:type="spellEnd"/>
      <w:r w:rsidRPr="000603CD">
        <w:rPr>
          <w:sz w:val="24"/>
          <w:szCs w:val="24"/>
        </w:rPr>
        <w:t xml:space="preserve">, </w:t>
      </w:r>
      <w:proofErr w:type="spellStart"/>
      <w:r w:rsidRPr="000603CD">
        <w:rPr>
          <w:sz w:val="24"/>
          <w:szCs w:val="24"/>
        </w:rPr>
        <w:t>Kako</w:t>
      </w:r>
      <w:proofErr w:type="spellEnd"/>
      <w:r w:rsidRPr="000603CD">
        <w:rPr>
          <w:sz w:val="24"/>
          <w:szCs w:val="24"/>
        </w:rPr>
        <w:t>/</w:t>
      </w:r>
      <w:proofErr w:type="spellStart"/>
      <w:r w:rsidRPr="000603CD">
        <w:rPr>
          <w:sz w:val="24"/>
          <w:szCs w:val="24"/>
        </w:rPr>
        <w:t>Waia</w:t>
      </w:r>
      <w:proofErr w:type="spellEnd"/>
      <w:r w:rsidRPr="000603CD">
        <w:rPr>
          <w:sz w:val="24"/>
          <w:szCs w:val="24"/>
        </w:rPr>
        <w:t xml:space="preserve">, and </w:t>
      </w:r>
      <w:proofErr w:type="spellStart"/>
      <w:r w:rsidRPr="000603CD">
        <w:rPr>
          <w:sz w:val="24"/>
          <w:szCs w:val="24"/>
        </w:rPr>
        <w:t>Kisau</w:t>
      </w:r>
      <w:proofErr w:type="spellEnd"/>
      <w:r w:rsidRPr="000603CD">
        <w:rPr>
          <w:sz w:val="24"/>
          <w:szCs w:val="24"/>
        </w:rPr>
        <w:t>/</w:t>
      </w:r>
      <w:proofErr w:type="spellStart"/>
      <w:r w:rsidRPr="000603CD">
        <w:rPr>
          <w:sz w:val="24"/>
          <w:szCs w:val="24"/>
        </w:rPr>
        <w:t>Kiteta</w:t>
      </w:r>
      <w:proofErr w:type="spellEnd"/>
      <w:r w:rsidRPr="000603CD">
        <w:rPr>
          <w:sz w:val="24"/>
          <w:szCs w:val="24"/>
        </w:rPr>
        <w:t>. The analysis spans from 2018 to 2022, focusing on total public and private enrollments, correlations, and graphical representations of the enrollment trends.</w:t>
      </w:r>
    </w:p>
    <w:p w:rsidR="000603CD" w:rsidRPr="000603CD" w:rsidRDefault="000603CD" w:rsidP="000603CD">
      <w:pPr>
        <w:rPr>
          <w:b/>
          <w:bCs/>
          <w:sz w:val="28"/>
          <w:szCs w:val="28"/>
        </w:rPr>
      </w:pPr>
      <w:r w:rsidRPr="000603CD">
        <w:rPr>
          <w:b/>
          <w:bCs/>
          <w:sz w:val="28"/>
          <w:szCs w:val="28"/>
        </w:rPr>
        <w:t>Total Public and Private Enrollment for Each Ward</w:t>
      </w:r>
    </w:p>
    <w:p w:rsidR="000603CD" w:rsidRPr="000603CD" w:rsidRDefault="000603CD" w:rsidP="000603CD">
      <w:pPr>
        <w:rPr>
          <w:sz w:val="24"/>
          <w:szCs w:val="24"/>
        </w:rPr>
      </w:pPr>
      <w:r w:rsidRPr="000603CD">
        <w:rPr>
          <w:sz w:val="24"/>
          <w:szCs w:val="24"/>
        </w:rPr>
        <w:t>The total public and private enrollments for each ward are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2262"/>
        <w:gridCol w:w="2370"/>
        <w:gridCol w:w="2152"/>
      </w:tblGrid>
      <w:tr w:rsidR="000603CD" w:rsidRPr="000603CD" w:rsidTr="000603CD">
        <w:trPr>
          <w:tblHeader/>
          <w:tblCellSpacing w:w="15" w:type="dxa"/>
        </w:trPr>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Ward</w:t>
            </w:r>
          </w:p>
        </w:tc>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Public Enrollment</w:t>
            </w:r>
          </w:p>
        </w:tc>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Private Enrollment</w:t>
            </w:r>
          </w:p>
        </w:tc>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Total Enrollment</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Mbooni</w:t>
            </w:r>
            <w:proofErr w:type="spellEnd"/>
          </w:p>
        </w:tc>
        <w:tc>
          <w:tcPr>
            <w:tcW w:w="0" w:type="auto"/>
            <w:vAlign w:val="center"/>
            <w:hideMark/>
          </w:tcPr>
          <w:p w:rsidR="000603CD" w:rsidRPr="000603CD" w:rsidRDefault="000603CD" w:rsidP="000603CD">
            <w:pPr>
              <w:rPr>
                <w:sz w:val="24"/>
                <w:szCs w:val="24"/>
              </w:rPr>
            </w:pPr>
            <w:r w:rsidRPr="000603CD">
              <w:rPr>
                <w:sz w:val="24"/>
                <w:szCs w:val="24"/>
              </w:rPr>
              <w:t>2460</w:t>
            </w:r>
          </w:p>
        </w:tc>
        <w:tc>
          <w:tcPr>
            <w:tcW w:w="0" w:type="auto"/>
            <w:vAlign w:val="center"/>
            <w:hideMark/>
          </w:tcPr>
          <w:p w:rsidR="000603CD" w:rsidRPr="000603CD" w:rsidRDefault="000603CD" w:rsidP="000603CD">
            <w:pPr>
              <w:rPr>
                <w:sz w:val="24"/>
                <w:szCs w:val="24"/>
              </w:rPr>
            </w:pPr>
            <w:r w:rsidRPr="000603CD">
              <w:rPr>
                <w:sz w:val="24"/>
                <w:szCs w:val="24"/>
              </w:rPr>
              <w:t>205</w:t>
            </w:r>
          </w:p>
        </w:tc>
        <w:tc>
          <w:tcPr>
            <w:tcW w:w="0" w:type="auto"/>
            <w:vAlign w:val="center"/>
            <w:hideMark/>
          </w:tcPr>
          <w:p w:rsidR="000603CD" w:rsidRPr="000603CD" w:rsidRDefault="000603CD" w:rsidP="000603CD">
            <w:pPr>
              <w:rPr>
                <w:sz w:val="24"/>
                <w:szCs w:val="24"/>
              </w:rPr>
            </w:pPr>
            <w:r w:rsidRPr="000603CD">
              <w:rPr>
                <w:sz w:val="24"/>
                <w:szCs w:val="24"/>
              </w:rPr>
              <w:t>2665</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Tulimani</w:t>
            </w:r>
            <w:proofErr w:type="spellEnd"/>
          </w:p>
        </w:tc>
        <w:tc>
          <w:tcPr>
            <w:tcW w:w="0" w:type="auto"/>
            <w:vAlign w:val="center"/>
            <w:hideMark/>
          </w:tcPr>
          <w:p w:rsidR="000603CD" w:rsidRPr="000603CD" w:rsidRDefault="000603CD" w:rsidP="000603CD">
            <w:pPr>
              <w:rPr>
                <w:sz w:val="24"/>
                <w:szCs w:val="24"/>
              </w:rPr>
            </w:pPr>
            <w:r w:rsidRPr="000603CD">
              <w:rPr>
                <w:sz w:val="24"/>
                <w:szCs w:val="24"/>
              </w:rPr>
              <w:t>1591</w:t>
            </w:r>
          </w:p>
        </w:tc>
        <w:tc>
          <w:tcPr>
            <w:tcW w:w="0" w:type="auto"/>
            <w:vAlign w:val="center"/>
            <w:hideMark/>
          </w:tcPr>
          <w:p w:rsidR="000603CD" w:rsidRPr="000603CD" w:rsidRDefault="000603CD" w:rsidP="000603CD">
            <w:pPr>
              <w:rPr>
                <w:sz w:val="24"/>
                <w:szCs w:val="24"/>
              </w:rPr>
            </w:pPr>
            <w:r w:rsidRPr="000603CD">
              <w:rPr>
                <w:sz w:val="24"/>
                <w:szCs w:val="24"/>
              </w:rPr>
              <w:t>146</w:t>
            </w:r>
          </w:p>
        </w:tc>
        <w:tc>
          <w:tcPr>
            <w:tcW w:w="0" w:type="auto"/>
            <w:vAlign w:val="center"/>
            <w:hideMark/>
          </w:tcPr>
          <w:p w:rsidR="000603CD" w:rsidRPr="000603CD" w:rsidRDefault="000603CD" w:rsidP="000603CD">
            <w:pPr>
              <w:rPr>
                <w:sz w:val="24"/>
                <w:szCs w:val="24"/>
              </w:rPr>
            </w:pPr>
            <w:r w:rsidRPr="000603CD">
              <w:rPr>
                <w:sz w:val="24"/>
                <w:szCs w:val="24"/>
              </w:rPr>
              <w:t>1737</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Kithungo</w:t>
            </w:r>
            <w:proofErr w:type="spellEnd"/>
            <w:r w:rsidRPr="000603CD">
              <w:rPr>
                <w:sz w:val="24"/>
                <w:szCs w:val="24"/>
              </w:rPr>
              <w:t>/</w:t>
            </w:r>
            <w:proofErr w:type="spellStart"/>
            <w:r w:rsidRPr="000603CD">
              <w:rPr>
                <w:sz w:val="24"/>
                <w:szCs w:val="24"/>
              </w:rPr>
              <w:t>Kitundu</w:t>
            </w:r>
            <w:proofErr w:type="spellEnd"/>
          </w:p>
        </w:tc>
        <w:tc>
          <w:tcPr>
            <w:tcW w:w="0" w:type="auto"/>
            <w:vAlign w:val="center"/>
            <w:hideMark/>
          </w:tcPr>
          <w:p w:rsidR="000603CD" w:rsidRPr="000603CD" w:rsidRDefault="000603CD" w:rsidP="000603CD">
            <w:pPr>
              <w:rPr>
                <w:sz w:val="24"/>
                <w:szCs w:val="24"/>
              </w:rPr>
            </w:pPr>
            <w:r w:rsidRPr="000603CD">
              <w:rPr>
                <w:sz w:val="24"/>
                <w:szCs w:val="24"/>
              </w:rPr>
              <w:t>1808</w:t>
            </w:r>
          </w:p>
        </w:tc>
        <w:tc>
          <w:tcPr>
            <w:tcW w:w="0" w:type="auto"/>
            <w:vAlign w:val="center"/>
            <w:hideMark/>
          </w:tcPr>
          <w:p w:rsidR="000603CD" w:rsidRPr="000603CD" w:rsidRDefault="000603CD" w:rsidP="000603CD">
            <w:pPr>
              <w:rPr>
                <w:sz w:val="24"/>
                <w:szCs w:val="24"/>
              </w:rPr>
            </w:pPr>
            <w:r w:rsidRPr="000603CD">
              <w:rPr>
                <w:sz w:val="24"/>
                <w:szCs w:val="24"/>
              </w:rPr>
              <w:t>0</w:t>
            </w:r>
          </w:p>
        </w:tc>
        <w:tc>
          <w:tcPr>
            <w:tcW w:w="0" w:type="auto"/>
            <w:vAlign w:val="center"/>
            <w:hideMark/>
          </w:tcPr>
          <w:p w:rsidR="000603CD" w:rsidRPr="000603CD" w:rsidRDefault="000603CD" w:rsidP="000603CD">
            <w:pPr>
              <w:rPr>
                <w:sz w:val="24"/>
                <w:szCs w:val="24"/>
              </w:rPr>
            </w:pPr>
            <w:r w:rsidRPr="000603CD">
              <w:rPr>
                <w:sz w:val="24"/>
                <w:szCs w:val="24"/>
              </w:rPr>
              <w:t>1808</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Kalawa</w:t>
            </w:r>
            <w:proofErr w:type="spellEnd"/>
          </w:p>
        </w:tc>
        <w:tc>
          <w:tcPr>
            <w:tcW w:w="0" w:type="auto"/>
            <w:vAlign w:val="center"/>
            <w:hideMark/>
          </w:tcPr>
          <w:p w:rsidR="000603CD" w:rsidRPr="000603CD" w:rsidRDefault="000603CD" w:rsidP="000603CD">
            <w:pPr>
              <w:rPr>
                <w:sz w:val="24"/>
                <w:szCs w:val="24"/>
              </w:rPr>
            </w:pPr>
            <w:r w:rsidRPr="000603CD">
              <w:rPr>
                <w:sz w:val="24"/>
                <w:szCs w:val="24"/>
              </w:rPr>
              <w:t>1346</w:t>
            </w:r>
          </w:p>
        </w:tc>
        <w:tc>
          <w:tcPr>
            <w:tcW w:w="0" w:type="auto"/>
            <w:vAlign w:val="center"/>
            <w:hideMark/>
          </w:tcPr>
          <w:p w:rsidR="000603CD" w:rsidRPr="000603CD" w:rsidRDefault="000603CD" w:rsidP="000603CD">
            <w:pPr>
              <w:rPr>
                <w:sz w:val="24"/>
                <w:szCs w:val="24"/>
              </w:rPr>
            </w:pPr>
            <w:r w:rsidRPr="000603CD">
              <w:rPr>
                <w:sz w:val="24"/>
                <w:szCs w:val="24"/>
              </w:rPr>
              <w:t>167</w:t>
            </w:r>
          </w:p>
        </w:tc>
        <w:tc>
          <w:tcPr>
            <w:tcW w:w="0" w:type="auto"/>
            <w:vAlign w:val="center"/>
            <w:hideMark/>
          </w:tcPr>
          <w:p w:rsidR="000603CD" w:rsidRPr="000603CD" w:rsidRDefault="000603CD" w:rsidP="000603CD">
            <w:pPr>
              <w:rPr>
                <w:sz w:val="24"/>
                <w:szCs w:val="24"/>
              </w:rPr>
            </w:pPr>
            <w:r w:rsidRPr="000603CD">
              <w:rPr>
                <w:sz w:val="24"/>
                <w:szCs w:val="24"/>
              </w:rPr>
              <w:t>1513</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Kako</w:t>
            </w:r>
            <w:proofErr w:type="spellEnd"/>
            <w:r w:rsidRPr="000603CD">
              <w:rPr>
                <w:sz w:val="24"/>
                <w:szCs w:val="24"/>
              </w:rPr>
              <w:t>/</w:t>
            </w:r>
            <w:proofErr w:type="spellStart"/>
            <w:r w:rsidRPr="000603CD">
              <w:rPr>
                <w:sz w:val="24"/>
                <w:szCs w:val="24"/>
              </w:rPr>
              <w:t>Waia</w:t>
            </w:r>
            <w:proofErr w:type="spellEnd"/>
          </w:p>
        </w:tc>
        <w:tc>
          <w:tcPr>
            <w:tcW w:w="0" w:type="auto"/>
            <w:vAlign w:val="center"/>
            <w:hideMark/>
          </w:tcPr>
          <w:p w:rsidR="000603CD" w:rsidRPr="000603CD" w:rsidRDefault="000603CD" w:rsidP="000603CD">
            <w:pPr>
              <w:rPr>
                <w:sz w:val="24"/>
                <w:szCs w:val="24"/>
              </w:rPr>
            </w:pPr>
            <w:r w:rsidRPr="000603CD">
              <w:rPr>
                <w:sz w:val="24"/>
                <w:szCs w:val="24"/>
              </w:rPr>
              <w:t>1217</w:t>
            </w:r>
          </w:p>
        </w:tc>
        <w:tc>
          <w:tcPr>
            <w:tcW w:w="0" w:type="auto"/>
            <w:vAlign w:val="center"/>
            <w:hideMark/>
          </w:tcPr>
          <w:p w:rsidR="000603CD" w:rsidRPr="000603CD" w:rsidRDefault="000603CD" w:rsidP="000603CD">
            <w:pPr>
              <w:rPr>
                <w:sz w:val="24"/>
                <w:szCs w:val="24"/>
              </w:rPr>
            </w:pPr>
            <w:r w:rsidRPr="000603CD">
              <w:rPr>
                <w:sz w:val="24"/>
                <w:szCs w:val="24"/>
              </w:rPr>
              <w:t>140</w:t>
            </w:r>
          </w:p>
        </w:tc>
        <w:tc>
          <w:tcPr>
            <w:tcW w:w="0" w:type="auto"/>
            <w:vAlign w:val="center"/>
            <w:hideMark/>
          </w:tcPr>
          <w:p w:rsidR="000603CD" w:rsidRPr="000603CD" w:rsidRDefault="000603CD" w:rsidP="000603CD">
            <w:pPr>
              <w:rPr>
                <w:sz w:val="24"/>
                <w:szCs w:val="24"/>
              </w:rPr>
            </w:pPr>
            <w:r w:rsidRPr="000603CD">
              <w:rPr>
                <w:sz w:val="24"/>
                <w:szCs w:val="24"/>
              </w:rPr>
              <w:t>1357</w:t>
            </w:r>
          </w:p>
        </w:tc>
      </w:tr>
      <w:tr w:rsidR="000603CD" w:rsidRPr="000603CD" w:rsidTr="000603CD">
        <w:trPr>
          <w:tblCellSpacing w:w="15" w:type="dxa"/>
        </w:trPr>
        <w:tc>
          <w:tcPr>
            <w:tcW w:w="0" w:type="auto"/>
            <w:vAlign w:val="center"/>
            <w:hideMark/>
          </w:tcPr>
          <w:p w:rsidR="000603CD" w:rsidRPr="000603CD" w:rsidRDefault="000603CD" w:rsidP="000603CD">
            <w:pPr>
              <w:rPr>
                <w:sz w:val="24"/>
                <w:szCs w:val="24"/>
              </w:rPr>
            </w:pPr>
            <w:proofErr w:type="spellStart"/>
            <w:r w:rsidRPr="000603CD">
              <w:rPr>
                <w:sz w:val="24"/>
                <w:szCs w:val="24"/>
              </w:rPr>
              <w:t>Kisau</w:t>
            </w:r>
            <w:proofErr w:type="spellEnd"/>
            <w:r w:rsidRPr="000603CD">
              <w:rPr>
                <w:sz w:val="24"/>
                <w:szCs w:val="24"/>
              </w:rPr>
              <w:t>/</w:t>
            </w:r>
            <w:proofErr w:type="spellStart"/>
            <w:r w:rsidRPr="000603CD">
              <w:rPr>
                <w:sz w:val="24"/>
                <w:szCs w:val="24"/>
              </w:rPr>
              <w:t>Kiteta</w:t>
            </w:r>
            <w:proofErr w:type="spellEnd"/>
          </w:p>
        </w:tc>
        <w:tc>
          <w:tcPr>
            <w:tcW w:w="0" w:type="auto"/>
            <w:vAlign w:val="center"/>
            <w:hideMark/>
          </w:tcPr>
          <w:p w:rsidR="000603CD" w:rsidRPr="000603CD" w:rsidRDefault="000603CD" w:rsidP="000603CD">
            <w:pPr>
              <w:rPr>
                <w:sz w:val="24"/>
                <w:szCs w:val="24"/>
              </w:rPr>
            </w:pPr>
            <w:r w:rsidRPr="000603CD">
              <w:rPr>
                <w:sz w:val="24"/>
                <w:szCs w:val="24"/>
              </w:rPr>
              <w:t>1942</w:t>
            </w:r>
          </w:p>
        </w:tc>
        <w:tc>
          <w:tcPr>
            <w:tcW w:w="0" w:type="auto"/>
            <w:vAlign w:val="center"/>
            <w:hideMark/>
          </w:tcPr>
          <w:p w:rsidR="000603CD" w:rsidRPr="000603CD" w:rsidRDefault="000603CD" w:rsidP="000603CD">
            <w:pPr>
              <w:rPr>
                <w:sz w:val="24"/>
                <w:szCs w:val="24"/>
              </w:rPr>
            </w:pPr>
            <w:r w:rsidRPr="000603CD">
              <w:rPr>
                <w:sz w:val="24"/>
                <w:szCs w:val="24"/>
              </w:rPr>
              <w:t>354</w:t>
            </w:r>
          </w:p>
        </w:tc>
        <w:tc>
          <w:tcPr>
            <w:tcW w:w="0" w:type="auto"/>
            <w:vAlign w:val="center"/>
            <w:hideMark/>
          </w:tcPr>
          <w:p w:rsidR="000603CD" w:rsidRPr="000603CD" w:rsidRDefault="000603CD" w:rsidP="000603CD">
            <w:pPr>
              <w:rPr>
                <w:sz w:val="24"/>
                <w:szCs w:val="24"/>
              </w:rPr>
            </w:pPr>
            <w:r w:rsidRPr="000603CD">
              <w:rPr>
                <w:sz w:val="24"/>
                <w:szCs w:val="24"/>
              </w:rPr>
              <w:t>2296</w:t>
            </w:r>
          </w:p>
        </w:tc>
      </w:tr>
    </w:tbl>
    <w:p w:rsidR="000603CD" w:rsidRPr="000603CD" w:rsidRDefault="000603CD" w:rsidP="000603CD">
      <w:pPr>
        <w:rPr>
          <w:color w:val="00B0F0"/>
          <w:sz w:val="28"/>
          <w:szCs w:val="28"/>
        </w:rPr>
      </w:pPr>
      <w:r w:rsidRPr="000603CD">
        <w:rPr>
          <w:color w:val="00B0F0"/>
          <w:sz w:val="28"/>
          <w:szCs w:val="28"/>
        </w:rPr>
        <w:t>Total Public and Private Enrollment Overall</w:t>
      </w:r>
      <w:r>
        <w:rPr>
          <w:color w:val="00B0F0"/>
          <w:sz w:val="28"/>
          <w:szCs w:val="28"/>
        </w:rPr>
        <w:t>:</w:t>
      </w:r>
    </w:p>
    <w:p w:rsidR="000603CD" w:rsidRPr="000603CD" w:rsidRDefault="000603CD" w:rsidP="000603CD">
      <w:pPr>
        <w:rPr>
          <w:sz w:val="24"/>
          <w:szCs w:val="24"/>
        </w:rPr>
      </w:pPr>
      <w:r w:rsidRPr="000603CD">
        <w:rPr>
          <w:sz w:val="24"/>
          <w:szCs w:val="24"/>
        </w:rPr>
        <w:t>Total Public Enrollment: 10,364</w:t>
      </w:r>
    </w:p>
    <w:p w:rsidR="000603CD" w:rsidRPr="000603CD" w:rsidRDefault="000603CD" w:rsidP="000603CD">
      <w:pPr>
        <w:rPr>
          <w:sz w:val="24"/>
          <w:szCs w:val="24"/>
        </w:rPr>
      </w:pPr>
      <w:r w:rsidRPr="000603CD">
        <w:rPr>
          <w:sz w:val="24"/>
          <w:szCs w:val="24"/>
        </w:rPr>
        <w:t>Total Private Enrollment: 1,012</w:t>
      </w:r>
    </w:p>
    <w:p w:rsidR="000603CD" w:rsidRPr="000603CD" w:rsidRDefault="000603CD" w:rsidP="000603CD">
      <w:pPr>
        <w:rPr>
          <w:sz w:val="24"/>
          <w:szCs w:val="24"/>
        </w:rPr>
      </w:pPr>
      <w:r w:rsidRPr="000603CD">
        <w:rPr>
          <w:sz w:val="24"/>
          <w:szCs w:val="24"/>
        </w:rPr>
        <w:t>Total Enrollment: 11,376</w:t>
      </w:r>
    </w:p>
    <w:p w:rsidR="000603CD" w:rsidRPr="000603CD" w:rsidRDefault="000603CD" w:rsidP="000603CD">
      <w:pPr>
        <w:rPr>
          <w:sz w:val="24"/>
          <w:szCs w:val="24"/>
        </w:rPr>
      </w:pPr>
      <w:r w:rsidRPr="000603CD">
        <w:rPr>
          <w:b/>
          <w:bCs/>
          <w:sz w:val="24"/>
          <w:szCs w:val="24"/>
        </w:rPr>
        <w:t>Explanation</w:t>
      </w:r>
      <w:r w:rsidRPr="000603CD">
        <w:rPr>
          <w:sz w:val="24"/>
          <w:szCs w:val="24"/>
        </w:rPr>
        <w:t>: Public enrollment makes up a significantly larger proportion of the total enrollment across all wards, with private enrollment contributing a smaller share.</w:t>
      </w:r>
    </w:p>
    <w:p w:rsidR="000603CD" w:rsidRPr="000603CD" w:rsidRDefault="000603CD" w:rsidP="000603CD">
      <w:pPr>
        <w:rPr>
          <w:color w:val="00B0F0"/>
          <w:sz w:val="28"/>
          <w:szCs w:val="28"/>
        </w:rPr>
      </w:pPr>
      <w:r w:rsidRPr="000603CD">
        <w:rPr>
          <w:color w:val="00B0F0"/>
          <w:sz w:val="28"/>
          <w:szCs w:val="28"/>
        </w:rPr>
        <w:t>Proportions of Public vs Private Enrollment (Overall)</w:t>
      </w:r>
      <w:r>
        <w:rPr>
          <w:color w:val="00B0F0"/>
          <w:sz w:val="28"/>
          <w:szCs w:val="28"/>
        </w:rPr>
        <w:t>:</w:t>
      </w:r>
    </w:p>
    <w:p w:rsidR="000603CD" w:rsidRPr="000603CD" w:rsidRDefault="000603CD" w:rsidP="000603CD">
      <w:pPr>
        <w:rPr>
          <w:sz w:val="24"/>
          <w:szCs w:val="24"/>
        </w:rPr>
      </w:pPr>
      <w:r w:rsidRPr="000603CD">
        <w:rPr>
          <w:sz w:val="24"/>
          <w:szCs w:val="24"/>
        </w:rPr>
        <w:t>Proportion of Public Enrollment: 91.1%</w:t>
      </w:r>
    </w:p>
    <w:p w:rsidR="000603CD" w:rsidRPr="000603CD" w:rsidRDefault="000603CD" w:rsidP="000603CD">
      <w:pPr>
        <w:rPr>
          <w:sz w:val="24"/>
          <w:szCs w:val="24"/>
        </w:rPr>
      </w:pPr>
      <w:r w:rsidRPr="000603CD">
        <w:rPr>
          <w:sz w:val="24"/>
          <w:szCs w:val="24"/>
        </w:rPr>
        <w:t>Proportion of Private Enrollment: 8.9%</w:t>
      </w:r>
    </w:p>
    <w:p w:rsidR="000603CD" w:rsidRPr="000603CD" w:rsidRDefault="000603CD" w:rsidP="000603CD">
      <w:pPr>
        <w:rPr>
          <w:sz w:val="24"/>
          <w:szCs w:val="24"/>
        </w:rPr>
      </w:pPr>
      <w:r w:rsidRPr="000603CD">
        <w:rPr>
          <w:sz w:val="24"/>
          <w:szCs w:val="24"/>
        </w:rPr>
        <w:t xml:space="preserve">Explanation: The vast majority of ECDE students in </w:t>
      </w:r>
      <w:proofErr w:type="spellStart"/>
      <w:r w:rsidRPr="000603CD">
        <w:rPr>
          <w:sz w:val="24"/>
          <w:szCs w:val="24"/>
        </w:rPr>
        <w:t>Mbooni</w:t>
      </w:r>
      <w:proofErr w:type="spellEnd"/>
      <w:r w:rsidRPr="000603CD">
        <w:rPr>
          <w:sz w:val="24"/>
          <w:szCs w:val="24"/>
        </w:rPr>
        <w:t xml:space="preserve"> Sub-county are enrolled in public institutions, with private enrollments contributing a relatively small proportion.</w:t>
      </w:r>
    </w:p>
    <w:p w:rsidR="000603CD" w:rsidRPr="008F7EFD" w:rsidRDefault="000603CD" w:rsidP="008F7EFD">
      <w:pPr>
        <w:rPr>
          <w:color w:val="00B0F0"/>
          <w:sz w:val="28"/>
          <w:szCs w:val="28"/>
        </w:rPr>
      </w:pPr>
      <w:r w:rsidRPr="008F7EFD">
        <w:rPr>
          <w:color w:val="00B0F0"/>
          <w:sz w:val="28"/>
          <w:szCs w:val="28"/>
        </w:rPr>
        <w:lastRenderedPageBreak/>
        <w:t>Percentage of Public vs Private Enrollment for Each Ward</w:t>
      </w:r>
      <w:r w:rsidR="008F7EFD">
        <w:rPr>
          <w:color w:val="00B0F0"/>
          <w:sz w:val="28"/>
          <w:szCs w:val="28"/>
        </w:rPr>
        <w:t>:</w:t>
      </w:r>
    </w:p>
    <w:p w:rsidR="000603CD" w:rsidRPr="008F7EFD" w:rsidRDefault="000603CD" w:rsidP="008F7EFD">
      <w:pPr>
        <w:rPr>
          <w:sz w:val="24"/>
          <w:szCs w:val="24"/>
        </w:rPr>
      </w:pPr>
      <w:r w:rsidRPr="008F7EFD">
        <w:rPr>
          <w:sz w:val="24"/>
          <w:szCs w:val="24"/>
        </w:rPr>
        <w:t>The percentages of public vs private enrollment for each ward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2214"/>
        <w:gridCol w:w="2338"/>
      </w:tblGrid>
      <w:tr w:rsidR="000603CD" w:rsidRPr="000603CD" w:rsidTr="000603CD">
        <w:trPr>
          <w:tblHeader/>
          <w:tblCellSpacing w:w="15" w:type="dxa"/>
        </w:trPr>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Ward</w:t>
            </w:r>
          </w:p>
        </w:tc>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Percentage Public</w:t>
            </w:r>
          </w:p>
        </w:tc>
        <w:tc>
          <w:tcPr>
            <w:tcW w:w="0" w:type="auto"/>
            <w:vAlign w:val="center"/>
            <w:hideMark/>
          </w:tcPr>
          <w:p w:rsidR="000603CD" w:rsidRPr="000603CD" w:rsidRDefault="000603CD" w:rsidP="000603CD">
            <w:pPr>
              <w:spacing w:after="0" w:line="240" w:lineRule="auto"/>
              <w:jc w:val="center"/>
              <w:rPr>
                <w:rFonts w:ascii="Times New Roman" w:eastAsia="Times New Roman" w:hAnsi="Times New Roman" w:cs="Times New Roman"/>
                <w:b/>
                <w:bCs/>
                <w:sz w:val="28"/>
                <w:szCs w:val="28"/>
              </w:rPr>
            </w:pPr>
            <w:r w:rsidRPr="000603CD">
              <w:rPr>
                <w:rFonts w:ascii="Times New Roman" w:eastAsia="Times New Roman" w:hAnsi="Times New Roman" w:cs="Times New Roman"/>
                <w:b/>
                <w:bCs/>
                <w:sz w:val="28"/>
                <w:szCs w:val="28"/>
              </w:rPr>
              <w:t>Percentage Private</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Mbooni</w:t>
            </w:r>
            <w:proofErr w:type="spellEnd"/>
          </w:p>
        </w:tc>
        <w:tc>
          <w:tcPr>
            <w:tcW w:w="0" w:type="auto"/>
            <w:vAlign w:val="center"/>
            <w:hideMark/>
          </w:tcPr>
          <w:p w:rsidR="000603CD" w:rsidRPr="008F7EFD" w:rsidRDefault="000603CD" w:rsidP="008F7EFD">
            <w:pPr>
              <w:rPr>
                <w:sz w:val="24"/>
                <w:szCs w:val="24"/>
              </w:rPr>
            </w:pPr>
            <w:r w:rsidRPr="008F7EFD">
              <w:rPr>
                <w:sz w:val="24"/>
                <w:szCs w:val="24"/>
              </w:rPr>
              <w:t>92.3%</w:t>
            </w:r>
          </w:p>
        </w:tc>
        <w:tc>
          <w:tcPr>
            <w:tcW w:w="0" w:type="auto"/>
            <w:vAlign w:val="center"/>
            <w:hideMark/>
          </w:tcPr>
          <w:p w:rsidR="000603CD" w:rsidRPr="008F7EFD" w:rsidRDefault="000603CD" w:rsidP="008F7EFD">
            <w:pPr>
              <w:rPr>
                <w:sz w:val="24"/>
                <w:szCs w:val="24"/>
              </w:rPr>
            </w:pPr>
            <w:r w:rsidRPr="008F7EFD">
              <w:rPr>
                <w:sz w:val="24"/>
                <w:szCs w:val="24"/>
              </w:rPr>
              <w:t>7.7%</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Tulimani</w:t>
            </w:r>
            <w:proofErr w:type="spellEnd"/>
          </w:p>
        </w:tc>
        <w:tc>
          <w:tcPr>
            <w:tcW w:w="0" w:type="auto"/>
            <w:vAlign w:val="center"/>
            <w:hideMark/>
          </w:tcPr>
          <w:p w:rsidR="000603CD" w:rsidRPr="008F7EFD" w:rsidRDefault="000603CD" w:rsidP="008F7EFD">
            <w:pPr>
              <w:rPr>
                <w:sz w:val="24"/>
                <w:szCs w:val="24"/>
              </w:rPr>
            </w:pPr>
            <w:r w:rsidRPr="008F7EFD">
              <w:rPr>
                <w:sz w:val="24"/>
                <w:szCs w:val="24"/>
              </w:rPr>
              <w:t>91.6%</w:t>
            </w:r>
          </w:p>
        </w:tc>
        <w:tc>
          <w:tcPr>
            <w:tcW w:w="0" w:type="auto"/>
            <w:vAlign w:val="center"/>
            <w:hideMark/>
          </w:tcPr>
          <w:p w:rsidR="000603CD" w:rsidRPr="008F7EFD" w:rsidRDefault="000603CD" w:rsidP="008F7EFD">
            <w:pPr>
              <w:rPr>
                <w:sz w:val="24"/>
                <w:szCs w:val="24"/>
              </w:rPr>
            </w:pPr>
            <w:r w:rsidRPr="008F7EFD">
              <w:rPr>
                <w:sz w:val="24"/>
                <w:szCs w:val="24"/>
              </w:rPr>
              <w:t>8.4%</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Kithungo</w:t>
            </w:r>
            <w:proofErr w:type="spellEnd"/>
            <w:r w:rsidRPr="008F7EFD">
              <w:rPr>
                <w:sz w:val="24"/>
                <w:szCs w:val="24"/>
              </w:rPr>
              <w:t>/</w:t>
            </w:r>
            <w:proofErr w:type="spellStart"/>
            <w:r w:rsidRPr="008F7EFD">
              <w:rPr>
                <w:sz w:val="24"/>
                <w:szCs w:val="24"/>
              </w:rPr>
              <w:t>Kitundu</w:t>
            </w:r>
            <w:proofErr w:type="spellEnd"/>
          </w:p>
        </w:tc>
        <w:tc>
          <w:tcPr>
            <w:tcW w:w="0" w:type="auto"/>
            <w:vAlign w:val="center"/>
            <w:hideMark/>
          </w:tcPr>
          <w:p w:rsidR="000603CD" w:rsidRPr="008F7EFD" w:rsidRDefault="000603CD" w:rsidP="008F7EFD">
            <w:pPr>
              <w:rPr>
                <w:sz w:val="24"/>
                <w:szCs w:val="24"/>
              </w:rPr>
            </w:pPr>
            <w:r w:rsidRPr="008F7EFD">
              <w:rPr>
                <w:sz w:val="24"/>
                <w:szCs w:val="24"/>
              </w:rPr>
              <w:t>100%</w:t>
            </w:r>
          </w:p>
        </w:tc>
        <w:tc>
          <w:tcPr>
            <w:tcW w:w="0" w:type="auto"/>
            <w:vAlign w:val="center"/>
            <w:hideMark/>
          </w:tcPr>
          <w:p w:rsidR="000603CD" w:rsidRPr="008F7EFD" w:rsidRDefault="000603CD" w:rsidP="008F7EFD">
            <w:pPr>
              <w:rPr>
                <w:sz w:val="24"/>
                <w:szCs w:val="24"/>
              </w:rPr>
            </w:pPr>
            <w:r w:rsidRPr="008F7EFD">
              <w:rPr>
                <w:sz w:val="24"/>
                <w:szCs w:val="24"/>
              </w:rPr>
              <w:t>0%</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Kalawa</w:t>
            </w:r>
            <w:proofErr w:type="spellEnd"/>
          </w:p>
        </w:tc>
        <w:tc>
          <w:tcPr>
            <w:tcW w:w="0" w:type="auto"/>
            <w:vAlign w:val="center"/>
            <w:hideMark/>
          </w:tcPr>
          <w:p w:rsidR="000603CD" w:rsidRPr="008F7EFD" w:rsidRDefault="000603CD" w:rsidP="008F7EFD">
            <w:pPr>
              <w:rPr>
                <w:sz w:val="24"/>
                <w:szCs w:val="24"/>
              </w:rPr>
            </w:pPr>
            <w:r w:rsidRPr="008F7EFD">
              <w:rPr>
                <w:sz w:val="24"/>
                <w:szCs w:val="24"/>
              </w:rPr>
              <w:t>89.0%</w:t>
            </w:r>
          </w:p>
        </w:tc>
        <w:tc>
          <w:tcPr>
            <w:tcW w:w="0" w:type="auto"/>
            <w:vAlign w:val="center"/>
            <w:hideMark/>
          </w:tcPr>
          <w:p w:rsidR="000603CD" w:rsidRPr="008F7EFD" w:rsidRDefault="000603CD" w:rsidP="008F7EFD">
            <w:pPr>
              <w:rPr>
                <w:sz w:val="24"/>
                <w:szCs w:val="24"/>
              </w:rPr>
            </w:pPr>
            <w:r w:rsidRPr="008F7EFD">
              <w:rPr>
                <w:sz w:val="24"/>
                <w:szCs w:val="24"/>
              </w:rPr>
              <w:t>11.0%</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Kako</w:t>
            </w:r>
            <w:proofErr w:type="spellEnd"/>
            <w:r w:rsidRPr="008F7EFD">
              <w:rPr>
                <w:sz w:val="24"/>
                <w:szCs w:val="24"/>
              </w:rPr>
              <w:t>/</w:t>
            </w:r>
            <w:proofErr w:type="spellStart"/>
            <w:r w:rsidRPr="008F7EFD">
              <w:rPr>
                <w:sz w:val="24"/>
                <w:szCs w:val="24"/>
              </w:rPr>
              <w:t>Waia</w:t>
            </w:r>
            <w:proofErr w:type="spellEnd"/>
          </w:p>
        </w:tc>
        <w:tc>
          <w:tcPr>
            <w:tcW w:w="0" w:type="auto"/>
            <w:vAlign w:val="center"/>
            <w:hideMark/>
          </w:tcPr>
          <w:p w:rsidR="000603CD" w:rsidRPr="008F7EFD" w:rsidRDefault="000603CD" w:rsidP="008F7EFD">
            <w:pPr>
              <w:rPr>
                <w:sz w:val="24"/>
                <w:szCs w:val="24"/>
              </w:rPr>
            </w:pPr>
            <w:r w:rsidRPr="008F7EFD">
              <w:rPr>
                <w:sz w:val="24"/>
                <w:szCs w:val="24"/>
              </w:rPr>
              <w:t>89.7%</w:t>
            </w:r>
          </w:p>
        </w:tc>
        <w:tc>
          <w:tcPr>
            <w:tcW w:w="0" w:type="auto"/>
            <w:vAlign w:val="center"/>
            <w:hideMark/>
          </w:tcPr>
          <w:p w:rsidR="000603CD" w:rsidRPr="008F7EFD" w:rsidRDefault="000603CD" w:rsidP="008F7EFD">
            <w:pPr>
              <w:rPr>
                <w:sz w:val="24"/>
                <w:szCs w:val="24"/>
              </w:rPr>
            </w:pPr>
            <w:r w:rsidRPr="008F7EFD">
              <w:rPr>
                <w:sz w:val="24"/>
                <w:szCs w:val="24"/>
              </w:rPr>
              <w:t>10.3%</w:t>
            </w:r>
          </w:p>
        </w:tc>
      </w:tr>
      <w:tr w:rsidR="000603CD" w:rsidRPr="000603CD" w:rsidTr="000603CD">
        <w:trPr>
          <w:tblCellSpacing w:w="15" w:type="dxa"/>
        </w:trPr>
        <w:tc>
          <w:tcPr>
            <w:tcW w:w="0" w:type="auto"/>
            <w:vAlign w:val="center"/>
            <w:hideMark/>
          </w:tcPr>
          <w:p w:rsidR="000603CD" w:rsidRPr="008F7EFD" w:rsidRDefault="000603CD" w:rsidP="008F7EFD">
            <w:pPr>
              <w:rPr>
                <w:sz w:val="24"/>
                <w:szCs w:val="24"/>
              </w:rPr>
            </w:pPr>
            <w:proofErr w:type="spellStart"/>
            <w:r w:rsidRPr="008F7EFD">
              <w:rPr>
                <w:sz w:val="24"/>
                <w:szCs w:val="24"/>
              </w:rPr>
              <w:t>Kisau</w:t>
            </w:r>
            <w:proofErr w:type="spellEnd"/>
            <w:r w:rsidRPr="008F7EFD">
              <w:rPr>
                <w:sz w:val="24"/>
                <w:szCs w:val="24"/>
              </w:rPr>
              <w:t>/</w:t>
            </w:r>
            <w:proofErr w:type="spellStart"/>
            <w:r w:rsidRPr="008F7EFD">
              <w:rPr>
                <w:sz w:val="24"/>
                <w:szCs w:val="24"/>
              </w:rPr>
              <w:t>Kiteta</w:t>
            </w:r>
            <w:proofErr w:type="spellEnd"/>
          </w:p>
        </w:tc>
        <w:tc>
          <w:tcPr>
            <w:tcW w:w="0" w:type="auto"/>
            <w:vAlign w:val="center"/>
            <w:hideMark/>
          </w:tcPr>
          <w:p w:rsidR="000603CD" w:rsidRPr="008F7EFD" w:rsidRDefault="000603CD" w:rsidP="008F7EFD">
            <w:pPr>
              <w:rPr>
                <w:sz w:val="24"/>
                <w:szCs w:val="24"/>
              </w:rPr>
            </w:pPr>
            <w:r w:rsidRPr="008F7EFD">
              <w:rPr>
                <w:sz w:val="24"/>
                <w:szCs w:val="24"/>
              </w:rPr>
              <w:t>84.6%</w:t>
            </w:r>
          </w:p>
        </w:tc>
        <w:tc>
          <w:tcPr>
            <w:tcW w:w="0" w:type="auto"/>
            <w:vAlign w:val="center"/>
            <w:hideMark/>
          </w:tcPr>
          <w:p w:rsidR="000603CD" w:rsidRPr="008F7EFD" w:rsidRDefault="000603CD" w:rsidP="008F7EFD">
            <w:pPr>
              <w:rPr>
                <w:sz w:val="24"/>
                <w:szCs w:val="24"/>
              </w:rPr>
            </w:pPr>
            <w:r w:rsidRPr="008F7EFD">
              <w:rPr>
                <w:sz w:val="24"/>
                <w:szCs w:val="24"/>
              </w:rPr>
              <w:t>15.4%</w:t>
            </w:r>
          </w:p>
        </w:tc>
      </w:tr>
    </w:tbl>
    <w:p w:rsidR="000603CD" w:rsidRPr="008F7EFD" w:rsidRDefault="000603CD" w:rsidP="008F7EFD">
      <w:pPr>
        <w:rPr>
          <w:sz w:val="24"/>
          <w:szCs w:val="24"/>
        </w:rPr>
      </w:pPr>
      <w:r w:rsidRPr="008F7EFD">
        <w:rPr>
          <w:b/>
          <w:bCs/>
          <w:sz w:val="24"/>
          <w:szCs w:val="24"/>
        </w:rPr>
        <w:t>Explanation</w:t>
      </w:r>
      <w:r w:rsidRPr="008F7EFD">
        <w:rPr>
          <w:sz w:val="24"/>
          <w:szCs w:val="24"/>
        </w:rPr>
        <w:t xml:space="preserve">: </w:t>
      </w:r>
      <w:proofErr w:type="spellStart"/>
      <w:r w:rsidRPr="008F7EFD">
        <w:rPr>
          <w:sz w:val="24"/>
          <w:szCs w:val="24"/>
        </w:rPr>
        <w:t>Kithungo</w:t>
      </w:r>
      <w:proofErr w:type="spellEnd"/>
      <w:r w:rsidRPr="008F7EFD">
        <w:rPr>
          <w:sz w:val="24"/>
          <w:szCs w:val="24"/>
        </w:rPr>
        <w:t>/</w:t>
      </w:r>
      <w:proofErr w:type="spellStart"/>
      <w:r w:rsidRPr="008F7EFD">
        <w:rPr>
          <w:sz w:val="24"/>
          <w:szCs w:val="24"/>
        </w:rPr>
        <w:t>Kitundu</w:t>
      </w:r>
      <w:proofErr w:type="spellEnd"/>
      <w:r w:rsidRPr="008F7EFD">
        <w:rPr>
          <w:sz w:val="24"/>
          <w:szCs w:val="24"/>
        </w:rPr>
        <w:t xml:space="preserve"> had no private enrollments, while </w:t>
      </w:r>
      <w:proofErr w:type="spellStart"/>
      <w:r w:rsidRPr="008F7EFD">
        <w:rPr>
          <w:sz w:val="24"/>
          <w:szCs w:val="24"/>
        </w:rPr>
        <w:t>Kisau</w:t>
      </w:r>
      <w:proofErr w:type="spellEnd"/>
      <w:r w:rsidRPr="008F7EFD">
        <w:rPr>
          <w:sz w:val="24"/>
          <w:szCs w:val="24"/>
        </w:rPr>
        <w:t>/</w:t>
      </w:r>
      <w:proofErr w:type="spellStart"/>
      <w:r w:rsidRPr="008F7EFD">
        <w:rPr>
          <w:sz w:val="24"/>
          <w:szCs w:val="24"/>
        </w:rPr>
        <w:t>Kiteta</w:t>
      </w:r>
      <w:proofErr w:type="spellEnd"/>
      <w:r w:rsidRPr="008F7EFD">
        <w:rPr>
          <w:sz w:val="24"/>
          <w:szCs w:val="24"/>
        </w:rPr>
        <w:t xml:space="preserve"> had the highest proportion of private enrollments at 15.4%. The remaining wards showed a majority of public enrollments, though </w:t>
      </w:r>
      <w:proofErr w:type="spellStart"/>
      <w:r w:rsidRPr="008F7EFD">
        <w:rPr>
          <w:sz w:val="24"/>
          <w:szCs w:val="24"/>
        </w:rPr>
        <w:t>Kalawa</w:t>
      </w:r>
      <w:proofErr w:type="spellEnd"/>
      <w:r w:rsidRPr="008F7EFD">
        <w:rPr>
          <w:sz w:val="24"/>
          <w:szCs w:val="24"/>
        </w:rPr>
        <w:t xml:space="preserve"> and </w:t>
      </w:r>
      <w:proofErr w:type="spellStart"/>
      <w:r w:rsidRPr="008F7EFD">
        <w:rPr>
          <w:sz w:val="24"/>
          <w:szCs w:val="24"/>
        </w:rPr>
        <w:t>Kako</w:t>
      </w:r>
      <w:proofErr w:type="spellEnd"/>
      <w:r w:rsidRPr="008F7EFD">
        <w:rPr>
          <w:sz w:val="24"/>
          <w:szCs w:val="24"/>
        </w:rPr>
        <w:t>/</w:t>
      </w:r>
      <w:proofErr w:type="spellStart"/>
      <w:r w:rsidRPr="008F7EFD">
        <w:rPr>
          <w:sz w:val="24"/>
          <w:szCs w:val="24"/>
        </w:rPr>
        <w:t>Waia</w:t>
      </w:r>
      <w:proofErr w:type="spellEnd"/>
      <w:r w:rsidRPr="008F7EFD">
        <w:rPr>
          <w:sz w:val="24"/>
          <w:szCs w:val="24"/>
        </w:rPr>
        <w:t xml:space="preserve"> had slightly higher private participation than the others.</w:t>
      </w:r>
    </w:p>
    <w:p w:rsidR="000603CD" w:rsidRPr="008F7EFD" w:rsidRDefault="000603CD" w:rsidP="008F7EFD">
      <w:pPr>
        <w:rPr>
          <w:color w:val="00B0F0"/>
          <w:sz w:val="28"/>
          <w:szCs w:val="28"/>
        </w:rPr>
      </w:pPr>
      <w:r w:rsidRPr="008F7EFD">
        <w:rPr>
          <w:color w:val="00B0F0"/>
          <w:sz w:val="28"/>
          <w:szCs w:val="28"/>
        </w:rPr>
        <w:t>Bar Plot for Public vs Private Enrollment</w:t>
      </w:r>
    </w:p>
    <w:p w:rsidR="000603CD" w:rsidRDefault="000603CD" w:rsidP="008F7EFD">
      <w:pPr>
        <w:rPr>
          <w:sz w:val="24"/>
          <w:szCs w:val="24"/>
        </w:rPr>
      </w:pPr>
      <w:r w:rsidRPr="008F7EFD">
        <w:rPr>
          <w:sz w:val="24"/>
          <w:szCs w:val="24"/>
        </w:rPr>
        <w:t>A bar plot was generated to visualize public and private enrollments across each ward. This plot highlights the dominance of public enrollments in all wards, with private enrollments being significantly lower.</w:t>
      </w:r>
    </w:p>
    <w:p w:rsidR="008F7EFD" w:rsidRPr="008F7EFD" w:rsidRDefault="008F7EFD" w:rsidP="008F7EFD">
      <w:pPr>
        <w:rPr>
          <w:sz w:val="24"/>
          <w:szCs w:val="24"/>
        </w:rPr>
      </w:pPr>
      <w:r w:rsidRPr="008F7EFD">
        <w:rPr>
          <w:noProof/>
          <w:sz w:val="24"/>
          <w:szCs w:val="24"/>
        </w:rPr>
        <w:lastRenderedPageBreak/>
        <w:drawing>
          <wp:inline distT="0" distB="0" distL="0" distR="0">
            <wp:extent cx="4730750" cy="472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Pr="008F7EFD" w:rsidRDefault="000603CD" w:rsidP="008F7EFD">
      <w:pPr>
        <w:rPr>
          <w:sz w:val="24"/>
          <w:szCs w:val="24"/>
        </w:rPr>
      </w:pPr>
      <w:r w:rsidRPr="008F7EFD">
        <w:rPr>
          <w:b/>
          <w:bCs/>
          <w:sz w:val="24"/>
          <w:szCs w:val="24"/>
        </w:rPr>
        <w:t>Explanation</w:t>
      </w:r>
      <w:r w:rsidRPr="008F7EFD">
        <w:rPr>
          <w:sz w:val="24"/>
          <w:szCs w:val="24"/>
        </w:rPr>
        <w:t>: The bar plot reveals that public enrollments are far more common than private enrollments in all wards, reinforcing the data from the previous sections.</w:t>
      </w:r>
    </w:p>
    <w:p w:rsidR="000603CD" w:rsidRPr="008F7EFD" w:rsidRDefault="000603CD" w:rsidP="008F7EFD">
      <w:pPr>
        <w:rPr>
          <w:color w:val="00B0F0"/>
          <w:sz w:val="28"/>
          <w:szCs w:val="28"/>
        </w:rPr>
      </w:pPr>
      <w:r w:rsidRPr="008F7EFD">
        <w:rPr>
          <w:color w:val="00B0F0"/>
          <w:sz w:val="28"/>
          <w:szCs w:val="28"/>
        </w:rPr>
        <w:t xml:space="preserve"> Pie Chart for Total Public vs Total Private Enrollment</w:t>
      </w:r>
    </w:p>
    <w:p w:rsidR="000603CD" w:rsidRPr="008F7EFD" w:rsidRDefault="000603CD" w:rsidP="008F7EFD">
      <w:pPr>
        <w:rPr>
          <w:sz w:val="24"/>
          <w:szCs w:val="24"/>
        </w:rPr>
      </w:pPr>
      <w:r w:rsidRPr="008F7EFD">
        <w:rPr>
          <w:sz w:val="24"/>
          <w:szCs w:val="24"/>
        </w:rPr>
        <w:t>A pie chart was created to show the overall proportions of total public vs total private enrollments:</w:t>
      </w:r>
    </w:p>
    <w:p w:rsidR="000603CD" w:rsidRPr="008F7EFD" w:rsidRDefault="000603CD" w:rsidP="008F7EFD">
      <w:pPr>
        <w:rPr>
          <w:sz w:val="24"/>
          <w:szCs w:val="24"/>
        </w:rPr>
      </w:pPr>
      <w:r w:rsidRPr="008F7EFD">
        <w:rPr>
          <w:b/>
          <w:bCs/>
          <w:sz w:val="24"/>
          <w:szCs w:val="24"/>
        </w:rPr>
        <w:t>Public</w:t>
      </w:r>
      <w:r w:rsidRPr="008F7EFD">
        <w:rPr>
          <w:sz w:val="24"/>
          <w:szCs w:val="24"/>
        </w:rPr>
        <w:t>: 91.1%</w:t>
      </w:r>
    </w:p>
    <w:p w:rsidR="000603CD" w:rsidRDefault="000603CD" w:rsidP="008F7EFD">
      <w:pPr>
        <w:rPr>
          <w:sz w:val="24"/>
          <w:szCs w:val="24"/>
        </w:rPr>
      </w:pPr>
      <w:r w:rsidRPr="008F7EFD">
        <w:rPr>
          <w:b/>
          <w:bCs/>
          <w:sz w:val="24"/>
          <w:szCs w:val="24"/>
        </w:rPr>
        <w:t>Private</w:t>
      </w:r>
      <w:r w:rsidRPr="008F7EFD">
        <w:rPr>
          <w:sz w:val="24"/>
          <w:szCs w:val="24"/>
        </w:rPr>
        <w:t>: 8.9%</w:t>
      </w:r>
    </w:p>
    <w:p w:rsidR="008F7EFD" w:rsidRPr="008F7EFD" w:rsidRDefault="008F7EFD" w:rsidP="008F7EFD">
      <w:pPr>
        <w:rPr>
          <w:sz w:val="24"/>
          <w:szCs w:val="24"/>
        </w:rPr>
      </w:pPr>
      <w:r w:rsidRPr="008F7EFD">
        <w:rPr>
          <w:noProof/>
          <w:sz w:val="24"/>
          <w:szCs w:val="24"/>
        </w:rPr>
        <w:lastRenderedPageBreak/>
        <w:drawing>
          <wp:inline distT="0" distB="0" distL="0" distR="0">
            <wp:extent cx="4730750" cy="472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Pr="008F7EFD" w:rsidRDefault="000603CD" w:rsidP="008F7EFD">
      <w:pPr>
        <w:rPr>
          <w:sz w:val="24"/>
          <w:szCs w:val="24"/>
        </w:rPr>
      </w:pPr>
      <w:r w:rsidRPr="008F7EFD">
        <w:rPr>
          <w:b/>
          <w:bCs/>
          <w:sz w:val="24"/>
          <w:szCs w:val="24"/>
        </w:rPr>
        <w:t>Explanation</w:t>
      </w:r>
      <w:r w:rsidRPr="008F7EFD">
        <w:rPr>
          <w:sz w:val="24"/>
          <w:szCs w:val="24"/>
        </w:rPr>
        <w:t xml:space="preserve">: The pie chart illustrates the clear dominance of public enrollments, confirming that the majority of children in ECDE institutions in </w:t>
      </w:r>
      <w:proofErr w:type="spellStart"/>
      <w:r w:rsidRPr="008F7EFD">
        <w:rPr>
          <w:sz w:val="24"/>
          <w:szCs w:val="24"/>
        </w:rPr>
        <w:t>Mbooni</w:t>
      </w:r>
      <w:proofErr w:type="spellEnd"/>
      <w:r w:rsidRPr="008F7EFD">
        <w:rPr>
          <w:sz w:val="24"/>
          <w:szCs w:val="24"/>
        </w:rPr>
        <w:t xml:space="preserve"> Sub-county attend public schools.</w:t>
      </w:r>
    </w:p>
    <w:p w:rsidR="000603CD" w:rsidRPr="000603CD" w:rsidRDefault="000603CD" w:rsidP="000603CD">
      <w:pPr>
        <w:spacing w:before="100" w:beforeAutospacing="1" w:after="100" w:afterAutospacing="1" w:line="240" w:lineRule="auto"/>
        <w:outlineLvl w:val="3"/>
        <w:rPr>
          <w:rFonts w:ascii="Times New Roman" w:eastAsia="Times New Roman" w:hAnsi="Times New Roman" w:cs="Times New Roman"/>
          <w:b/>
          <w:bCs/>
          <w:sz w:val="24"/>
          <w:szCs w:val="24"/>
        </w:rPr>
      </w:pPr>
      <w:r w:rsidRPr="000603CD">
        <w:rPr>
          <w:rFonts w:ascii="Times New Roman" w:eastAsia="Times New Roman" w:hAnsi="Times New Roman" w:cs="Times New Roman"/>
          <w:b/>
          <w:bCs/>
          <w:sz w:val="24"/>
          <w:szCs w:val="24"/>
        </w:rPr>
        <w:t>7. Pie Chart for Each Ward</w:t>
      </w:r>
    </w:p>
    <w:p w:rsidR="000603CD" w:rsidRDefault="000603CD" w:rsidP="000603CD">
      <w:pPr>
        <w:spacing w:before="100" w:beforeAutospacing="1" w:after="100" w:afterAutospacing="1" w:line="240" w:lineRule="auto"/>
        <w:rPr>
          <w:rFonts w:ascii="Times New Roman" w:eastAsia="Times New Roman" w:hAnsi="Times New Roman" w:cs="Times New Roman"/>
          <w:sz w:val="24"/>
          <w:szCs w:val="24"/>
        </w:rPr>
      </w:pPr>
      <w:r w:rsidRPr="000603CD">
        <w:rPr>
          <w:rFonts w:ascii="Times New Roman" w:eastAsia="Times New Roman" w:hAnsi="Times New Roman" w:cs="Times New Roman"/>
          <w:sz w:val="24"/>
          <w:szCs w:val="24"/>
        </w:rPr>
        <w:t xml:space="preserve">Pie charts were generated for each ward to show the distribution of public and private enrollments. The chart for </w:t>
      </w:r>
      <w:proofErr w:type="spellStart"/>
      <w:r w:rsidRPr="000603CD">
        <w:rPr>
          <w:rFonts w:ascii="Times New Roman" w:eastAsia="Times New Roman" w:hAnsi="Times New Roman" w:cs="Times New Roman"/>
          <w:sz w:val="24"/>
          <w:szCs w:val="24"/>
        </w:rPr>
        <w:t>Kithungo</w:t>
      </w:r>
      <w:proofErr w:type="spellEnd"/>
      <w:r w:rsidRPr="000603CD">
        <w:rPr>
          <w:rFonts w:ascii="Times New Roman" w:eastAsia="Times New Roman" w:hAnsi="Times New Roman" w:cs="Times New Roman"/>
          <w:sz w:val="24"/>
          <w:szCs w:val="24"/>
        </w:rPr>
        <w:t>/</w:t>
      </w:r>
      <w:proofErr w:type="spellStart"/>
      <w:r w:rsidRPr="000603CD">
        <w:rPr>
          <w:rFonts w:ascii="Times New Roman" w:eastAsia="Times New Roman" w:hAnsi="Times New Roman" w:cs="Times New Roman"/>
          <w:sz w:val="24"/>
          <w:szCs w:val="24"/>
        </w:rPr>
        <w:t>Kitundu</w:t>
      </w:r>
      <w:proofErr w:type="spellEnd"/>
      <w:r w:rsidRPr="000603CD">
        <w:rPr>
          <w:rFonts w:ascii="Times New Roman" w:eastAsia="Times New Roman" w:hAnsi="Times New Roman" w:cs="Times New Roman"/>
          <w:sz w:val="24"/>
          <w:szCs w:val="24"/>
        </w:rPr>
        <w:t xml:space="preserve"> showed 100% public enrollment, while the chart for </w:t>
      </w:r>
      <w:proofErr w:type="spellStart"/>
      <w:r w:rsidRPr="000603CD">
        <w:rPr>
          <w:rFonts w:ascii="Times New Roman" w:eastAsia="Times New Roman" w:hAnsi="Times New Roman" w:cs="Times New Roman"/>
          <w:sz w:val="24"/>
          <w:szCs w:val="24"/>
        </w:rPr>
        <w:t>Kisau</w:t>
      </w:r>
      <w:proofErr w:type="spellEnd"/>
      <w:r w:rsidRPr="000603CD">
        <w:rPr>
          <w:rFonts w:ascii="Times New Roman" w:eastAsia="Times New Roman" w:hAnsi="Times New Roman" w:cs="Times New Roman"/>
          <w:sz w:val="24"/>
          <w:szCs w:val="24"/>
        </w:rPr>
        <w:t>/</w:t>
      </w:r>
      <w:proofErr w:type="spellStart"/>
      <w:r w:rsidRPr="000603CD">
        <w:rPr>
          <w:rFonts w:ascii="Times New Roman" w:eastAsia="Times New Roman" w:hAnsi="Times New Roman" w:cs="Times New Roman"/>
          <w:sz w:val="24"/>
          <w:szCs w:val="24"/>
        </w:rPr>
        <w:t>Kiteta</w:t>
      </w:r>
      <w:proofErr w:type="spellEnd"/>
      <w:r w:rsidRPr="000603CD">
        <w:rPr>
          <w:rFonts w:ascii="Times New Roman" w:eastAsia="Times New Roman" w:hAnsi="Times New Roman" w:cs="Times New Roman"/>
          <w:sz w:val="24"/>
          <w:szCs w:val="24"/>
        </w:rPr>
        <w:t xml:space="preserve"> showed the highest private enrollment percentage.</w:t>
      </w:r>
    </w:p>
    <w:p w:rsidR="00CE4958" w:rsidRPr="000603CD" w:rsidRDefault="00CE4958" w:rsidP="000603CD">
      <w:pPr>
        <w:spacing w:before="100" w:beforeAutospacing="1" w:after="100" w:afterAutospacing="1" w:line="240" w:lineRule="auto"/>
        <w:rPr>
          <w:rFonts w:ascii="Times New Roman" w:eastAsia="Times New Roman" w:hAnsi="Times New Roman" w:cs="Times New Roman"/>
          <w:sz w:val="24"/>
          <w:szCs w:val="24"/>
        </w:rPr>
      </w:pPr>
      <w:r w:rsidRPr="00CE4958">
        <w:rPr>
          <w:rFonts w:ascii="Times New Roman" w:eastAsia="Times New Roman" w:hAnsi="Times New Roman" w:cs="Times New Roman"/>
          <w:noProof/>
          <w:sz w:val="24"/>
          <w:szCs w:val="24"/>
        </w:rPr>
        <w:lastRenderedPageBreak/>
        <w:drawing>
          <wp:inline distT="0" distB="0" distL="0" distR="0">
            <wp:extent cx="47307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CE4958" w:rsidRDefault="00CE4958" w:rsidP="000603CD">
      <w:pPr>
        <w:spacing w:before="100" w:beforeAutospacing="1" w:after="100" w:afterAutospacing="1" w:line="240" w:lineRule="auto"/>
        <w:rPr>
          <w:rFonts w:ascii="Times New Roman" w:eastAsia="Times New Roman" w:hAnsi="Times New Roman" w:cs="Times New Roman"/>
          <w:b/>
          <w:bCs/>
          <w:sz w:val="24"/>
          <w:szCs w:val="24"/>
        </w:rPr>
      </w:pPr>
      <w:r w:rsidRPr="00CE4958">
        <w:rPr>
          <w:rFonts w:ascii="Times New Roman" w:eastAsia="Times New Roman" w:hAnsi="Times New Roman" w:cs="Times New Roman"/>
          <w:b/>
          <w:bCs/>
          <w:noProof/>
          <w:sz w:val="24"/>
          <w:szCs w:val="24"/>
        </w:rPr>
        <w:lastRenderedPageBreak/>
        <w:drawing>
          <wp:inline distT="0" distB="0" distL="0" distR="0">
            <wp:extent cx="4730750" cy="471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0750" cy="4718050"/>
                    </a:xfrm>
                    <a:prstGeom prst="rect">
                      <a:avLst/>
                    </a:prstGeom>
                    <a:noFill/>
                    <a:ln>
                      <a:noFill/>
                    </a:ln>
                  </pic:spPr>
                </pic:pic>
              </a:graphicData>
            </a:graphic>
          </wp:inline>
        </w:drawing>
      </w:r>
    </w:p>
    <w:p w:rsidR="00CE4958" w:rsidRDefault="00CE4958" w:rsidP="000603CD">
      <w:pPr>
        <w:spacing w:before="100" w:beforeAutospacing="1" w:after="100" w:afterAutospacing="1" w:line="240" w:lineRule="auto"/>
        <w:rPr>
          <w:rFonts w:ascii="Times New Roman" w:eastAsia="Times New Roman" w:hAnsi="Times New Roman" w:cs="Times New Roman"/>
          <w:b/>
          <w:bCs/>
          <w:sz w:val="24"/>
          <w:szCs w:val="24"/>
        </w:rPr>
      </w:pPr>
      <w:r w:rsidRPr="00CE4958">
        <w:rPr>
          <w:rFonts w:ascii="Times New Roman" w:eastAsia="Times New Roman" w:hAnsi="Times New Roman" w:cs="Times New Roman"/>
          <w:b/>
          <w:bCs/>
          <w:noProof/>
          <w:sz w:val="24"/>
          <w:szCs w:val="24"/>
        </w:rPr>
        <w:lastRenderedPageBreak/>
        <w:drawing>
          <wp:inline distT="0" distB="0" distL="0" distR="0">
            <wp:extent cx="4730750" cy="472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CE4958" w:rsidRDefault="00CB39EC" w:rsidP="000603CD">
      <w:pPr>
        <w:spacing w:before="100" w:beforeAutospacing="1" w:after="100" w:afterAutospacing="1" w:line="240" w:lineRule="auto"/>
        <w:rPr>
          <w:rFonts w:ascii="Times New Roman" w:eastAsia="Times New Roman" w:hAnsi="Times New Roman" w:cs="Times New Roman"/>
          <w:b/>
          <w:bCs/>
          <w:sz w:val="24"/>
          <w:szCs w:val="24"/>
        </w:rPr>
      </w:pPr>
      <w:r w:rsidRPr="00CB39EC">
        <w:rPr>
          <w:rFonts w:ascii="Times New Roman" w:eastAsia="Times New Roman" w:hAnsi="Times New Roman" w:cs="Times New Roman"/>
          <w:b/>
          <w:bCs/>
          <w:noProof/>
          <w:sz w:val="24"/>
          <w:szCs w:val="24"/>
        </w:rPr>
        <w:lastRenderedPageBreak/>
        <w:drawing>
          <wp:inline distT="0" distB="0" distL="0" distR="0">
            <wp:extent cx="4730750" cy="472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CB39EC" w:rsidRDefault="00CB39EC" w:rsidP="000603CD">
      <w:pPr>
        <w:spacing w:before="100" w:beforeAutospacing="1" w:after="100" w:afterAutospacing="1" w:line="240" w:lineRule="auto"/>
        <w:rPr>
          <w:rFonts w:ascii="Times New Roman" w:eastAsia="Times New Roman" w:hAnsi="Times New Roman" w:cs="Times New Roman"/>
          <w:b/>
          <w:bCs/>
          <w:sz w:val="24"/>
          <w:szCs w:val="24"/>
        </w:rPr>
      </w:pPr>
      <w:r w:rsidRPr="00CB39EC">
        <w:rPr>
          <w:rFonts w:ascii="Times New Roman" w:eastAsia="Times New Roman" w:hAnsi="Times New Roman" w:cs="Times New Roman"/>
          <w:b/>
          <w:bCs/>
          <w:noProof/>
          <w:sz w:val="24"/>
          <w:szCs w:val="24"/>
        </w:rPr>
        <w:lastRenderedPageBreak/>
        <w:drawing>
          <wp:inline distT="0" distB="0" distL="0" distR="0">
            <wp:extent cx="4730750" cy="472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CB39EC" w:rsidRDefault="00CB39EC" w:rsidP="000603CD">
      <w:pPr>
        <w:spacing w:before="100" w:beforeAutospacing="1" w:after="100" w:afterAutospacing="1" w:line="240" w:lineRule="auto"/>
        <w:rPr>
          <w:rFonts w:ascii="Times New Roman" w:eastAsia="Times New Roman" w:hAnsi="Times New Roman" w:cs="Times New Roman"/>
          <w:b/>
          <w:bCs/>
          <w:sz w:val="24"/>
          <w:szCs w:val="24"/>
        </w:rPr>
      </w:pPr>
      <w:r w:rsidRPr="00CB39EC">
        <w:rPr>
          <w:rFonts w:ascii="Times New Roman" w:eastAsia="Times New Roman" w:hAnsi="Times New Roman" w:cs="Times New Roman"/>
          <w:b/>
          <w:bCs/>
          <w:noProof/>
          <w:sz w:val="24"/>
          <w:szCs w:val="24"/>
        </w:rPr>
        <w:lastRenderedPageBreak/>
        <w:drawing>
          <wp:inline distT="0" distB="0" distL="0" distR="0">
            <wp:extent cx="473075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Pr="00CB39EC" w:rsidRDefault="000603CD" w:rsidP="00CB39EC">
      <w:pPr>
        <w:rPr>
          <w:sz w:val="24"/>
          <w:szCs w:val="24"/>
        </w:rPr>
      </w:pPr>
      <w:r w:rsidRPr="00CB39EC">
        <w:rPr>
          <w:b/>
          <w:bCs/>
          <w:sz w:val="24"/>
          <w:szCs w:val="24"/>
        </w:rPr>
        <w:t>Explanation</w:t>
      </w:r>
      <w:r w:rsidRPr="00CB39EC">
        <w:rPr>
          <w:sz w:val="24"/>
          <w:szCs w:val="24"/>
        </w:rPr>
        <w:t>: These charts allow for a ward-level comparison, visually demonstrating how each ward contributes to the overall enrollment picture.</w:t>
      </w:r>
    </w:p>
    <w:p w:rsidR="000603CD" w:rsidRPr="00CB39EC" w:rsidRDefault="000603CD" w:rsidP="00CB39EC">
      <w:pPr>
        <w:rPr>
          <w:color w:val="00B0F0"/>
          <w:sz w:val="28"/>
          <w:szCs w:val="28"/>
        </w:rPr>
      </w:pPr>
      <w:r w:rsidRPr="00CB39EC">
        <w:rPr>
          <w:color w:val="00B0F0"/>
          <w:sz w:val="28"/>
          <w:szCs w:val="28"/>
        </w:rPr>
        <w:t>Correlation Analysis</w:t>
      </w:r>
    </w:p>
    <w:p w:rsidR="000603CD" w:rsidRPr="00CB39EC" w:rsidRDefault="000603CD" w:rsidP="00CB39EC">
      <w:pPr>
        <w:rPr>
          <w:sz w:val="24"/>
          <w:szCs w:val="24"/>
        </w:rPr>
      </w:pPr>
      <w:r w:rsidRPr="00CB39EC">
        <w:rPr>
          <w:sz w:val="24"/>
          <w:szCs w:val="24"/>
        </w:rPr>
        <w:t>Correlation between Public and Private Enrollment: 0.</w:t>
      </w:r>
      <w:r w:rsidR="00CB39EC">
        <w:rPr>
          <w:sz w:val="24"/>
          <w:szCs w:val="24"/>
        </w:rPr>
        <w:t>276</w:t>
      </w:r>
    </w:p>
    <w:p w:rsidR="000603CD" w:rsidRPr="00CB39EC" w:rsidRDefault="000603CD" w:rsidP="00CB39EC">
      <w:pPr>
        <w:rPr>
          <w:sz w:val="24"/>
          <w:szCs w:val="24"/>
        </w:rPr>
      </w:pPr>
      <w:r w:rsidRPr="00CB39EC">
        <w:rPr>
          <w:sz w:val="24"/>
          <w:szCs w:val="24"/>
        </w:rPr>
        <w:t>Correlation between Public and Total Enrollment: 0.</w:t>
      </w:r>
      <w:r w:rsidR="00CB39EC">
        <w:rPr>
          <w:sz w:val="24"/>
          <w:szCs w:val="24"/>
        </w:rPr>
        <w:t>975</w:t>
      </w:r>
    </w:p>
    <w:p w:rsidR="000603CD" w:rsidRPr="00CB39EC" w:rsidRDefault="000603CD" w:rsidP="00CB39EC">
      <w:pPr>
        <w:rPr>
          <w:sz w:val="24"/>
          <w:szCs w:val="24"/>
        </w:rPr>
      </w:pPr>
      <w:r w:rsidRPr="00CB39EC">
        <w:rPr>
          <w:sz w:val="24"/>
          <w:szCs w:val="24"/>
        </w:rPr>
        <w:t>Correlation between Private and Total Enrollment: 0.</w:t>
      </w:r>
      <w:r w:rsidR="00CB39EC">
        <w:rPr>
          <w:sz w:val="24"/>
          <w:szCs w:val="24"/>
        </w:rPr>
        <w:t>483</w:t>
      </w:r>
    </w:p>
    <w:p w:rsidR="000603CD" w:rsidRDefault="000603CD" w:rsidP="000D5B55">
      <w:pPr>
        <w:rPr>
          <w:color w:val="00B0F0"/>
          <w:sz w:val="28"/>
          <w:szCs w:val="28"/>
        </w:rPr>
      </w:pPr>
      <w:r w:rsidRPr="000D5B55">
        <w:rPr>
          <w:color w:val="00B0F0"/>
          <w:sz w:val="28"/>
          <w:szCs w:val="28"/>
        </w:rPr>
        <w:t>Explanation:</w:t>
      </w:r>
    </w:p>
    <w:p w:rsidR="000D5B55" w:rsidRPr="000D5B55" w:rsidRDefault="000D5B55" w:rsidP="000D5B55">
      <w:pPr>
        <w:rPr>
          <w:color w:val="00B0F0"/>
          <w:sz w:val="24"/>
          <w:szCs w:val="24"/>
        </w:rPr>
      </w:pPr>
      <w:r w:rsidRPr="000D5B55">
        <w:rPr>
          <w:sz w:val="24"/>
          <w:szCs w:val="24"/>
        </w:rPr>
        <w:t xml:space="preserve">The public vs private correlation of </w:t>
      </w:r>
      <w:r w:rsidRPr="000D5B55">
        <w:rPr>
          <w:rStyle w:val="Strong"/>
          <w:sz w:val="24"/>
          <w:szCs w:val="24"/>
        </w:rPr>
        <w:t>0.276</w:t>
      </w:r>
      <w:r w:rsidRPr="000D5B55">
        <w:rPr>
          <w:sz w:val="24"/>
          <w:szCs w:val="24"/>
        </w:rPr>
        <w:t xml:space="preserve"> indicates a </w:t>
      </w:r>
      <w:r w:rsidRPr="000D5B55">
        <w:rPr>
          <w:rStyle w:val="Strong"/>
          <w:sz w:val="24"/>
          <w:szCs w:val="24"/>
        </w:rPr>
        <w:t>weak positive relationship</w:t>
      </w:r>
      <w:r w:rsidRPr="000D5B55">
        <w:rPr>
          <w:sz w:val="24"/>
          <w:szCs w:val="24"/>
        </w:rPr>
        <w:t>. This suggests that, although there is some connection between public and private enrollments, it is not very strong.</w:t>
      </w:r>
    </w:p>
    <w:p w:rsidR="000603CD" w:rsidRDefault="000603CD" w:rsidP="000D5B55">
      <w:pPr>
        <w:rPr>
          <w:sz w:val="24"/>
          <w:szCs w:val="24"/>
        </w:rPr>
      </w:pPr>
      <w:r w:rsidRPr="000D5B55">
        <w:rPr>
          <w:sz w:val="24"/>
          <w:szCs w:val="24"/>
        </w:rPr>
        <w:t xml:space="preserve">The </w:t>
      </w:r>
      <w:r w:rsidRPr="000D5B55">
        <w:rPr>
          <w:b/>
          <w:bCs/>
          <w:sz w:val="24"/>
          <w:szCs w:val="24"/>
        </w:rPr>
        <w:t>public vs total correlation</w:t>
      </w:r>
      <w:r w:rsidRPr="000D5B55">
        <w:rPr>
          <w:sz w:val="24"/>
          <w:szCs w:val="24"/>
        </w:rPr>
        <w:t xml:space="preserve"> of 0.975 shows a very strong positive relationship, meaning that public enrollments are a major factor in determining total enrollments.</w:t>
      </w:r>
    </w:p>
    <w:p w:rsidR="000D5B55" w:rsidRPr="000D5B55" w:rsidRDefault="000D5B55" w:rsidP="000D5B55">
      <w:pPr>
        <w:rPr>
          <w:sz w:val="24"/>
          <w:szCs w:val="24"/>
        </w:rPr>
      </w:pPr>
      <w:r w:rsidRPr="000D5B55">
        <w:rPr>
          <w:sz w:val="24"/>
          <w:szCs w:val="24"/>
        </w:rPr>
        <w:lastRenderedPageBreak/>
        <w:t>The correlation of 0.483 between private and total enrollments indicates a moderate positive relationship, meaning that as private enrollments increase, total enrollments tend to increase as well. However, since the correlation is less than 0.5, it suggests that private enrollments contribute to the total but not as strongly as other factors, likely including public enrollments.</w:t>
      </w:r>
    </w:p>
    <w:p w:rsidR="000603CD" w:rsidRPr="000D5B55" w:rsidRDefault="000603CD" w:rsidP="000D5B55">
      <w:pPr>
        <w:rPr>
          <w:color w:val="00B0F0"/>
          <w:sz w:val="28"/>
          <w:szCs w:val="28"/>
        </w:rPr>
      </w:pPr>
      <w:r w:rsidRPr="000D5B55">
        <w:rPr>
          <w:color w:val="00B0F0"/>
          <w:sz w:val="28"/>
          <w:szCs w:val="28"/>
        </w:rPr>
        <w:t>Scatter Plots</w:t>
      </w:r>
    </w:p>
    <w:p w:rsidR="000603CD" w:rsidRDefault="000603CD" w:rsidP="000D5B55">
      <w:pPr>
        <w:rPr>
          <w:sz w:val="24"/>
          <w:szCs w:val="24"/>
        </w:rPr>
      </w:pPr>
      <w:r w:rsidRPr="000D5B55">
        <w:rPr>
          <w:b/>
          <w:bCs/>
          <w:sz w:val="24"/>
          <w:szCs w:val="24"/>
        </w:rPr>
        <w:t>Public vs Private</w:t>
      </w:r>
      <w:r w:rsidRPr="000D5B55">
        <w:rPr>
          <w:sz w:val="24"/>
          <w:szCs w:val="24"/>
        </w:rPr>
        <w:t>: The scatter plot shows a positive trend, with some wards exhibiting high public enrollments but low private enrollments.</w:t>
      </w:r>
    </w:p>
    <w:p w:rsidR="00B441E5" w:rsidRPr="000D5B55" w:rsidRDefault="00B441E5" w:rsidP="000D5B55">
      <w:pPr>
        <w:rPr>
          <w:sz w:val="24"/>
          <w:szCs w:val="24"/>
        </w:rPr>
      </w:pPr>
      <w:r w:rsidRPr="00B441E5">
        <w:rPr>
          <w:noProof/>
          <w:sz w:val="24"/>
          <w:szCs w:val="24"/>
        </w:rPr>
        <w:drawing>
          <wp:inline distT="0" distB="0" distL="0" distR="0">
            <wp:extent cx="4730750" cy="4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Default="000603CD" w:rsidP="000D5B55">
      <w:pPr>
        <w:rPr>
          <w:sz w:val="24"/>
          <w:szCs w:val="24"/>
        </w:rPr>
      </w:pPr>
      <w:r w:rsidRPr="000D5B55">
        <w:rPr>
          <w:b/>
          <w:bCs/>
          <w:sz w:val="24"/>
          <w:szCs w:val="24"/>
        </w:rPr>
        <w:t>Public vs Total</w:t>
      </w:r>
      <w:r w:rsidRPr="000D5B55">
        <w:rPr>
          <w:sz w:val="24"/>
          <w:szCs w:val="24"/>
        </w:rPr>
        <w:t>: A very strong linear relationship is observed, indicating that public enrollments heavily influence the total enrollments.</w:t>
      </w:r>
    </w:p>
    <w:p w:rsidR="006D53AF" w:rsidRPr="000D5B55" w:rsidRDefault="006D53AF" w:rsidP="000D5B55">
      <w:pPr>
        <w:rPr>
          <w:sz w:val="24"/>
          <w:szCs w:val="24"/>
        </w:rPr>
      </w:pPr>
      <w:r w:rsidRPr="006D53AF">
        <w:rPr>
          <w:noProof/>
          <w:sz w:val="24"/>
          <w:szCs w:val="24"/>
        </w:rPr>
        <w:lastRenderedPageBreak/>
        <w:drawing>
          <wp:inline distT="0" distB="0" distL="0" distR="0">
            <wp:extent cx="4730750" cy="472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Default="000603CD" w:rsidP="000D5B55">
      <w:pPr>
        <w:rPr>
          <w:sz w:val="24"/>
          <w:szCs w:val="24"/>
        </w:rPr>
      </w:pPr>
      <w:r w:rsidRPr="000D5B55">
        <w:rPr>
          <w:b/>
          <w:bCs/>
          <w:sz w:val="24"/>
          <w:szCs w:val="24"/>
        </w:rPr>
        <w:t>Private vs Total</w:t>
      </w:r>
      <w:r w:rsidRPr="000D5B55">
        <w:rPr>
          <w:sz w:val="24"/>
          <w:szCs w:val="24"/>
        </w:rPr>
        <w:t>: A moderate linear relationship is seen, indicating that private enrollments have a moderate influence on total enrollments.</w:t>
      </w:r>
    </w:p>
    <w:p w:rsidR="006D53AF" w:rsidRPr="000D5B55" w:rsidRDefault="006D53AF" w:rsidP="000D5B55">
      <w:pPr>
        <w:rPr>
          <w:sz w:val="24"/>
          <w:szCs w:val="24"/>
        </w:rPr>
      </w:pPr>
      <w:r w:rsidRPr="006D53AF">
        <w:rPr>
          <w:noProof/>
          <w:sz w:val="24"/>
          <w:szCs w:val="24"/>
        </w:rPr>
        <w:lastRenderedPageBreak/>
        <w:drawing>
          <wp:inline distT="0" distB="0" distL="0" distR="0">
            <wp:extent cx="4730750" cy="472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0750" cy="4724400"/>
                    </a:xfrm>
                    <a:prstGeom prst="rect">
                      <a:avLst/>
                    </a:prstGeom>
                    <a:noFill/>
                    <a:ln>
                      <a:noFill/>
                    </a:ln>
                  </pic:spPr>
                </pic:pic>
              </a:graphicData>
            </a:graphic>
          </wp:inline>
        </w:drawing>
      </w:r>
    </w:p>
    <w:p w:rsidR="000603CD" w:rsidRPr="006D53AF" w:rsidRDefault="000603CD" w:rsidP="006D53AF">
      <w:pPr>
        <w:rPr>
          <w:sz w:val="24"/>
          <w:szCs w:val="24"/>
        </w:rPr>
      </w:pPr>
      <w:r w:rsidRPr="006D53AF">
        <w:rPr>
          <w:b/>
          <w:bCs/>
          <w:sz w:val="24"/>
          <w:szCs w:val="24"/>
        </w:rPr>
        <w:t>Explanation</w:t>
      </w:r>
      <w:r w:rsidRPr="006D53AF">
        <w:rPr>
          <w:sz w:val="24"/>
          <w:szCs w:val="24"/>
        </w:rPr>
        <w:t>: The scatter plots help visualize the correlations. The stronger the correlation coefficient, the more linear the points appear on the scatter plot, with public enrollments having a much clearer relationship with total enrollments than private enrollments do.</w:t>
      </w:r>
    </w:p>
    <w:p w:rsidR="000603CD" w:rsidRPr="006D53AF" w:rsidRDefault="000603CD" w:rsidP="006D53AF">
      <w:pPr>
        <w:rPr>
          <w:color w:val="00B0F0"/>
          <w:sz w:val="28"/>
          <w:szCs w:val="28"/>
        </w:rPr>
      </w:pPr>
      <w:r w:rsidRPr="006D53AF">
        <w:rPr>
          <w:color w:val="00B0F0"/>
          <w:sz w:val="28"/>
          <w:szCs w:val="28"/>
        </w:rPr>
        <w:t>Conclusion</w:t>
      </w:r>
    </w:p>
    <w:p w:rsidR="000603CD" w:rsidRPr="006D53AF" w:rsidRDefault="000603CD" w:rsidP="006D53AF">
      <w:pPr>
        <w:rPr>
          <w:sz w:val="24"/>
          <w:szCs w:val="24"/>
        </w:rPr>
      </w:pPr>
      <w:r w:rsidRPr="006D53AF">
        <w:rPr>
          <w:sz w:val="24"/>
          <w:szCs w:val="24"/>
        </w:rPr>
        <w:t xml:space="preserve">The analysis reveals that public enrollments dominate the ECDE landscape in </w:t>
      </w:r>
      <w:proofErr w:type="spellStart"/>
      <w:r w:rsidRPr="006D53AF">
        <w:rPr>
          <w:sz w:val="24"/>
          <w:szCs w:val="24"/>
        </w:rPr>
        <w:t>Mbooni</w:t>
      </w:r>
      <w:proofErr w:type="spellEnd"/>
      <w:r w:rsidRPr="006D53AF">
        <w:rPr>
          <w:sz w:val="24"/>
          <w:szCs w:val="24"/>
        </w:rPr>
        <w:t xml:space="preserve"> Sub-county, with private enrollments playing a much smaller role. The correlations show that public enrollments are strongly linked to total enrollments, while private enrollments have a more moderate impact. This analysis highlights the need to focus on public institutions when considering policies aimed at improving ECDE participation in the area.</w:t>
      </w:r>
    </w:p>
    <w:p w:rsidR="000603CD" w:rsidRPr="006D53AF" w:rsidRDefault="000603CD" w:rsidP="006D53AF">
      <w:pPr>
        <w:rPr>
          <w:sz w:val="24"/>
          <w:szCs w:val="24"/>
        </w:rPr>
      </w:pPr>
      <w:r w:rsidRPr="006D53AF">
        <w:rPr>
          <w:sz w:val="24"/>
          <w:szCs w:val="24"/>
        </w:rPr>
        <w:t xml:space="preserve">Efforts to encourage private enrollments could be targeted in specific wards, such as </w:t>
      </w:r>
      <w:proofErr w:type="spellStart"/>
      <w:r w:rsidRPr="006D53AF">
        <w:rPr>
          <w:sz w:val="24"/>
          <w:szCs w:val="24"/>
        </w:rPr>
        <w:t>Kisau</w:t>
      </w:r>
      <w:proofErr w:type="spellEnd"/>
      <w:r w:rsidRPr="006D53AF">
        <w:rPr>
          <w:sz w:val="24"/>
          <w:szCs w:val="24"/>
        </w:rPr>
        <w:t>/</w:t>
      </w:r>
      <w:proofErr w:type="spellStart"/>
      <w:r w:rsidRPr="006D53AF">
        <w:rPr>
          <w:sz w:val="24"/>
          <w:szCs w:val="24"/>
        </w:rPr>
        <w:t>Kiteta</w:t>
      </w:r>
      <w:proofErr w:type="spellEnd"/>
      <w:r w:rsidRPr="006D53AF">
        <w:rPr>
          <w:sz w:val="24"/>
          <w:szCs w:val="24"/>
        </w:rPr>
        <w:t xml:space="preserve">, which already has a relatively higher proportion of private enrollments. Further investigation into why some wards have no private enrollments (e.g., </w:t>
      </w:r>
      <w:proofErr w:type="spellStart"/>
      <w:r w:rsidRPr="006D53AF">
        <w:rPr>
          <w:sz w:val="24"/>
          <w:szCs w:val="24"/>
        </w:rPr>
        <w:t>Kithungo</w:t>
      </w:r>
      <w:proofErr w:type="spellEnd"/>
      <w:r w:rsidRPr="006D53AF">
        <w:rPr>
          <w:sz w:val="24"/>
          <w:szCs w:val="24"/>
        </w:rPr>
        <w:t>/</w:t>
      </w:r>
      <w:proofErr w:type="spellStart"/>
      <w:r w:rsidRPr="006D53AF">
        <w:rPr>
          <w:sz w:val="24"/>
          <w:szCs w:val="24"/>
        </w:rPr>
        <w:t>Kitundu</w:t>
      </w:r>
      <w:proofErr w:type="spellEnd"/>
      <w:r w:rsidRPr="006D53AF">
        <w:rPr>
          <w:sz w:val="24"/>
          <w:szCs w:val="24"/>
        </w:rPr>
        <w:t>) may also be valuable.</w:t>
      </w:r>
    </w:p>
    <w:p w:rsidR="00B67746" w:rsidRDefault="006D53AF"/>
    <w:sectPr w:rsidR="00B6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38C1"/>
    <w:multiLevelType w:val="multilevel"/>
    <w:tmpl w:val="1E28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A5E45"/>
    <w:multiLevelType w:val="multilevel"/>
    <w:tmpl w:val="AE184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45BC3"/>
    <w:multiLevelType w:val="multilevel"/>
    <w:tmpl w:val="020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83D8A"/>
    <w:multiLevelType w:val="multilevel"/>
    <w:tmpl w:val="5446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E18D5"/>
    <w:multiLevelType w:val="multilevel"/>
    <w:tmpl w:val="C2E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B0168E"/>
    <w:multiLevelType w:val="multilevel"/>
    <w:tmpl w:val="EA6A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3CD"/>
    <w:rsid w:val="000603CD"/>
    <w:rsid w:val="000D5B55"/>
    <w:rsid w:val="00415241"/>
    <w:rsid w:val="006D53AF"/>
    <w:rsid w:val="008F7EFD"/>
    <w:rsid w:val="00B441E5"/>
    <w:rsid w:val="00CB39EC"/>
    <w:rsid w:val="00CE4958"/>
    <w:rsid w:val="00E1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350F1"/>
  <w15:chartTrackingRefBased/>
  <w15:docId w15:val="{E3F6C4CD-56BE-47C6-A0C6-FC4729D0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03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603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03C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603C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03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0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95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Jonathan</dc:creator>
  <cp:keywords/>
  <dc:description/>
  <cp:lastModifiedBy>Ronald Jonathan</cp:lastModifiedBy>
  <cp:revision>1</cp:revision>
  <dcterms:created xsi:type="dcterms:W3CDTF">2024-09-13T06:53:00Z</dcterms:created>
  <dcterms:modified xsi:type="dcterms:W3CDTF">2024-09-13T08:15:00Z</dcterms:modified>
</cp:coreProperties>
</file>