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2B49"/>
          <w:sz w:val="28"/>
        </w:rPr>
        <w:t>LAGUNA STATE POLYTECHNIC UNIVERSITY</w:t>
        <w:br/>
      </w:r>
      <w:r>
        <w:rPr>
          <w:b/>
          <w:color w:val="182B49"/>
          <w:sz w:val="24"/>
        </w:rPr>
        <w:t>COLLEGE OF COMPUTER STUDIES</w:t>
        <w:br/>
      </w:r>
      <w:r>
        <w:rPr>
          <w:color w:val="595959"/>
          <w:sz w:val="22"/>
        </w:rPr>
        <w:t>BACHELOR OF SCIENCE IN INFORMATION TECHNOLOGY</w:t>
        <w:br/>
        <w:br/>
        <w:br/>
        <w:br/>
      </w:r>
    </w:p>
    <w:p>
      <w:pPr>
        <w:jc w:val="center"/>
      </w:pPr>
      <w:r>
        <w:rPr>
          <w:b/>
          <w:color w:val="182B49"/>
          <w:sz w:val="44"/>
        </w:rPr>
        <w:t>ENTERPRISE CYBERSECURITY PLAN</w:t>
        <w:br/>
      </w:r>
      <w:r>
        <w:rPr>
          <w:b/>
          <w:color w:val="1F4E79"/>
          <w:sz w:val="26"/>
        </w:rPr>
        <w:t>SYSTEM SECURITY ARCHITECTURE, THREAT MODELING, &amp; GOVERNANCE ALIGNMENT FOR THE SMARTCANTEEN (MEALS) CANTEEN INVENTORY &amp; DEPED FINANCIAL REPORTING SYSTEM</w:t>
        <w:br/>
        <w:br/>
      </w:r>
    </w:p>
    <w:p>
      <w:pPr>
        <w:jc w:val="center"/>
      </w:pPr>
      <w:r>
        <w:rPr>
          <w:color w:val="595959"/>
          <w:sz w:val="21"/>
        </w:rPr>
        <w:t>A Comprehensive Security Assurance Plan Presented in Partial Fulfillment of the Requirements for</w:t>
        <w:br/>
        <w:t>ITEP 413: INFORMATION ASSURANCE AND SECURITY 2</w:t>
        <w:br/>
        <w:br/>
        <w:t>Target Beneficiary: Bay Central Elementary School — DepEd Division of Laguna</w:t>
        <w:br/>
        <w:br/>
        <w:br/>
        <w:br/>
      </w:r>
    </w:p>
    <w:p>
      <w:pPr>
        <w:jc w:val="center"/>
      </w:pPr>
      <w:r>
        <w:rPr>
          <w:b/>
          <w:sz w:val="22"/>
        </w:rPr>
        <w:t>Prepared by:</w:t>
        <w:br/>
      </w:r>
      <w:r>
        <w:rPr>
          <w:b/>
          <w:color w:val="182B49"/>
          <w:sz w:val="24"/>
        </w:rPr>
        <w:t>Ronald Mark &amp; The SmartCanteen Capstone Development Team</w:t>
        <w:br/>
        <w:br/>
      </w:r>
      <w:r>
        <w:rPr>
          <w:color w:val="595959"/>
          <w:sz w:val="20"/>
        </w:rPr>
        <w:t>Academic Year 2025–2026</w:t>
        <w:br/>
        <w:t>Document Reference: ITEP413_CyberPlan_SmartCanteen.docx</w:t>
        <w:br/>
        <w:t>Security Classification: Restricted / Confidential</w:t>
        <w:br/>
      </w:r>
    </w:p>
    <w:p>
      <w:r>
        <w:br w:type="page"/>
      </w:r>
    </w:p>
    <w:p>
      <w:pPr>
        <w:pStyle w:val="Heading1"/>
      </w:pPr>
      <w:r>
        <w:rPr>
          <w:b/>
          <w:color w:val="182B49"/>
        </w:rPr>
        <w:t>EXECUTIVE SUMMARY</w:t>
      </w:r>
    </w:p>
    <w:p>
      <w:pPr>
        <w:spacing w:line="300" w:lineRule="auto" w:after="240"/>
      </w:pPr>
      <w:r>
        <w:t>The SmartCanteen platform (powered by the MEALS engine — Management of Expenses, Assets, and Logistics System) is an enterprise-grade school canteen multi-unit inventory tracking, kitchen perishable batch reconciliation, and Department of Education (DepEd) statutory financial compliance platform developed for Bay Central Elementary School under the DepEd Division of Laguna. As educational institutions digitize essential accounting ledgers, inventory assets, and operational expense vouchers, institutional data assets become prime targets for cyber threats, data tampering, and unauthorized access.</w:t>
        <w:br/>
        <w:br/>
        <w:t>This Cybersecurity Plan provides a comprehensive, defense-in-depth security blueprint for SmartCanteen. It establishes a complete asset inventory and Role-Based Access Control (RBAC) model; conducts a thorough threat assessment mapped to the OWASP Top 10 (2021) framework; establishes technological safeguards including Time-based One-Time Password (TOTP RFC 6238) multi-factor authentication, cryptographic session revocation, hardened HTTP headers, and reverse proxy WAF enforcement; proves standards alignment with ISO/IEC 27002:2022 and PCI DSS v4.0; outlines a structured Incident Response and Monitoring framework; and embeds statutory privacy mandates under the Philippine Data Privacy Act of 2012 (RA 10173) synthesized with Fortinet Network Security Expert (NSE 1–3) enterprise design principles.</w:t>
      </w:r>
    </w:p>
    <w:p>
      <w:pPr>
        <w:pStyle w:val="Heading2"/>
      </w:pPr>
      <w:r>
        <w:t>TABLE OF CONTENTS</w:t>
      </w:r>
    </w:p>
    <w:p>
      <w:pPr>
        <w:spacing w:line="276" w:lineRule="auto" w:after="40"/>
      </w:pPr>
      <w:r>
        <w:rPr>
          <w:sz w:val="20"/>
        </w:rPr>
        <w:t>1. System Overview &amp; Asset Inventory</w:t>
      </w:r>
      <w:r>
        <w:rPr>
          <w:color w:val="B4B4B4"/>
        </w:rPr>
        <w:t xml:space="preserve"> ....................................... </w:t>
      </w:r>
      <w:r>
        <w:rPr>
          <w:b/>
          <w:sz w:val="20"/>
        </w:rPr>
        <w:t>3</w:t>
      </w:r>
    </w:p>
    <w:p>
      <w:pPr>
        <w:spacing w:line="276" w:lineRule="auto" w:after="40"/>
      </w:pPr>
      <w:r>
        <w:rPr>
          <w:sz w:val="20"/>
        </w:rPr>
        <w:t xml:space="preserve">    1.1 System Purpose &amp; Operational Scope</w:t>
      </w:r>
      <w:r>
        <w:rPr>
          <w:color w:val="B4B4B4"/>
        </w:rPr>
        <w:t xml:space="preserve"> ................................. </w:t>
      </w:r>
      <w:r>
        <w:rPr>
          <w:b/>
          <w:sz w:val="20"/>
        </w:rPr>
        <w:t>3</w:t>
      </w:r>
    </w:p>
    <w:p>
      <w:pPr>
        <w:spacing w:line="276" w:lineRule="auto" w:after="40"/>
      </w:pPr>
      <w:r>
        <w:rPr>
          <w:sz w:val="20"/>
        </w:rPr>
        <w:t xml:space="preserve">    1.2 Architecture &amp; Component Inventory</w:t>
      </w:r>
      <w:r>
        <w:rPr>
          <w:color w:val="B4B4B4"/>
        </w:rPr>
        <w:t xml:space="preserve"> ................................. </w:t>
      </w:r>
      <w:r>
        <w:rPr>
          <w:b/>
          <w:sz w:val="20"/>
        </w:rPr>
        <w:t>3</w:t>
      </w:r>
    </w:p>
    <w:p>
      <w:pPr>
        <w:spacing w:line="276" w:lineRule="auto" w:after="40"/>
      </w:pPr>
      <w:r>
        <w:rPr>
          <w:sz w:val="20"/>
        </w:rPr>
        <w:t xml:space="preserve">    1.3 Data Classification &amp; Asset Ledger</w:t>
      </w:r>
      <w:r>
        <w:rPr>
          <w:color w:val="B4B4B4"/>
        </w:rPr>
        <w:t xml:space="preserve"> ................................. </w:t>
      </w:r>
      <w:r>
        <w:rPr>
          <w:b/>
          <w:sz w:val="20"/>
        </w:rPr>
        <w:t>4</w:t>
      </w:r>
    </w:p>
    <w:p>
      <w:pPr>
        <w:spacing w:line="276" w:lineRule="auto" w:after="40"/>
      </w:pPr>
      <w:r>
        <w:rPr>
          <w:sz w:val="20"/>
        </w:rPr>
        <w:t xml:space="preserve">    1.4 Role-Based Access Control (RBAC) Matrix</w:t>
      </w:r>
      <w:r>
        <w:rPr>
          <w:color w:val="B4B4B4"/>
        </w:rPr>
        <w:t xml:space="preserve"> ............................ </w:t>
      </w:r>
      <w:r>
        <w:rPr>
          <w:b/>
          <w:sz w:val="20"/>
        </w:rPr>
        <w:t>5</w:t>
      </w:r>
    </w:p>
    <w:p>
      <w:pPr>
        <w:spacing w:line="276" w:lineRule="auto" w:after="40"/>
      </w:pPr>
      <w:r>
        <w:rPr>
          <w:sz w:val="20"/>
        </w:rPr>
        <w:t>2. Risk &amp; Threat Assessment (OWASP Top 10:2021)</w:t>
      </w:r>
      <w:r>
        <w:rPr>
          <w:color w:val="B4B4B4"/>
        </w:rPr>
        <w:t xml:space="preserve"> ............................ </w:t>
      </w:r>
      <w:r>
        <w:rPr>
          <w:b/>
          <w:sz w:val="20"/>
        </w:rPr>
        <w:t>6</w:t>
      </w:r>
    </w:p>
    <w:p>
      <w:pPr>
        <w:spacing w:line="276" w:lineRule="auto" w:after="40"/>
      </w:pPr>
      <w:r>
        <w:rPr>
          <w:sz w:val="20"/>
        </w:rPr>
        <w:t xml:space="preserve">    2.1 Threat Likelihood &amp; Impact Rating Methodology</w:t>
      </w:r>
      <w:r>
        <w:rPr>
          <w:color w:val="B4B4B4"/>
        </w:rPr>
        <w:t xml:space="preserve"> ...................... </w:t>
      </w:r>
      <w:r>
        <w:rPr>
          <w:b/>
          <w:sz w:val="20"/>
        </w:rPr>
        <w:t>6</w:t>
      </w:r>
    </w:p>
    <w:p>
      <w:pPr>
        <w:spacing w:line="276" w:lineRule="auto" w:after="40"/>
      </w:pPr>
      <w:r>
        <w:rPr>
          <w:sz w:val="20"/>
        </w:rPr>
        <w:t xml:space="preserve">    2.2 Comprehensive Threat Matrix &amp; Codebase Justifications</w:t>
      </w:r>
      <w:r>
        <w:rPr>
          <w:color w:val="B4B4B4"/>
        </w:rPr>
        <w:t xml:space="preserve"> .............. </w:t>
      </w:r>
      <w:r>
        <w:rPr>
          <w:b/>
          <w:sz w:val="20"/>
        </w:rPr>
        <w:t>6</w:t>
      </w:r>
    </w:p>
    <w:p>
      <w:pPr>
        <w:spacing w:line="276" w:lineRule="auto" w:after="40"/>
      </w:pPr>
      <w:r>
        <w:rPr>
          <w:sz w:val="20"/>
        </w:rPr>
        <w:t>3. Security Controls &amp; Architecture</w:t>
      </w:r>
      <w:r>
        <w:rPr>
          <w:color w:val="B4B4B4"/>
        </w:rPr>
        <w:t xml:space="preserve"> ........................................ </w:t>
      </w:r>
      <w:r>
        <w:rPr>
          <w:b/>
          <w:sz w:val="20"/>
        </w:rPr>
        <w:t>9</w:t>
      </w:r>
    </w:p>
    <w:p>
      <w:pPr>
        <w:spacing w:line="276" w:lineRule="auto" w:after="40"/>
      </w:pPr>
      <w:r>
        <w:rPr>
          <w:sz w:val="20"/>
        </w:rPr>
        <w:t xml:space="preserve">    3.1 Authentication &amp; Credential Architecture</w:t>
      </w:r>
      <w:r>
        <w:rPr>
          <w:color w:val="B4B4B4"/>
        </w:rPr>
        <w:t xml:space="preserve"> ........................... </w:t>
      </w:r>
      <w:r>
        <w:rPr>
          <w:b/>
          <w:sz w:val="20"/>
        </w:rPr>
        <w:t>9</w:t>
      </w:r>
    </w:p>
    <w:p>
      <w:pPr>
        <w:spacing w:line="276" w:lineRule="auto" w:after="40"/>
      </w:pPr>
      <w:r>
        <w:rPr>
          <w:sz w:val="20"/>
        </w:rPr>
        <w:t xml:space="preserve">    3.2 Session Management &amp; Revocation Protocol</w:t>
      </w:r>
      <w:r>
        <w:rPr>
          <w:color w:val="B4B4B4"/>
        </w:rPr>
        <w:t xml:space="preserve"> ........................... </w:t>
      </w:r>
      <w:r>
        <w:rPr>
          <w:b/>
          <w:sz w:val="20"/>
        </w:rPr>
        <w:t>10</w:t>
      </w:r>
    </w:p>
    <w:p>
      <w:pPr>
        <w:spacing w:line="276" w:lineRule="auto" w:after="40"/>
      </w:pPr>
      <w:r>
        <w:rPr>
          <w:sz w:val="20"/>
        </w:rPr>
        <w:t xml:space="preserve">    3.3 HTTP Security Headers &amp; Web Server Hardening</w:t>
      </w:r>
      <w:r>
        <w:rPr>
          <w:color w:val="B4B4B4"/>
        </w:rPr>
        <w:t xml:space="preserve"> ....................... </w:t>
      </w:r>
      <w:r>
        <w:rPr>
          <w:b/>
          <w:sz w:val="20"/>
        </w:rPr>
        <w:t>10</w:t>
      </w:r>
    </w:p>
    <w:p>
      <w:pPr>
        <w:spacing w:line="276" w:lineRule="auto" w:after="40"/>
      </w:pPr>
      <w:r>
        <w:rPr>
          <w:sz w:val="20"/>
        </w:rPr>
        <w:t xml:space="preserve">    3.4 Input Validation, Sanitization, &amp; File Security</w:t>
      </w:r>
      <w:r>
        <w:rPr>
          <w:color w:val="B4B4B4"/>
        </w:rPr>
        <w:t xml:space="preserve"> .................... </w:t>
      </w:r>
      <w:r>
        <w:rPr>
          <w:b/>
          <w:sz w:val="20"/>
        </w:rPr>
        <w:t>11</w:t>
      </w:r>
    </w:p>
    <w:p>
      <w:pPr>
        <w:spacing w:line="276" w:lineRule="auto" w:after="40"/>
      </w:pPr>
      <w:r>
        <w:rPr>
          <w:sz w:val="20"/>
        </w:rPr>
        <w:t xml:space="preserve">    3.5 WAF, Reverse Proxy, &amp; Network Firewall Placement</w:t>
      </w:r>
      <w:r>
        <w:rPr>
          <w:color w:val="B4B4B4"/>
        </w:rPr>
        <w:t xml:space="preserve"> ................... </w:t>
      </w:r>
      <w:r>
        <w:rPr>
          <w:b/>
          <w:sz w:val="20"/>
        </w:rPr>
        <w:t>12</w:t>
      </w:r>
    </w:p>
    <w:p>
      <w:pPr>
        <w:spacing w:line="276" w:lineRule="auto" w:after="40"/>
      </w:pPr>
      <w:r>
        <w:rPr>
          <w:sz w:val="20"/>
        </w:rPr>
        <w:t>4. Standards Alignment</w:t>
      </w:r>
      <w:r>
        <w:rPr>
          <w:color w:val="B4B4B4"/>
        </w:rPr>
        <w:t xml:space="preserve"> ..................................................... </w:t>
      </w:r>
      <w:r>
        <w:rPr>
          <w:b/>
          <w:sz w:val="20"/>
        </w:rPr>
        <w:t>13</w:t>
      </w:r>
    </w:p>
    <w:p>
      <w:pPr>
        <w:spacing w:line="276" w:lineRule="auto" w:after="40"/>
      </w:pPr>
      <w:r>
        <w:rPr>
          <w:sz w:val="20"/>
        </w:rPr>
        <w:t xml:space="preserve">    4.1 ISO/IEC 27002:2022 Control Themes Mapping</w:t>
      </w:r>
      <w:r>
        <w:rPr>
          <w:color w:val="B4B4B4"/>
        </w:rPr>
        <w:t xml:space="preserve"> .......................... </w:t>
      </w:r>
      <w:r>
        <w:rPr>
          <w:b/>
          <w:sz w:val="20"/>
        </w:rPr>
        <w:t>13</w:t>
      </w:r>
    </w:p>
    <w:p>
      <w:pPr>
        <w:spacing w:line="276" w:lineRule="auto" w:after="40"/>
      </w:pPr>
      <w:r>
        <w:rPr>
          <w:sz w:val="20"/>
        </w:rPr>
        <w:t xml:space="preserve">    4.2 PCI DSS v4.0 Applicability &amp; Non-Payment Scope Statement</w:t>
      </w:r>
      <w:r>
        <w:rPr>
          <w:color w:val="B4B4B4"/>
        </w:rPr>
        <w:t xml:space="preserve"> ........... </w:t>
      </w:r>
      <w:r>
        <w:rPr>
          <w:b/>
          <w:sz w:val="20"/>
        </w:rPr>
        <w:t>14</w:t>
      </w:r>
    </w:p>
    <w:p>
      <w:pPr>
        <w:spacing w:line="276" w:lineRule="auto" w:after="40"/>
      </w:pPr>
      <w:r>
        <w:rPr>
          <w:sz w:val="20"/>
        </w:rPr>
        <w:t>5. Incident Response &amp; Monitoring</w:t>
      </w:r>
      <w:r>
        <w:rPr>
          <w:color w:val="B4B4B4"/>
        </w:rPr>
        <w:t xml:space="preserve"> .......................................... </w:t>
      </w:r>
      <w:r>
        <w:rPr>
          <w:b/>
          <w:sz w:val="20"/>
        </w:rPr>
        <w:t>15</w:t>
      </w:r>
    </w:p>
    <w:p>
      <w:pPr>
        <w:spacing w:line="276" w:lineRule="auto" w:after="40"/>
      </w:pPr>
      <w:r>
        <w:rPr>
          <w:sz w:val="20"/>
        </w:rPr>
        <w:t xml:space="preserve">    5.1 Detection Architecture &amp; Continuous Logging</w:t>
      </w:r>
      <w:r>
        <w:rPr>
          <w:color w:val="B4B4B4"/>
        </w:rPr>
        <w:t xml:space="preserve"> ........................ </w:t>
      </w:r>
      <w:r>
        <w:rPr>
          <w:b/>
          <w:sz w:val="20"/>
        </w:rPr>
        <w:t>15</w:t>
      </w:r>
    </w:p>
    <w:p>
      <w:pPr>
        <w:spacing w:line="276" w:lineRule="auto" w:after="40"/>
      </w:pPr>
      <w:r>
        <w:rPr>
          <w:sz w:val="20"/>
        </w:rPr>
        <w:t xml:space="preserve">    5.2 Incident Containment &amp; Recovery Workflow</w:t>
      </w:r>
      <w:r>
        <w:rPr>
          <w:color w:val="B4B4B4"/>
        </w:rPr>
        <w:t xml:space="preserve"> ........................... </w:t>
      </w:r>
      <w:r>
        <w:rPr>
          <w:b/>
          <w:sz w:val="20"/>
        </w:rPr>
        <w:t>15</w:t>
      </w:r>
    </w:p>
    <w:p>
      <w:pPr>
        <w:spacing w:line="276" w:lineRule="auto" w:after="40"/>
      </w:pPr>
      <w:r>
        <w:rPr>
          <w:sz w:val="20"/>
        </w:rPr>
        <w:t xml:space="preserve">    5.3 Incident Response RACI Matrix</w:t>
      </w:r>
      <w:r>
        <w:rPr>
          <w:color w:val="B4B4B4"/>
        </w:rPr>
        <w:t xml:space="preserve"> ...................................... </w:t>
      </w:r>
      <w:r>
        <w:rPr>
          <w:b/>
          <w:sz w:val="20"/>
        </w:rPr>
        <w:t>16</w:t>
      </w:r>
    </w:p>
    <w:p>
      <w:pPr>
        <w:spacing w:line="276" w:lineRule="auto" w:after="40"/>
      </w:pPr>
      <w:r>
        <w:rPr>
          <w:sz w:val="20"/>
        </w:rPr>
        <w:t>6. Compliance / Governance &amp; Fortinet Tie-In</w:t>
      </w:r>
      <w:r>
        <w:rPr>
          <w:color w:val="B4B4B4"/>
        </w:rPr>
        <w:t xml:space="preserve"> ............................... </w:t>
      </w:r>
      <w:r>
        <w:rPr>
          <w:b/>
          <w:sz w:val="20"/>
        </w:rPr>
        <w:t>17</w:t>
      </w:r>
    </w:p>
    <w:p>
      <w:pPr>
        <w:spacing w:line="276" w:lineRule="auto" w:after="40"/>
      </w:pPr>
      <w:r>
        <w:rPr>
          <w:sz w:val="20"/>
        </w:rPr>
        <w:t xml:space="preserve">    6.1 Republic Act No. 10173 (Data Privacy Act of 2012)</w:t>
      </w:r>
      <w:r>
        <w:rPr>
          <w:color w:val="B4B4B4"/>
        </w:rPr>
        <w:t xml:space="preserve"> .................. </w:t>
      </w:r>
      <w:r>
        <w:rPr>
          <w:b/>
          <w:sz w:val="20"/>
        </w:rPr>
        <w:t>17</w:t>
      </w:r>
    </w:p>
    <w:p>
      <w:pPr>
        <w:spacing w:line="276" w:lineRule="auto" w:after="40"/>
      </w:pPr>
      <w:r>
        <w:rPr>
          <w:sz w:val="20"/>
        </w:rPr>
        <w:t xml:space="preserve">    6.2 Fortinet NSE 1–3 Security Framework Integration</w:t>
      </w:r>
      <w:r>
        <w:rPr>
          <w:color w:val="B4B4B4"/>
        </w:rPr>
        <w:t xml:space="preserve"> .................... </w:t>
      </w:r>
      <w:r>
        <w:rPr>
          <w:b/>
          <w:sz w:val="20"/>
        </w:rPr>
        <w:t>18</w:t>
      </w:r>
    </w:p>
    <w:p>
      <w:pPr>
        <w:spacing w:line="276" w:lineRule="auto" w:after="40"/>
      </w:pPr>
      <w:r>
        <w:rPr>
          <w:sz w:val="20"/>
        </w:rPr>
        <w:t>7. Presentation &amp; Defense Preparation Guide</w:t>
      </w:r>
      <w:r>
        <w:rPr>
          <w:color w:val="B4B4B4"/>
        </w:rPr>
        <w:t xml:space="preserve"> ................................ </w:t>
      </w:r>
      <w:r>
        <w:rPr>
          <w:b/>
          <w:sz w:val="20"/>
        </w:rPr>
        <w:t>19</w:t>
      </w:r>
    </w:p>
    <w:p>
      <w:pPr>
        <w:spacing w:line="276" w:lineRule="auto" w:after="40"/>
      </w:pPr>
      <w:r>
        <w:rPr>
          <w:sz w:val="20"/>
        </w:rPr>
        <w:t xml:space="preserve">    7.1 10–15 Minute Presentation Walkthrough Structure</w:t>
      </w:r>
      <w:r>
        <w:rPr>
          <w:color w:val="B4B4B4"/>
        </w:rPr>
        <w:t xml:space="preserve"> .................... </w:t>
      </w:r>
      <w:r>
        <w:rPr>
          <w:b/>
          <w:sz w:val="20"/>
        </w:rPr>
        <w:t>19</w:t>
      </w:r>
    </w:p>
    <w:p>
      <w:pPr>
        <w:spacing w:line="276" w:lineRule="auto" w:after="40"/>
      </w:pPr>
      <w:r>
        <w:rPr>
          <w:sz w:val="20"/>
        </w:rPr>
        <w:t xml:space="preserve">    7.2 Panel Defense Q&amp;A Scenarios &amp; Technical Responses</w:t>
      </w:r>
      <w:r>
        <w:rPr>
          <w:color w:val="B4B4B4"/>
        </w:rPr>
        <w:t xml:space="preserve"> .................. </w:t>
      </w:r>
      <w:r>
        <w:rPr>
          <w:b/>
          <w:sz w:val="20"/>
        </w:rPr>
        <w:t>19</w:t>
      </w:r>
    </w:p>
    <w:p>
      <w:pPr>
        <w:spacing w:line="276" w:lineRule="auto" w:after="40"/>
      </w:pPr>
      <w:r>
        <w:rPr>
          <w:sz w:val="20"/>
        </w:rPr>
        <w:t>8. References &amp; Standards Bibliography</w:t>
      </w:r>
      <w:r>
        <w:rPr>
          <w:color w:val="B4B4B4"/>
        </w:rPr>
        <w:t xml:space="preserve"> ..................................... </w:t>
      </w:r>
      <w:r>
        <w:rPr>
          <w:b/>
          <w:sz w:val="20"/>
        </w:rPr>
        <w:t>21</w:t>
      </w:r>
    </w:p>
    <w:p>
      <w:r>
        <w:br w:type="page"/>
      </w:r>
    </w:p>
    <w:p>
      <w:pPr>
        <w:pStyle w:val="Heading1"/>
      </w:pPr>
      <w:r>
        <w:rPr>
          <w:b/>
          <w:color w:val="182B49"/>
        </w:rPr>
        <w:t>1. SYSTEM OVERVIEW &amp; ASSET INVENTORY</w:t>
      </w:r>
    </w:p>
    <w:p>
      <w:pPr>
        <w:pStyle w:val="Heading2"/>
      </w:pPr>
      <w:r>
        <w:t>1.1 System Purpose &amp; Operational Scope</w:t>
      </w:r>
    </w:p>
    <w:p>
      <w:r>
        <w:t>SmartCanteen (MEALS) is engineered to automate and safeguard the core administrative, inventory, and statutory accounting workflows of Bay Central Elementary School in strict accordance with Department of Education (DepEd Order No. 8, s. 2007) guidelines. The system replaces vulnerable paper binders and fragmented spreadsheets with a secured digital platform that manages:</w:t>
        <w:br/>
        <w:t>• Multi-Unit Bulk &amp; Discrete Inventory Control: Continuous tracking of raw dry goods, refrigerated stocks, and kitchen consumables supporting multi-unit conversions (pieces, kilograms, grams, liters, milliliters) with configurable low-stock threshold warnings.</w:t>
        <w:br/>
        <w:t>• Kitchen Batch Meal Prep &amp; Food Waste Reconciliation: Recording daily cooked batch servings (e.g., morning arroz caldo, pancit, lunch meals) and executing end-of-day food waste reconciliation protocols to account for perishable disposition (spoiled, staff meals, donated).</w:t>
        <w:br/>
        <w:t>• DepEd Statutory Financial Statement Automation: Recording itemized operating expenses (kitchen supplies, utilities, labor, transport) with digital voucher receipt proofs, computing Cost of Goods Sold (COGS), Gross Profit, and Net Operating Income, and executing statutory fund percentage distribution (Supplementary Feeding 35%, Operations 25%, School Clinic 5%, Administrative Fund 20%, and Faculty &amp; Student Development 15%) directly injected into official DepEd monthly workbook templates (.xlsx).</w:t>
        <w:br/>
        <w:br/>
        <w:t>The system serves the following designated user roles:</w:t>
        <w:br/>
        <w:t>1. School Canteen Manager / Head Administrator: Exercises complete administrative control, manages user credentials and role assignments, authorizes manual balance adjustments, supervises stock intake, reviews audit logs, and signs off on official DepEd Excel reports.</w:t>
        <w:br/>
        <w:t>2. Canteen Staff / Inventory Custodian: Enters morning ingredient batches, logs stock replenishments and adjustments, and submits daily closing food waste reconciliations.</w:t>
        <w:br/>
        <w:t>3. School Principal &amp; DepEd Division Auditors (Executive Stakeholders / External Auditors): Reviews monthly statements, audits statutory allocations, and inspects financial vouchers for legal compliance.</w:t>
      </w:r>
    </w:p>
    <w:p>
      <w:pPr>
        <w:pStyle w:val="Heading2"/>
      </w:pPr>
      <w:r>
        <w:t>1.2 Architecture &amp; Component Inventory</w:t>
      </w:r>
    </w:p>
    <w:p>
      <w:r>
        <w:t>SmartCanteen is architected as a secure multi-tier enterprise solution composed of the following major modules:</w:t>
        <w:br/>
        <w:t>• Desktop Workstation Client (Electron 33 / React 19): A hardened native desktop client for canteen administrative workstations, configured with local file persistence, context-isolated IPC channels, and disabled Node.js integration for maximum security.</w:t>
        <w:br/>
        <w:t>• Web Management Portal (React 19 / Vite): A responsive web client allowing authorized administrators to review financial matrices and inventory levels across institutional devices.</w:t>
        <w:br/>
        <w:t>• Application Server Gateway (FastAPI / Uvicorn ASGI): A high-performance Python 3.11 asynchronous web gateway enforcing JWT token validation, TOTP MFA, Pydantic v2 input schemas, and real-time WebSocket communication.</w:t>
        <w:br/>
        <w:t>• Database &amp; ORM Layer (SQLAlchemy 2.0 / PostgreSQL &amp; SQLite): High-reliability transactional persistence storing encrypted user credentials, statutory allocations, itemized expense vouchers, inventory movement ledgers, and tamper-evident security audit logs.</w:t>
        <w:br/>
        <w:t>• DepEd Spreadsheet Engine (OpenPyXL): Injects live calculations into the official workbook template (CANTEEN-REPORT-2025-2026-2 (1).xlsx), retaining cell formulas, formatting, institutional seals, and forward-balance carryovers.</w:t>
        <w:br/>
        <w:t>• Perimeter Gateway (Nginx Reverse Proxy &amp; WAF): Terminates TLS 1.3 encryption, applies HTTP security headers, and enforces rate-limiting.</w:t>
      </w:r>
    </w:p>
    <w:p>
      <w:pPr>
        <w:pStyle w:val="Heading2"/>
      </w:pPr>
      <w:r>
        <w:t>1.3 Data Classification &amp; Asset Ledger</w:t>
      </w:r>
    </w:p>
    <w:p>
      <w:r>
        <w:t>System data assets are categorized according to their Confidentiality, Integrity, and Availability (CIA) criticality requirements: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82B49"/>
            <w:tcMar>
              <w:top w:w="140" w:type="dxa"/>
              <w:bottom w:w="140" w:type="dxa"/>
              <w:left w:w="180" w:type="dxa"/>
              <w:right w:w="180" w:type="dxa"/>
            </w:tcMar>
            <w:vAlign w:val="center"/>
          </w:tcPr>
          <w:p>
            <w:pPr>
              <w:spacing w:line="276" w:lineRule="auto" w:after="40" w:before="40"/>
            </w:pPr>
            <w:r>
              <w:rPr>
                <w:b/>
                <w:color w:val="FFFFFF"/>
                <w:sz w:val="19"/>
              </w:rPr>
              <w:t>Asset Name</w:t>
            </w:r>
          </w:p>
        </w:tc>
        <w:tc>
          <w:tcPr>
            <w:tcW w:type="dxa" w:w="1560"/>
            <w:shd w:fill="182B49"/>
            <w:tcMar>
              <w:top w:w="140" w:type="dxa"/>
              <w:bottom w:w="140" w:type="dxa"/>
              <w:left w:w="180" w:type="dxa"/>
              <w:right w:w="180" w:type="dxa"/>
            </w:tcMar>
            <w:vAlign w:val="center"/>
          </w:tcPr>
          <w:p>
            <w:pPr>
              <w:spacing w:line="276" w:lineRule="auto" w:after="40" w:before="40"/>
            </w:pPr>
            <w:r>
              <w:rPr>
                <w:b/>
                <w:color w:val="FFFFFF"/>
                <w:sz w:val="19"/>
              </w:rPr>
              <w:t>Storage Location</w:t>
            </w:r>
          </w:p>
        </w:tc>
        <w:tc>
          <w:tcPr>
            <w:tcW w:type="dxa" w:w="1560"/>
            <w:shd w:fill="182B49"/>
            <w:tcMar>
              <w:top w:w="140" w:type="dxa"/>
              <w:bottom w:w="140" w:type="dxa"/>
              <w:left w:w="180" w:type="dxa"/>
              <w:right w:w="180" w:type="dxa"/>
            </w:tcMar>
            <w:vAlign w:val="center"/>
          </w:tcPr>
          <w:p>
            <w:pPr>
              <w:spacing w:line="276" w:lineRule="auto" w:after="40" w:before="40"/>
            </w:pPr>
            <w:r>
              <w:rPr>
                <w:b/>
                <w:color w:val="FFFFFF"/>
                <w:sz w:val="19"/>
              </w:rPr>
              <w:t>Data Class</w:t>
            </w:r>
          </w:p>
        </w:tc>
        <w:tc>
          <w:tcPr>
            <w:tcW w:type="dxa" w:w="1560"/>
            <w:shd w:fill="182B49"/>
            <w:tcMar>
              <w:top w:w="140" w:type="dxa"/>
              <w:bottom w:w="140" w:type="dxa"/>
              <w:left w:w="180" w:type="dxa"/>
              <w:right w:w="180" w:type="dxa"/>
            </w:tcMar>
            <w:vAlign w:val="center"/>
          </w:tcPr>
          <w:p>
            <w:pPr>
              <w:spacing w:line="276" w:lineRule="auto" w:after="40" w:before="40"/>
            </w:pPr>
            <w:r>
              <w:rPr>
                <w:b/>
                <w:color w:val="FFFFFF"/>
                <w:sz w:val="19"/>
              </w:rPr>
              <w:t>C</w:t>
            </w:r>
          </w:p>
        </w:tc>
        <w:tc>
          <w:tcPr>
            <w:tcW w:type="dxa" w:w="1560"/>
            <w:shd w:fill="182B49"/>
            <w:tcMar>
              <w:top w:w="140" w:type="dxa"/>
              <w:bottom w:w="140" w:type="dxa"/>
              <w:left w:w="180" w:type="dxa"/>
              <w:right w:w="180" w:type="dxa"/>
            </w:tcMar>
            <w:vAlign w:val="center"/>
          </w:tcPr>
          <w:p>
            <w:pPr>
              <w:spacing w:line="276" w:lineRule="auto" w:after="40" w:before="40"/>
            </w:pPr>
            <w:r>
              <w:rPr>
                <w:b/>
                <w:color w:val="FFFFFF"/>
                <w:sz w:val="19"/>
              </w:rPr>
              <w:t>I</w:t>
            </w:r>
          </w:p>
        </w:tc>
        <w:tc>
          <w:tcPr>
            <w:tcW w:type="dxa" w:w="1560"/>
            <w:shd w:fill="182B49"/>
            <w:tcMar>
              <w:top w:w="140" w:type="dxa"/>
              <w:bottom w:w="140" w:type="dxa"/>
              <w:left w:w="180" w:type="dxa"/>
              <w:right w:w="180" w:type="dxa"/>
            </w:tcMar>
            <w:vAlign w:val="center"/>
          </w:tcPr>
          <w:p>
            <w:pPr>
              <w:spacing w:line="276" w:lineRule="auto" w:after="40" w:before="40"/>
            </w:pPr>
            <w:r>
              <w:rPr>
                <w:b/>
                <w:color w:val="FFFFFF"/>
                <w:sz w:val="19"/>
              </w:rPr>
              <w:t>A</w:t>
            </w:r>
          </w:p>
        </w:tc>
      </w:tr>
      <w:tr>
        <w:tc>
          <w:tcPr>
            <w:tcW w:type="dxa" w:w="1560"/>
            <w:tcMar>
              <w:top w:w="140" w:type="dxa"/>
              <w:bottom w:w="140" w:type="dxa"/>
              <w:left w:w="180" w:type="dxa"/>
              <w:right w:w="180" w:type="dxa"/>
            </w:tcMar>
            <w:vAlign w:val="center"/>
          </w:tcPr>
          <w:p>
            <w:pPr>
              <w:spacing w:line="276" w:lineRule="auto" w:after="40" w:before="40"/>
            </w:pPr>
            <w:r>
              <w:rPr>
                <w:sz w:val="19"/>
              </w:rPr>
              <w:t>User Auth Store</w:t>
            </w:r>
          </w:p>
        </w:tc>
        <w:tc>
          <w:tcPr>
            <w:tcW w:type="dxa" w:w="1560"/>
            <w:tcMar>
              <w:top w:w="140" w:type="dxa"/>
              <w:bottom w:w="140" w:type="dxa"/>
              <w:left w:w="180" w:type="dxa"/>
              <w:right w:w="180" w:type="dxa"/>
            </w:tcMar>
            <w:vAlign w:val="center"/>
          </w:tcPr>
          <w:p>
            <w:pPr>
              <w:spacing w:line="276" w:lineRule="auto" w:after="40" w:before="40"/>
            </w:pPr>
            <w:r>
              <w:rPr>
                <w:sz w:val="19"/>
              </w:rPr>
              <w:t>Database (users, user_login_sessions, recovery)</w:t>
            </w:r>
          </w:p>
        </w:tc>
        <w:tc>
          <w:tcPr>
            <w:tcW w:type="dxa" w:w="1560"/>
            <w:tcMar>
              <w:top w:w="140" w:type="dxa"/>
              <w:bottom w:w="140" w:type="dxa"/>
              <w:left w:w="180" w:type="dxa"/>
              <w:right w:w="180" w:type="dxa"/>
            </w:tcMar>
            <w:vAlign w:val="center"/>
          </w:tcPr>
          <w:p>
            <w:pPr>
              <w:spacing w:line="276" w:lineRule="auto" w:after="40" w:before="40"/>
            </w:pPr>
            <w:r>
              <w:rPr>
                <w:sz w:val="19"/>
              </w:rPr>
              <w:t>Restricted</w:t>
            </w:r>
          </w:p>
        </w:tc>
        <w:tc>
          <w:tcPr>
            <w:tcW w:type="dxa" w:w="1560"/>
            <w:tcMar>
              <w:top w:w="140" w:type="dxa"/>
              <w:bottom w:w="140" w:type="dxa"/>
              <w:left w:w="180" w:type="dxa"/>
              <w:right w:w="180" w:type="dxa"/>
            </w:tcMar>
            <w:vAlign w:val="center"/>
          </w:tcPr>
          <w:p>
            <w:pPr>
              <w:spacing w:line="276" w:lineRule="auto" w:after="40" w:before="40"/>
            </w:pPr>
            <w:r>
              <w:rPr>
                <w:sz w:val="19"/>
              </w:rPr>
              <w:t>High</w:t>
            </w:r>
          </w:p>
        </w:tc>
        <w:tc>
          <w:tcPr>
            <w:tcW w:type="dxa" w:w="1560"/>
            <w:tcMar>
              <w:top w:w="140" w:type="dxa"/>
              <w:bottom w:w="140" w:type="dxa"/>
              <w:left w:w="180" w:type="dxa"/>
              <w:right w:w="180" w:type="dxa"/>
            </w:tcMar>
            <w:vAlign w:val="center"/>
          </w:tcPr>
          <w:p>
            <w:pPr>
              <w:spacing w:line="276" w:lineRule="auto" w:after="40" w:before="40"/>
            </w:pPr>
            <w:r>
              <w:rPr>
                <w:sz w:val="19"/>
              </w:rPr>
              <w:t>Critical</w:t>
            </w:r>
          </w:p>
        </w:tc>
        <w:tc>
          <w:tcPr>
            <w:tcW w:type="dxa" w:w="1560"/>
            <w:tcMar>
              <w:top w:w="140" w:type="dxa"/>
              <w:bottom w:w="140" w:type="dxa"/>
              <w:left w:w="180" w:type="dxa"/>
              <w:right w:w="180" w:type="dxa"/>
            </w:tcMar>
            <w:vAlign w:val="center"/>
          </w:tcPr>
          <w:p>
            <w:pPr>
              <w:spacing w:line="276" w:lineRule="auto" w:after="40" w:before="40"/>
            </w:pPr>
            <w:r>
              <w:rPr>
                <w:sz w:val="19"/>
              </w:rPr>
              <w:t>High</w:t>
            </w:r>
          </w:p>
        </w:tc>
      </w:tr>
      <w:tr>
        <w:tc>
          <w:tcPr>
            <w:tcW w:type="dxa" w:w="1560"/>
            <w:tcMar>
              <w:top w:w="140" w:type="dxa"/>
              <w:bottom w:w="140" w:type="dxa"/>
              <w:left w:w="180" w:type="dxa"/>
              <w:right w:w="180" w:type="dxa"/>
            </w:tcMar>
            <w:vAlign w:val="center"/>
          </w:tcPr>
          <w:p>
            <w:pPr>
              <w:spacing w:line="276" w:lineRule="auto" w:after="40" w:before="40"/>
            </w:pPr>
            <w:r>
              <w:rPr>
                <w:sz w:val="19"/>
              </w:rPr>
              <w:t>DepEd Statutory Financial Ledger</w:t>
            </w:r>
          </w:p>
        </w:tc>
        <w:tc>
          <w:tcPr>
            <w:tcW w:type="dxa" w:w="1560"/>
            <w:tcMar>
              <w:top w:w="140" w:type="dxa"/>
              <w:bottom w:w="140" w:type="dxa"/>
              <w:left w:w="180" w:type="dxa"/>
              <w:right w:w="180" w:type="dxa"/>
            </w:tcMar>
            <w:vAlign w:val="center"/>
          </w:tcPr>
          <w:p>
            <w:pPr>
              <w:spacing w:line="276" w:lineRule="auto" w:after="40" w:before="40"/>
            </w:pPr>
            <w:r>
              <w:rPr>
                <w:sz w:val="19"/>
              </w:rPr>
              <w:t>Database (monthly_reports, allocations, expenses)</w:t>
            </w:r>
          </w:p>
        </w:tc>
        <w:tc>
          <w:tcPr>
            <w:tcW w:type="dxa" w:w="1560"/>
            <w:tcMar>
              <w:top w:w="140" w:type="dxa"/>
              <w:bottom w:w="140" w:type="dxa"/>
              <w:left w:w="180" w:type="dxa"/>
              <w:right w:w="180" w:type="dxa"/>
            </w:tcMar>
            <w:vAlign w:val="center"/>
          </w:tcPr>
          <w:p>
            <w:pPr>
              <w:spacing w:line="276" w:lineRule="auto" w:after="40" w:before="40"/>
            </w:pPr>
            <w:r>
              <w:rPr>
                <w:sz w:val="19"/>
              </w:rPr>
              <w:t>Confidential</w:t>
            </w:r>
          </w:p>
        </w:tc>
        <w:tc>
          <w:tcPr>
            <w:tcW w:type="dxa" w:w="1560"/>
            <w:tcMar>
              <w:top w:w="140" w:type="dxa"/>
              <w:bottom w:w="140" w:type="dxa"/>
              <w:left w:w="180" w:type="dxa"/>
              <w:right w:w="180" w:type="dxa"/>
            </w:tcMar>
            <w:vAlign w:val="center"/>
          </w:tcPr>
          <w:p>
            <w:pPr>
              <w:spacing w:line="276" w:lineRule="auto" w:after="40" w:before="40"/>
            </w:pPr>
            <w:r>
              <w:rPr>
                <w:sz w:val="19"/>
              </w:rPr>
              <w:t>High</w:t>
            </w:r>
          </w:p>
        </w:tc>
        <w:tc>
          <w:tcPr>
            <w:tcW w:type="dxa" w:w="1560"/>
            <w:tcMar>
              <w:top w:w="140" w:type="dxa"/>
              <w:bottom w:w="140" w:type="dxa"/>
              <w:left w:w="180" w:type="dxa"/>
              <w:right w:w="180" w:type="dxa"/>
            </w:tcMar>
            <w:vAlign w:val="center"/>
          </w:tcPr>
          <w:p>
            <w:pPr>
              <w:spacing w:line="276" w:lineRule="auto" w:after="40" w:before="40"/>
            </w:pPr>
            <w:r>
              <w:rPr>
                <w:sz w:val="19"/>
              </w:rPr>
              <w:t>Critical</w:t>
            </w:r>
          </w:p>
        </w:tc>
        <w:tc>
          <w:tcPr>
            <w:tcW w:type="dxa" w:w="1560"/>
            <w:tcMar>
              <w:top w:w="140" w:type="dxa"/>
              <w:bottom w:w="140" w:type="dxa"/>
              <w:left w:w="180" w:type="dxa"/>
              <w:right w:w="180" w:type="dxa"/>
            </w:tcMar>
            <w:vAlign w:val="center"/>
          </w:tcPr>
          <w:p>
            <w:pPr>
              <w:spacing w:line="276" w:lineRule="auto" w:after="40" w:before="40"/>
            </w:pPr>
            <w:r>
              <w:rPr>
                <w:sz w:val="19"/>
              </w:rPr>
              <w:t>High</w:t>
            </w:r>
          </w:p>
        </w:tc>
      </w:tr>
      <w:tr>
        <w:tc>
          <w:tcPr>
            <w:tcW w:type="dxa" w:w="1560"/>
            <w:tcMar>
              <w:top w:w="140" w:type="dxa"/>
              <w:bottom w:w="140" w:type="dxa"/>
              <w:left w:w="180" w:type="dxa"/>
              <w:right w:w="180" w:type="dxa"/>
            </w:tcMar>
            <w:vAlign w:val="center"/>
          </w:tcPr>
          <w:p>
            <w:pPr>
              <w:spacing w:line="276" w:lineRule="auto" w:after="40" w:before="40"/>
            </w:pPr>
            <w:r>
              <w:rPr>
                <w:sz w:val="19"/>
              </w:rPr>
              <w:t>Expense Voucher Proofs</w:t>
            </w:r>
          </w:p>
        </w:tc>
        <w:tc>
          <w:tcPr>
            <w:tcW w:type="dxa" w:w="1560"/>
            <w:tcMar>
              <w:top w:w="140" w:type="dxa"/>
              <w:bottom w:w="140" w:type="dxa"/>
              <w:left w:w="180" w:type="dxa"/>
              <w:right w:w="180" w:type="dxa"/>
            </w:tcMar>
            <w:vAlign w:val="center"/>
          </w:tcPr>
          <w:p>
            <w:pPr>
              <w:spacing w:line="276" w:lineRule="auto" w:after="40" w:before="40"/>
            </w:pPr>
            <w:r>
              <w:rPr>
                <w:sz w:val="19"/>
              </w:rPr>
              <w:t>Database (expense_attachments Base64 table)</w:t>
            </w:r>
          </w:p>
        </w:tc>
        <w:tc>
          <w:tcPr>
            <w:tcW w:type="dxa" w:w="1560"/>
            <w:tcMar>
              <w:top w:w="140" w:type="dxa"/>
              <w:bottom w:w="140" w:type="dxa"/>
              <w:left w:w="180" w:type="dxa"/>
              <w:right w:w="180" w:type="dxa"/>
            </w:tcMar>
            <w:vAlign w:val="center"/>
          </w:tcPr>
          <w:p>
            <w:pPr>
              <w:spacing w:line="276" w:lineRule="auto" w:after="40" w:before="40"/>
            </w:pPr>
            <w:r>
              <w:rPr>
                <w:sz w:val="19"/>
              </w:rPr>
              <w:t>Confidential</w:t>
            </w:r>
          </w:p>
        </w:tc>
        <w:tc>
          <w:tcPr>
            <w:tcW w:type="dxa" w:w="1560"/>
            <w:tcMar>
              <w:top w:w="140" w:type="dxa"/>
              <w:bottom w:w="140" w:type="dxa"/>
              <w:left w:w="180" w:type="dxa"/>
              <w:right w:w="180" w:type="dxa"/>
            </w:tcMar>
            <w:vAlign w:val="center"/>
          </w:tcPr>
          <w:p>
            <w:pPr>
              <w:spacing w:line="276" w:lineRule="auto" w:after="40" w:before="40"/>
            </w:pPr>
            <w:r>
              <w:rPr>
                <w:sz w:val="19"/>
              </w:rPr>
              <w:t>Medium</w:t>
            </w:r>
          </w:p>
        </w:tc>
        <w:tc>
          <w:tcPr>
            <w:tcW w:type="dxa" w:w="1560"/>
            <w:tcMar>
              <w:top w:w="140" w:type="dxa"/>
              <w:bottom w:w="140" w:type="dxa"/>
              <w:left w:w="180" w:type="dxa"/>
              <w:right w:w="180" w:type="dxa"/>
            </w:tcMar>
            <w:vAlign w:val="center"/>
          </w:tcPr>
          <w:p>
            <w:pPr>
              <w:spacing w:line="276" w:lineRule="auto" w:after="40" w:before="40"/>
            </w:pPr>
            <w:r>
              <w:rPr>
                <w:sz w:val="19"/>
              </w:rPr>
              <w:t>High</w:t>
            </w:r>
          </w:p>
        </w:tc>
        <w:tc>
          <w:tcPr>
            <w:tcW w:type="dxa" w:w="1560"/>
            <w:tcMar>
              <w:top w:w="140" w:type="dxa"/>
              <w:bottom w:w="140" w:type="dxa"/>
              <w:left w:w="180" w:type="dxa"/>
              <w:right w:w="180" w:type="dxa"/>
            </w:tcMar>
            <w:vAlign w:val="center"/>
          </w:tcPr>
          <w:p>
            <w:pPr>
              <w:spacing w:line="276" w:lineRule="auto" w:after="40" w:before="40"/>
            </w:pPr>
            <w:r>
              <w:rPr>
                <w:sz w:val="19"/>
              </w:rPr>
              <w:t>Medium</w:t>
            </w:r>
          </w:p>
        </w:tc>
      </w:tr>
      <w:tr>
        <w:tc>
          <w:tcPr>
            <w:tcW w:type="dxa" w:w="1560"/>
            <w:tcMar>
              <w:top w:w="140" w:type="dxa"/>
              <w:bottom w:w="140" w:type="dxa"/>
              <w:left w:w="180" w:type="dxa"/>
              <w:right w:w="180" w:type="dxa"/>
            </w:tcMar>
            <w:vAlign w:val="center"/>
          </w:tcPr>
          <w:p>
            <w:pPr>
              <w:spacing w:line="276" w:lineRule="auto" w:after="40" w:before="40"/>
            </w:pPr>
            <w:r>
              <w:rPr>
                <w:sz w:val="19"/>
              </w:rPr>
              <w:t>Inventory Master &amp; Unit Ledger</w:t>
            </w:r>
          </w:p>
        </w:tc>
        <w:tc>
          <w:tcPr>
            <w:tcW w:type="dxa" w:w="1560"/>
            <w:tcMar>
              <w:top w:w="140" w:type="dxa"/>
              <w:bottom w:w="140" w:type="dxa"/>
              <w:left w:w="180" w:type="dxa"/>
              <w:right w:w="180" w:type="dxa"/>
            </w:tcMar>
            <w:vAlign w:val="center"/>
          </w:tcPr>
          <w:p>
            <w:pPr>
              <w:spacing w:line="276" w:lineRule="auto" w:after="40" w:before="40"/>
            </w:pPr>
            <w:r>
              <w:rPr>
                <w:sz w:val="19"/>
              </w:rPr>
              <w:t>Database (products, inventory_logs)</w:t>
            </w:r>
          </w:p>
        </w:tc>
        <w:tc>
          <w:tcPr>
            <w:tcW w:type="dxa" w:w="1560"/>
            <w:tcMar>
              <w:top w:w="140" w:type="dxa"/>
              <w:bottom w:w="140" w:type="dxa"/>
              <w:left w:w="180" w:type="dxa"/>
              <w:right w:w="180" w:type="dxa"/>
            </w:tcMar>
            <w:vAlign w:val="center"/>
          </w:tcPr>
          <w:p>
            <w:pPr>
              <w:spacing w:line="276" w:lineRule="auto" w:after="40" w:before="40"/>
            </w:pPr>
            <w:r>
              <w:rPr>
                <w:sz w:val="19"/>
              </w:rPr>
              <w:t>Internal</w:t>
            </w:r>
          </w:p>
        </w:tc>
        <w:tc>
          <w:tcPr>
            <w:tcW w:type="dxa" w:w="1560"/>
            <w:tcMar>
              <w:top w:w="140" w:type="dxa"/>
              <w:bottom w:w="140" w:type="dxa"/>
              <w:left w:w="180" w:type="dxa"/>
              <w:right w:w="180" w:type="dxa"/>
            </w:tcMar>
            <w:vAlign w:val="center"/>
          </w:tcPr>
          <w:p>
            <w:pPr>
              <w:spacing w:line="276" w:lineRule="auto" w:after="40" w:before="40"/>
            </w:pPr>
            <w:r>
              <w:rPr>
                <w:sz w:val="19"/>
              </w:rPr>
              <w:t>Medium</w:t>
            </w:r>
          </w:p>
        </w:tc>
        <w:tc>
          <w:tcPr>
            <w:tcW w:type="dxa" w:w="1560"/>
            <w:tcMar>
              <w:top w:w="140" w:type="dxa"/>
              <w:bottom w:w="140" w:type="dxa"/>
              <w:left w:w="180" w:type="dxa"/>
              <w:right w:w="180" w:type="dxa"/>
            </w:tcMar>
            <w:vAlign w:val="center"/>
          </w:tcPr>
          <w:p>
            <w:pPr>
              <w:spacing w:line="276" w:lineRule="auto" w:after="40" w:before="40"/>
            </w:pPr>
            <w:r>
              <w:rPr>
                <w:sz w:val="19"/>
              </w:rPr>
              <w:t>Critical</w:t>
            </w:r>
          </w:p>
        </w:tc>
        <w:tc>
          <w:tcPr>
            <w:tcW w:type="dxa" w:w="1560"/>
            <w:tcMar>
              <w:top w:w="140" w:type="dxa"/>
              <w:bottom w:w="140" w:type="dxa"/>
              <w:left w:w="180" w:type="dxa"/>
              <w:right w:w="180" w:type="dxa"/>
            </w:tcMar>
            <w:vAlign w:val="center"/>
          </w:tcPr>
          <w:p>
            <w:pPr>
              <w:spacing w:line="276" w:lineRule="auto" w:after="40" w:before="40"/>
            </w:pPr>
            <w:r>
              <w:rPr>
                <w:sz w:val="19"/>
              </w:rPr>
              <w:t>High</w:t>
            </w:r>
          </w:p>
        </w:tc>
      </w:tr>
      <w:tr>
        <w:tc>
          <w:tcPr>
            <w:tcW w:type="dxa" w:w="1560"/>
            <w:tcMar>
              <w:top w:w="140" w:type="dxa"/>
              <w:bottom w:w="140" w:type="dxa"/>
              <w:left w:w="180" w:type="dxa"/>
              <w:right w:w="180" w:type="dxa"/>
            </w:tcMar>
            <w:vAlign w:val="center"/>
          </w:tcPr>
          <w:p>
            <w:pPr>
              <w:spacing w:line="276" w:lineRule="auto" w:after="40" w:before="40"/>
            </w:pPr>
            <w:r>
              <w:rPr>
                <w:sz w:val="19"/>
              </w:rPr>
              <w:t>Kitchen Batch &amp; Waste Logs</w:t>
            </w:r>
          </w:p>
        </w:tc>
        <w:tc>
          <w:tcPr>
            <w:tcW w:type="dxa" w:w="1560"/>
            <w:tcMar>
              <w:top w:w="140" w:type="dxa"/>
              <w:bottom w:w="140" w:type="dxa"/>
              <w:left w:w="180" w:type="dxa"/>
              <w:right w:w="180" w:type="dxa"/>
            </w:tcMar>
            <w:vAlign w:val="center"/>
          </w:tcPr>
          <w:p>
            <w:pPr>
              <w:spacing w:line="276" w:lineRule="auto" w:after="40" w:before="40"/>
            </w:pPr>
            <w:r>
              <w:rPr>
                <w:sz w:val="19"/>
              </w:rPr>
              <w:t>Database (daily_prep_logs, daily_reconciliation_logs)</w:t>
            </w:r>
          </w:p>
        </w:tc>
        <w:tc>
          <w:tcPr>
            <w:tcW w:type="dxa" w:w="1560"/>
            <w:tcMar>
              <w:top w:w="140" w:type="dxa"/>
              <w:bottom w:w="140" w:type="dxa"/>
              <w:left w:w="180" w:type="dxa"/>
              <w:right w:w="180" w:type="dxa"/>
            </w:tcMar>
            <w:vAlign w:val="center"/>
          </w:tcPr>
          <w:p>
            <w:pPr>
              <w:spacing w:line="276" w:lineRule="auto" w:after="40" w:before="40"/>
            </w:pPr>
            <w:r>
              <w:rPr>
                <w:sz w:val="19"/>
              </w:rPr>
              <w:t>Internal</w:t>
            </w:r>
          </w:p>
        </w:tc>
        <w:tc>
          <w:tcPr>
            <w:tcW w:type="dxa" w:w="1560"/>
            <w:tcMar>
              <w:top w:w="140" w:type="dxa"/>
              <w:bottom w:w="140" w:type="dxa"/>
              <w:left w:w="180" w:type="dxa"/>
              <w:right w:w="180" w:type="dxa"/>
            </w:tcMar>
            <w:vAlign w:val="center"/>
          </w:tcPr>
          <w:p>
            <w:pPr>
              <w:spacing w:line="276" w:lineRule="auto" w:after="40" w:before="40"/>
            </w:pPr>
            <w:r>
              <w:rPr>
                <w:sz w:val="19"/>
              </w:rPr>
              <w:t>Medium</w:t>
            </w:r>
          </w:p>
        </w:tc>
        <w:tc>
          <w:tcPr>
            <w:tcW w:type="dxa" w:w="1560"/>
            <w:tcMar>
              <w:top w:w="140" w:type="dxa"/>
              <w:bottom w:w="140" w:type="dxa"/>
              <w:left w:w="180" w:type="dxa"/>
              <w:right w:w="180" w:type="dxa"/>
            </w:tcMar>
            <w:vAlign w:val="center"/>
          </w:tcPr>
          <w:p>
            <w:pPr>
              <w:spacing w:line="276" w:lineRule="auto" w:after="40" w:before="40"/>
            </w:pPr>
            <w:r>
              <w:rPr>
                <w:sz w:val="19"/>
              </w:rPr>
              <w:t>High</w:t>
            </w:r>
          </w:p>
        </w:tc>
        <w:tc>
          <w:tcPr>
            <w:tcW w:type="dxa" w:w="1560"/>
            <w:tcMar>
              <w:top w:w="140" w:type="dxa"/>
              <w:bottom w:w="140" w:type="dxa"/>
              <w:left w:w="180" w:type="dxa"/>
              <w:right w:w="180" w:type="dxa"/>
            </w:tcMar>
            <w:vAlign w:val="center"/>
          </w:tcPr>
          <w:p>
            <w:pPr>
              <w:spacing w:line="276" w:lineRule="auto" w:after="40" w:before="40"/>
            </w:pPr>
            <w:r>
              <w:rPr>
                <w:sz w:val="19"/>
              </w:rPr>
              <w:t>High</w:t>
            </w:r>
          </w:p>
        </w:tc>
      </w:tr>
      <w:tr>
        <w:tc>
          <w:tcPr>
            <w:tcW w:type="dxa" w:w="1560"/>
            <w:tcMar>
              <w:top w:w="140" w:type="dxa"/>
              <w:bottom w:w="140" w:type="dxa"/>
              <w:left w:w="180" w:type="dxa"/>
              <w:right w:w="180" w:type="dxa"/>
            </w:tcMar>
            <w:vAlign w:val="center"/>
          </w:tcPr>
          <w:p>
            <w:pPr>
              <w:spacing w:line="276" w:lineRule="auto" w:after="40" w:before="40"/>
            </w:pPr>
            <w:r>
              <w:rPr>
                <w:sz w:val="19"/>
              </w:rPr>
              <w:t>System Security Audit Trail</w:t>
            </w:r>
          </w:p>
        </w:tc>
        <w:tc>
          <w:tcPr>
            <w:tcW w:type="dxa" w:w="1560"/>
            <w:tcMar>
              <w:top w:w="140" w:type="dxa"/>
              <w:bottom w:w="140" w:type="dxa"/>
              <w:left w:w="180" w:type="dxa"/>
              <w:right w:w="180" w:type="dxa"/>
            </w:tcMar>
            <w:vAlign w:val="center"/>
          </w:tcPr>
          <w:p>
            <w:pPr>
              <w:spacing w:line="276" w:lineRule="auto" w:after="40" w:before="40"/>
            </w:pPr>
            <w:r>
              <w:rPr>
                <w:sz w:val="19"/>
              </w:rPr>
              <w:t>Database (audit_logs table)</w:t>
            </w:r>
          </w:p>
        </w:tc>
        <w:tc>
          <w:tcPr>
            <w:tcW w:type="dxa" w:w="1560"/>
            <w:tcMar>
              <w:top w:w="140" w:type="dxa"/>
              <w:bottom w:w="140" w:type="dxa"/>
              <w:left w:w="180" w:type="dxa"/>
              <w:right w:w="180" w:type="dxa"/>
            </w:tcMar>
            <w:vAlign w:val="center"/>
          </w:tcPr>
          <w:p>
            <w:pPr>
              <w:spacing w:line="276" w:lineRule="auto" w:after="40" w:before="40"/>
            </w:pPr>
            <w:r>
              <w:rPr>
                <w:sz w:val="19"/>
              </w:rPr>
              <w:t>Restricted</w:t>
            </w:r>
          </w:p>
        </w:tc>
        <w:tc>
          <w:tcPr>
            <w:tcW w:type="dxa" w:w="1560"/>
            <w:tcMar>
              <w:top w:w="140" w:type="dxa"/>
              <w:bottom w:w="140" w:type="dxa"/>
              <w:left w:w="180" w:type="dxa"/>
              <w:right w:w="180" w:type="dxa"/>
            </w:tcMar>
            <w:vAlign w:val="center"/>
          </w:tcPr>
          <w:p>
            <w:pPr>
              <w:spacing w:line="276" w:lineRule="auto" w:after="40" w:before="40"/>
            </w:pPr>
            <w:r>
              <w:rPr>
                <w:sz w:val="19"/>
              </w:rPr>
              <w:t>High</w:t>
            </w:r>
          </w:p>
        </w:tc>
        <w:tc>
          <w:tcPr>
            <w:tcW w:type="dxa" w:w="1560"/>
            <w:tcMar>
              <w:top w:w="140" w:type="dxa"/>
              <w:bottom w:w="140" w:type="dxa"/>
              <w:left w:w="180" w:type="dxa"/>
              <w:right w:w="180" w:type="dxa"/>
            </w:tcMar>
            <w:vAlign w:val="center"/>
          </w:tcPr>
          <w:p>
            <w:pPr>
              <w:spacing w:line="276" w:lineRule="auto" w:after="40" w:before="40"/>
            </w:pPr>
            <w:r>
              <w:rPr>
                <w:sz w:val="19"/>
              </w:rPr>
              <w:t>Critical</w:t>
            </w:r>
          </w:p>
        </w:tc>
        <w:tc>
          <w:tcPr>
            <w:tcW w:type="dxa" w:w="1560"/>
            <w:tcMar>
              <w:top w:w="140" w:type="dxa"/>
              <w:bottom w:w="140" w:type="dxa"/>
              <w:left w:w="180" w:type="dxa"/>
              <w:right w:w="180" w:type="dxa"/>
            </w:tcMar>
            <w:vAlign w:val="center"/>
          </w:tcPr>
          <w:p>
            <w:pPr>
              <w:spacing w:line="276" w:lineRule="auto" w:after="40" w:before="40"/>
            </w:pPr>
            <w:r>
              <w:rPr>
                <w:sz w:val="19"/>
              </w:rPr>
              <w:t>High</w:t>
            </w:r>
          </w:p>
        </w:tc>
      </w:tr>
      <w:tr>
        <w:tc>
          <w:tcPr>
            <w:tcW w:type="dxa" w:w="1560"/>
            <w:tcMar>
              <w:top w:w="140" w:type="dxa"/>
              <w:bottom w:w="140" w:type="dxa"/>
              <w:left w:w="180" w:type="dxa"/>
              <w:right w:w="180" w:type="dxa"/>
            </w:tcMar>
            <w:vAlign w:val="center"/>
          </w:tcPr>
          <w:p>
            <w:pPr>
              <w:spacing w:line="276" w:lineRule="auto" w:after="40" w:before="40"/>
            </w:pPr>
            <w:r>
              <w:rPr>
                <w:sz w:val="19"/>
              </w:rPr>
              <w:t>DepEd Official Excel Templates</w:t>
            </w:r>
          </w:p>
        </w:tc>
        <w:tc>
          <w:tcPr>
            <w:tcW w:type="dxa" w:w="1560"/>
            <w:tcMar>
              <w:top w:w="140" w:type="dxa"/>
              <w:bottom w:w="140" w:type="dxa"/>
              <w:left w:w="180" w:type="dxa"/>
              <w:right w:w="180" w:type="dxa"/>
            </w:tcMar>
            <w:vAlign w:val="center"/>
          </w:tcPr>
          <w:p>
            <w:pPr>
              <w:spacing w:line="276" w:lineRule="auto" w:after="40" w:before="40"/>
            </w:pPr>
            <w:r>
              <w:rPr>
                <w:sz w:val="19"/>
              </w:rPr>
              <w:t>Filesystem (/report_templates/*.xlsx)</w:t>
            </w:r>
          </w:p>
        </w:tc>
        <w:tc>
          <w:tcPr>
            <w:tcW w:type="dxa" w:w="1560"/>
            <w:tcMar>
              <w:top w:w="140" w:type="dxa"/>
              <w:bottom w:w="140" w:type="dxa"/>
              <w:left w:w="180" w:type="dxa"/>
              <w:right w:w="180" w:type="dxa"/>
            </w:tcMar>
            <w:vAlign w:val="center"/>
          </w:tcPr>
          <w:p>
            <w:pPr>
              <w:spacing w:line="276" w:lineRule="auto" w:after="40" w:before="40"/>
            </w:pPr>
            <w:r>
              <w:rPr>
                <w:sz w:val="19"/>
              </w:rPr>
              <w:t>Internal</w:t>
            </w:r>
          </w:p>
        </w:tc>
        <w:tc>
          <w:tcPr>
            <w:tcW w:type="dxa" w:w="1560"/>
            <w:tcMar>
              <w:top w:w="140" w:type="dxa"/>
              <w:bottom w:w="140" w:type="dxa"/>
              <w:left w:w="180" w:type="dxa"/>
              <w:right w:w="180" w:type="dxa"/>
            </w:tcMar>
            <w:vAlign w:val="center"/>
          </w:tcPr>
          <w:p>
            <w:pPr>
              <w:spacing w:line="276" w:lineRule="auto" w:after="40" w:before="40"/>
            </w:pPr>
            <w:r>
              <w:rPr>
                <w:sz w:val="19"/>
              </w:rPr>
              <w:t>Low</w:t>
            </w:r>
          </w:p>
        </w:tc>
        <w:tc>
          <w:tcPr>
            <w:tcW w:type="dxa" w:w="1560"/>
            <w:tcMar>
              <w:top w:w="140" w:type="dxa"/>
              <w:bottom w:w="140" w:type="dxa"/>
              <w:left w:w="180" w:type="dxa"/>
              <w:right w:w="180" w:type="dxa"/>
            </w:tcMar>
            <w:vAlign w:val="center"/>
          </w:tcPr>
          <w:p>
            <w:pPr>
              <w:spacing w:line="276" w:lineRule="auto" w:after="40" w:before="40"/>
            </w:pPr>
            <w:r>
              <w:rPr>
                <w:sz w:val="19"/>
              </w:rPr>
              <w:t>Critical</w:t>
            </w:r>
          </w:p>
        </w:tc>
        <w:tc>
          <w:tcPr>
            <w:tcW w:type="dxa" w:w="1560"/>
            <w:tcMar>
              <w:top w:w="140" w:type="dxa"/>
              <w:bottom w:w="140" w:type="dxa"/>
              <w:left w:w="180" w:type="dxa"/>
              <w:right w:w="180" w:type="dxa"/>
            </w:tcMar>
            <w:vAlign w:val="center"/>
          </w:tcPr>
          <w:p>
            <w:pPr>
              <w:spacing w:line="276" w:lineRule="auto" w:after="40" w:before="40"/>
            </w:pPr>
            <w:r>
              <w:rPr>
                <w:sz w:val="19"/>
              </w:rPr>
              <w:t>Medium</w:t>
            </w:r>
          </w:p>
        </w:tc>
      </w:tr>
    </w:tbl>
    <w:p>
      <w:pPr>
        <w:spacing w:after="160"/>
      </w:pPr>
    </w:p>
    <w:p>
      <w:pPr>
        <w:pStyle w:val="Heading2"/>
      </w:pPr>
      <w:r>
        <w:t>1.4 Role-Based Access Control (RBAC) Matrix</w:t>
      </w:r>
    </w:p>
    <w:p>
      <w:r>
        <w:t>Access control is enforced strictly at the API gateway layer via FastAPI dependency injection (get_current_user, require_admin, require_staff_or_admin) to prevent unauthorized escalation across administrative scopes: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82B49"/>
            <w:tcMar>
              <w:top w:w="140" w:type="dxa"/>
              <w:bottom w:w="140" w:type="dxa"/>
              <w:left w:w="180" w:type="dxa"/>
              <w:right w:w="180" w:type="dxa"/>
            </w:tcMar>
            <w:vAlign w:val="center"/>
          </w:tcPr>
          <w:p>
            <w:pPr>
              <w:spacing w:line="276" w:lineRule="auto" w:after="40" w:before="40"/>
            </w:pPr>
            <w:r>
              <w:rPr>
                <w:b/>
                <w:color w:val="FFFFFF"/>
                <w:sz w:val="19"/>
              </w:rPr>
              <w:t>Functional Scope / Endpoint Capability</w:t>
            </w:r>
          </w:p>
        </w:tc>
        <w:tc>
          <w:tcPr>
            <w:tcW w:type="dxa" w:w="2340"/>
            <w:shd w:fill="182B49"/>
            <w:tcMar>
              <w:top w:w="140" w:type="dxa"/>
              <w:bottom w:w="140" w:type="dxa"/>
              <w:left w:w="180" w:type="dxa"/>
              <w:right w:w="180" w:type="dxa"/>
            </w:tcMar>
            <w:vAlign w:val="center"/>
          </w:tcPr>
          <w:p>
            <w:pPr>
              <w:spacing w:line="276" w:lineRule="auto" w:after="40" w:before="40"/>
            </w:pPr>
            <w:r>
              <w:rPr>
                <w:b/>
                <w:color w:val="FFFFFF"/>
                <w:sz w:val="19"/>
              </w:rPr>
              <w:t>Guest / Public</w:t>
            </w:r>
          </w:p>
        </w:tc>
        <w:tc>
          <w:tcPr>
            <w:tcW w:type="dxa" w:w="2340"/>
            <w:shd w:fill="182B49"/>
            <w:tcMar>
              <w:top w:w="140" w:type="dxa"/>
              <w:bottom w:w="140" w:type="dxa"/>
              <w:left w:w="180" w:type="dxa"/>
              <w:right w:w="180" w:type="dxa"/>
            </w:tcMar>
            <w:vAlign w:val="center"/>
          </w:tcPr>
          <w:p>
            <w:pPr>
              <w:spacing w:line="276" w:lineRule="auto" w:after="40" w:before="40"/>
            </w:pPr>
            <w:r>
              <w:rPr>
                <w:b/>
                <w:color w:val="FFFFFF"/>
                <w:sz w:val="19"/>
              </w:rPr>
              <w:t>Canteen Staff</w:t>
            </w:r>
          </w:p>
        </w:tc>
        <w:tc>
          <w:tcPr>
            <w:tcW w:type="dxa" w:w="2340"/>
            <w:shd w:fill="182B49"/>
            <w:tcMar>
              <w:top w:w="140" w:type="dxa"/>
              <w:bottom w:w="140" w:type="dxa"/>
              <w:left w:w="180" w:type="dxa"/>
              <w:right w:w="180" w:type="dxa"/>
            </w:tcMar>
            <w:vAlign w:val="center"/>
          </w:tcPr>
          <w:p>
            <w:pPr>
              <w:spacing w:line="276" w:lineRule="auto" w:after="40" w:before="40"/>
            </w:pPr>
            <w:r>
              <w:rPr>
                <w:b/>
                <w:color w:val="FFFFFF"/>
                <w:sz w:val="19"/>
              </w:rPr>
              <w:t>Administrator</w:t>
            </w:r>
          </w:p>
        </w:tc>
      </w:tr>
      <w:tr>
        <w:tc>
          <w:tcPr>
            <w:tcW w:type="dxa" w:w="2340"/>
            <w:tcMar>
              <w:top w:w="140" w:type="dxa"/>
              <w:bottom w:w="140" w:type="dxa"/>
              <w:left w:w="180" w:type="dxa"/>
              <w:right w:w="180" w:type="dxa"/>
            </w:tcMar>
            <w:vAlign w:val="center"/>
          </w:tcPr>
          <w:p>
            <w:pPr>
              <w:spacing w:line="276" w:lineRule="auto" w:after="40" w:before="40"/>
            </w:pPr>
            <w:r>
              <w:rPr>
                <w:sz w:val="19"/>
              </w:rPr>
              <w:t>System Health Check (/api/health)</w:t>
            </w:r>
          </w:p>
        </w:tc>
        <w:tc>
          <w:tcPr>
            <w:tcW w:type="dxa" w:w="2340"/>
            <w:tcMar>
              <w:top w:w="140" w:type="dxa"/>
              <w:bottom w:w="140" w:type="dxa"/>
              <w:left w:w="180" w:type="dxa"/>
              <w:right w:w="180" w:type="dxa"/>
            </w:tcMar>
            <w:vAlign w:val="center"/>
          </w:tcPr>
          <w:p>
            <w:pPr>
              <w:spacing w:line="276" w:lineRule="auto" w:after="40" w:before="40"/>
            </w:pPr>
            <w:r>
              <w:rPr>
                <w:sz w:val="19"/>
              </w:rPr>
              <w:t>Allowed</w:t>
            </w:r>
          </w:p>
        </w:tc>
        <w:tc>
          <w:tcPr>
            <w:tcW w:type="dxa" w:w="2340"/>
            <w:tcMar>
              <w:top w:w="140" w:type="dxa"/>
              <w:bottom w:w="140" w:type="dxa"/>
              <w:left w:w="180" w:type="dxa"/>
              <w:right w:w="180" w:type="dxa"/>
            </w:tcMar>
            <w:vAlign w:val="center"/>
          </w:tcPr>
          <w:p>
            <w:pPr>
              <w:spacing w:line="276" w:lineRule="auto" w:after="40" w:before="40"/>
            </w:pPr>
            <w:r>
              <w:rPr>
                <w:sz w:val="19"/>
              </w:rPr>
              <w:t>Allowed</w:t>
            </w:r>
          </w:p>
        </w:tc>
        <w:tc>
          <w:tcPr>
            <w:tcW w:type="dxa" w:w="2340"/>
            <w:tcMar>
              <w:top w:w="140" w:type="dxa"/>
              <w:bottom w:w="140" w:type="dxa"/>
              <w:left w:w="180" w:type="dxa"/>
              <w:right w:w="180" w:type="dxa"/>
            </w:tcMar>
            <w:vAlign w:val="center"/>
          </w:tcPr>
          <w:p>
            <w:pPr>
              <w:spacing w:line="276" w:lineRule="auto" w:after="40" w:before="40"/>
            </w:pPr>
            <w:r>
              <w:rPr>
                <w:sz w:val="19"/>
              </w:rPr>
              <w:t>Allowed</w:t>
            </w:r>
          </w:p>
        </w:tc>
      </w:tr>
      <w:tr>
        <w:tc>
          <w:tcPr>
            <w:tcW w:type="dxa" w:w="2340"/>
            <w:tcMar>
              <w:top w:w="140" w:type="dxa"/>
              <w:bottom w:w="140" w:type="dxa"/>
              <w:left w:w="180" w:type="dxa"/>
              <w:right w:w="180" w:type="dxa"/>
            </w:tcMar>
            <w:vAlign w:val="center"/>
          </w:tcPr>
          <w:p>
            <w:pPr>
              <w:spacing w:line="276" w:lineRule="auto" w:after="40" w:before="40"/>
            </w:pPr>
            <w:r>
              <w:rPr>
                <w:sz w:val="19"/>
              </w:rPr>
              <w:t>API Interactive Docs (/docs, /redoc) - Prod</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Restricted (VPN/Local)</w:t>
            </w:r>
          </w:p>
        </w:tc>
      </w:tr>
      <w:tr>
        <w:tc>
          <w:tcPr>
            <w:tcW w:type="dxa" w:w="2340"/>
            <w:tcMar>
              <w:top w:w="140" w:type="dxa"/>
              <w:bottom w:w="140" w:type="dxa"/>
              <w:left w:w="180" w:type="dxa"/>
              <w:right w:w="180" w:type="dxa"/>
            </w:tcMar>
            <w:vAlign w:val="center"/>
          </w:tcPr>
          <w:p>
            <w:pPr>
              <w:spacing w:line="276" w:lineRule="auto" w:after="40" w:before="40"/>
            </w:pPr>
            <w:r>
              <w:rPr>
                <w:sz w:val="19"/>
              </w:rPr>
              <w:t>View Inventory Balances &amp; Low-Stock Alerts</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Log Stock Replenishment &amp; Unit Conversions</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Log Morning Batch Meal Preparation</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Submit Closing Food Waste Reconciliation</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Create &amp; Edit Inventory Master Items</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View DepEd Monthly Financial Summaries</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Read-Only</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Log Operating Expense &amp; Upload Voucher Proof</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Manual Beginning Cash / Fund Balance Override</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 (Audited)</w:t>
            </w:r>
          </w:p>
        </w:tc>
      </w:tr>
      <w:tr>
        <w:tc>
          <w:tcPr>
            <w:tcW w:type="dxa" w:w="2340"/>
            <w:tcMar>
              <w:top w:w="140" w:type="dxa"/>
              <w:bottom w:w="140" w:type="dxa"/>
              <w:left w:w="180" w:type="dxa"/>
              <w:right w:w="180" w:type="dxa"/>
            </w:tcMar>
            <w:vAlign w:val="center"/>
          </w:tcPr>
          <w:p>
            <w:pPr>
              <w:spacing w:line="276" w:lineRule="auto" w:after="40" w:before="40"/>
            </w:pPr>
            <w:r>
              <w:rPr>
                <w:sz w:val="19"/>
              </w:rPr>
              <w:t>Generate &amp; Export Official DepEd Excel Reports</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User Account Provisioning &amp; Role Assignments</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Approve Password Reset &amp; MFA Recovery Queue</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Inspect Security Audit Logs (audit_logs)</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Denied</w:t>
            </w:r>
          </w:p>
        </w:tc>
        <w:tc>
          <w:tcPr>
            <w:tcW w:type="dxa" w:w="2340"/>
            <w:tcMar>
              <w:top w:w="140" w:type="dxa"/>
              <w:bottom w:w="140" w:type="dxa"/>
              <w:left w:w="180" w:type="dxa"/>
              <w:right w:w="180" w:type="dxa"/>
            </w:tcMar>
            <w:vAlign w:val="center"/>
          </w:tcPr>
          <w:p>
            <w:pPr>
              <w:spacing w:line="276" w:lineRule="auto" w:after="40" w:before="40"/>
            </w:pPr>
            <w:r>
              <w:rPr>
                <w:sz w:val="19"/>
              </w:rPr>
              <w:t>Full Access</w:t>
            </w:r>
          </w:p>
        </w:tc>
      </w:tr>
      <w:tr>
        <w:tc>
          <w:tcPr>
            <w:tcW w:type="dxa" w:w="2340"/>
            <w:tcMar>
              <w:top w:w="140" w:type="dxa"/>
              <w:bottom w:w="140" w:type="dxa"/>
              <w:left w:w="180" w:type="dxa"/>
              <w:right w:w="180" w:type="dxa"/>
            </w:tcMar>
            <w:vAlign w:val="center"/>
          </w:tcPr>
          <w:p>
            <w:pPr>
              <w:spacing w:line="276" w:lineRule="auto" w:after="40" w:before="40"/>
            </w:pPr>
            <w:r>
              <w:rPr>
                <w:sz w:val="19"/>
              </w:rPr>
              <w:t>Mandatory Multi-Factor Authentication (TOTP 2FA)</w:t>
            </w:r>
          </w:p>
        </w:tc>
        <w:tc>
          <w:tcPr>
            <w:tcW w:type="dxa" w:w="2340"/>
            <w:tcMar>
              <w:top w:w="140" w:type="dxa"/>
              <w:bottom w:w="140" w:type="dxa"/>
              <w:left w:w="180" w:type="dxa"/>
              <w:right w:w="180" w:type="dxa"/>
            </w:tcMar>
            <w:vAlign w:val="center"/>
          </w:tcPr>
          <w:p>
            <w:pPr>
              <w:spacing w:line="276" w:lineRule="auto" w:after="40" w:before="40"/>
            </w:pPr>
            <w:r>
              <w:rPr>
                <w:sz w:val="19"/>
              </w:rPr>
              <w:t>N/A</w:t>
            </w:r>
          </w:p>
        </w:tc>
        <w:tc>
          <w:tcPr>
            <w:tcW w:type="dxa" w:w="2340"/>
            <w:tcMar>
              <w:top w:w="140" w:type="dxa"/>
              <w:bottom w:w="140" w:type="dxa"/>
              <w:left w:w="180" w:type="dxa"/>
              <w:right w:w="180" w:type="dxa"/>
            </w:tcMar>
            <w:vAlign w:val="center"/>
          </w:tcPr>
          <w:p>
            <w:pPr>
              <w:spacing w:line="276" w:lineRule="auto" w:after="40" w:before="40"/>
            </w:pPr>
            <w:r>
              <w:rPr>
                <w:sz w:val="19"/>
              </w:rPr>
              <w:t>Recommended</w:t>
            </w:r>
          </w:p>
        </w:tc>
        <w:tc>
          <w:tcPr>
            <w:tcW w:type="dxa" w:w="2340"/>
            <w:tcMar>
              <w:top w:w="140" w:type="dxa"/>
              <w:bottom w:w="140" w:type="dxa"/>
              <w:left w:w="180" w:type="dxa"/>
              <w:right w:w="180" w:type="dxa"/>
            </w:tcMar>
            <w:vAlign w:val="center"/>
          </w:tcPr>
          <w:p>
            <w:pPr>
              <w:spacing w:line="276" w:lineRule="auto" w:after="40" w:before="40"/>
            </w:pPr>
            <w:r>
              <w:rPr>
                <w:sz w:val="19"/>
              </w:rPr>
              <w:t>Enforced (Strict)</w:t>
            </w:r>
          </w:p>
        </w:tc>
      </w:tr>
    </w:tbl>
    <w:p>
      <w:r>
        <w:br w:type="page"/>
      </w:r>
    </w:p>
    <w:p>
      <w:pPr>
        <w:pStyle w:val="Heading1"/>
      </w:pPr>
      <w:r>
        <w:rPr>
          <w:b/>
          <w:color w:val="182B49"/>
        </w:rPr>
        <w:t>2. RISK &amp; THREAT ASSESSMENT (OWASP TOP 10:2021)</w:t>
      </w:r>
    </w:p>
    <w:p>
      <w:pPr>
        <w:pStyle w:val="Heading2"/>
      </w:pPr>
      <w:r>
        <w:t>2.1 Threat Likelihood &amp; Impact Rating Methodology</w:t>
      </w:r>
    </w:p>
    <w:p>
      <w:r>
        <w:t>Threat ratings are determined by evaluating threat likelihood against potential institutional impact. Likelihood is assessed based on attack vector accessibility (public internet vs. internal school workstation) and required skill level. Impact is evaluated against statutory compliance under DepEd Order No. 8 s. 2007, financial loss, inventory distortion, and legal sanctions under Republic Act No. 10173.</w:t>
        <w:br/>
        <w:t>• High Likelihood / High Impact: Critical vulnerabilities requiring urgent technical prevention.</w:t>
        <w:br/>
        <w:t>• Medium Likelihood / High Impact: Significant threats requiring structural controls and continuous auditing.</w:t>
        <w:br/>
        <w:t>• Low Likelihood / Medium Impact: Operational edge cases managed through defensive coding and logging.</w:t>
      </w:r>
    </w:p>
    <w:p>
      <w:pPr>
        <w:pStyle w:val="Heading2"/>
      </w:pPr>
      <w:r>
        <w:t>2.2 Comprehensive Threat Matrix &amp; Codebase Justifications</w:t>
      </w:r>
    </w:p>
    <w:p>
      <w:r>
        <w:t>Each threat below is directly identified and analyzed based on the real architecture and codebase of the SmartCanteen system:</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82B49"/>
            <w:tcMar>
              <w:top w:w="140" w:type="dxa"/>
              <w:bottom w:w="140" w:type="dxa"/>
              <w:left w:w="180" w:type="dxa"/>
              <w:right w:w="180" w:type="dxa"/>
            </w:tcMar>
            <w:vAlign w:val="center"/>
          </w:tcPr>
          <w:p>
            <w:pPr>
              <w:spacing w:line="276" w:lineRule="auto" w:after="40" w:before="40"/>
            </w:pPr>
            <w:r>
              <w:rPr>
                <w:b/>
                <w:color w:val="FFFFFF"/>
                <w:sz w:val="19"/>
              </w:rPr>
              <w:t>Threat ID &amp; OWASP Category</w:t>
            </w:r>
          </w:p>
        </w:tc>
        <w:tc>
          <w:tcPr>
            <w:tcW w:type="dxa" w:w="1872"/>
            <w:shd w:fill="182B49"/>
            <w:tcMar>
              <w:top w:w="140" w:type="dxa"/>
              <w:bottom w:w="140" w:type="dxa"/>
              <w:left w:w="180" w:type="dxa"/>
              <w:right w:w="180" w:type="dxa"/>
            </w:tcMar>
            <w:vAlign w:val="center"/>
          </w:tcPr>
          <w:p>
            <w:pPr>
              <w:spacing w:line="276" w:lineRule="auto" w:after="40" w:before="40"/>
            </w:pPr>
            <w:r>
              <w:rPr>
                <w:b/>
                <w:color w:val="FFFFFF"/>
                <w:sz w:val="19"/>
              </w:rPr>
              <w:t>System-Specific Attack Scenario</w:t>
            </w:r>
          </w:p>
        </w:tc>
        <w:tc>
          <w:tcPr>
            <w:tcW w:type="dxa" w:w="1872"/>
            <w:shd w:fill="182B49"/>
            <w:tcMar>
              <w:top w:w="140" w:type="dxa"/>
              <w:bottom w:w="140" w:type="dxa"/>
              <w:left w:w="180" w:type="dxa"/>
              <w:right w:w="180" w:type="dxa"/>
            </w:tcMar>
            <w:vAlign w:val="center"/>
          </w:tcPr>
          <w:p>
            <w:pPr>
              <w:spacing w:line="276" w:lineRule="auto" w:after="40" w:before="40"/>
            </w:pPr>
            <w:r>
              <w:rPr>
                <w:b/>
                <w:color w:val="FFFFFF"/>
                <w:sz w:val="19"/>
              </w:rPr>
              <w:t>Likelihood</w:t>
            </w:r>
          </w:p>
        </w:tc>
        <w:tc>
          <w:tcPr>
            <w:tcW w:type="dxa" w:w="1872"/>
            <w:shd w:fill="182B49"/>
            <w:tcMar>
              <w:top w:w="140" w:type="dxa"/>
              <w:bottom w:w="140" w:type="dxa"/>
              <w:left w:w="180" w:type="dxa"/>
              <w:right w:w="180" w:type="dxa"/>
            </w:tcMar>
            <w:vAlign w:val="center"/>
          </w:tcPr>
          <w:p>
            <w:pPr>
              <w:spacing w:line="276" w:lineRule="auto" w:after="40" w:before="40"/>
            </w:pPr>
            <w:r>
              <w:rPr>
                <w:b/>
                <w:color w:val="FFFFFF"/>
                <w:sz w:val="19"/>
              </w:rPr>
              <w:t>Impact</w:t>
            </w:r>
          </w:p>
        </w:tc>
        <w:tc>
          <w:tcPr>
            <w:tcW w:type="dxa" w:w="1872"/>
            <w:shd w:fill="182B49"/>
            <w:tcMar>
              <w:top w:w="140" w:type="dxa"/>
              <w:bottom w:w="140" w:type="dxa"/>
              <w:left w:w="180" w:type="dxa"/>
              <w:right w:w="180" w:type="dxa"/>
            </w:tcMar>
            <w:vAlign w:val="center"/>
          </w:tcPr>
          <w:p>
            <w:pPr>
              <w:spacing w:line="276" w:lineRule="auto" w:after="40" w:before="40"/>
            </w:pPr>
            <w:r>
              <w:rPr>
                <w:b/>
                <w:color w:val="FFFFFF"/>
                <w:sz w:val="19"/>
              </w:rPr>
              <w:t>Overall Risk</w:t>
            </w:r>
          </w:p>
        </w:tc>
      </w:tr>
      <w:tr>
        <w:tc>
          <w:tcPr>
            <w:tcW w:type="dxa" w:w="1872"/>
            <w:tcMar>
              <w:top w:w="140" w:type="dxa"/>
              <w:bottom w:w="140" w:type="dxa"/>
              <w:left w:w="180" w:type="dxa"/>
              <w:right w:w="180" w:type="dxa"/>
            </w:tcMar>
            <w:vAlign w:val="center"/>
          </w:tcPr>
          <w:p>
            <w:pPr>
              <w:spacing w:line="276" w:lineRule="auto" w:after="40" w:before="40"/>
            </w:pPr>
            <w:r>
              <w:rPr>
                <w:sz w:val="19"/>
              </w:rPr>
              <w:t>TH-01: A01 Broken Access Control</w:t>
            </w:r>
          </w:p>
        </w:tc>
        <w:tc>
          <w:tcPr>
            <w:tcW w:type="dxa" w:w="1872"/>
            <w:tcMar>
              <w:top w:w="140" w:type="dxa"/>
              <w:bottom w:w="140" w:type="dxa"/>
              <w:left w:w="180" w:type="dxa"/>
              <w:right w:w="180" w:type="dxa"/>
            </w:tcMar>
            <w:vAlign w:val="center"/>
          </w:tcPr>
          <w:p>
            <w:pPr>
              <w:spacing w:line="276" w:lineRule="auto" w:after="40" w:before="40"/>
            </w:pPr>
            <w:r>
              <w:rPr>
                <w:sz w:val="19"/>
              </w:rPr>
              <w:t>IDOR on expense voucher attachments or unauthorized financial balance override attempts by staff altering API endpoint parameter IDs.</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c>
          <w:tcPr>
            <w:tcW w:type="dxa" w:w="1872"/>
            <w:tcMar>
              <w:top w:w="140" w:type="dxa"/>
              <w:bottom w:w="140" w:type="dxa"/>
              <w:left w:w="180" w:type="dxa"/>
              <w:right w:w="180" w:type="dxa"/>
            </w:tcMar>
            <w:vAlign w:val="center"/>
          </w:tcPr>
          <w:p>
            <w:pPr>
              <w:spacing w:line="276" w:lineRule="auto" w:after="40" w:before="40"/>
            </w:pPr>
            <w:r>
              <w:rPr>
                <w:sz w:val="19"/>
              </w:rPr>
              <w:t>High</w:t>
            </w:r>
          </w:p>
        </w:tc>
        <w:tc>
          <w:tcPr>
            <w:tcW w:type="dxa" w:w="1872"/>
            <w:tcMar>
              <w:top w:w="140" w:type="dxa"/>
              <w:bottom w:w="140" w:type="dxa"/>
              <w:left w:w="180" w:type="dxa"/>
              <w:right w:w="180" w:type="dxa"/>
            </w:tcMar>
            <w:vAlign w:val="center"/>
          </w:tcPr>
          <w:p>
            <w:pPr>
              <w:spacing w:line="276" w:lineRule="auto" w:after="40" w:before="40"/>
            </w:pPr>
            <w:r>
              <w:rPr>
                <w:sz w:val="19"/>
              </w:rPr>
              <w:t>HIGH</w:t>
            </w:r>
          </w:p>
        </w:tc>
      </w:tr>
      <w:tr>
        <w:tc>
          <w:tcPr>
            <w:tcW w:type="dxa" w:w="1872"/>
            <w:tcMar>
              <w:top w:w="140" w:type="dxa"/>
              <w:bottom w:w="140" w:type="dxa"/>
              <w:left w:w="180" w:type="dxa"/>
              <w:right w:w="180" w:type="dxa"/>
            </w:tcMar>
            <w:vAlign w:val="center"/>
          </w:tcPr>
          <w:p>
            <w:pPr>
              <w:spacing w:line="276" w:lineRule="auto" w:after="40" w:before="40"/>
            </w:pPr>
            <w:r>
              <w:rPr>
                <w:sz w:val="19"/>
              </w:rPr>
              <w:t>TH-02: A02 Cryptographic Failures</w:t>
            </w:r>
          </w:p>
        </w:tc>
        <w:tc>
          <w:tcPr>
            <w:tcW w:type="dxa" w:w="1872"/>
            <w:tcMar>
              <w:top w:w="140" w:type="dxa"/>
              <w:bottom w:w="140" w:type="dxa"/>
              <w:left w:w="180" w:type="dxa"/>
              <w:right w:w="180" w:type="dxa"/>
            </w:tcMar>
            <w:vAlign w:val="center"/>
          </w:tcPr>
          <w:p>
            <w:pPr>
              <w:spacing w:line="276" w:lineRule="auto" w:after="40" w:before="40"/>
            </w:pPr>
            <w:r>
              <w:rPr>
                <w:sz w:val="19"/>
              </w:rPr>
              <w:t>Interception of session tokens over plain HTTP or exploitation of default hardcoded JWT secret keys left unmodified in development configurations.</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c>
          <w:tcPr>
            <w:tcW w:type="dxa" w:w="1872"/>
            <w:tcMar>
              <w:top w:w="140" w:type="dxa"/>
              <w:bottom w:w="140" w:type="dxa"/>
              <w:left w:w="180" w:type="dxa"/>
              <w:right w:w="180" w:type="dxa"/>
            </w:tcMar>
            <w:vAlign w:val="center"/>
          </w:tcPr>
          <w:p>
            <w:pPr>
              <w:spacing w:line="276" w:lineRule="auto" w:after="40" w:before="40"/>
            </w:pPr>
            <w:r>
              <w:rPr>
                <w:sz w:val="19"/>
              </w:rPr>
              <w:t>High</w:t>
            </w:r>
          </w:p>
        </w:tc>
        <w:tc>
          <w:tcPr>
            <w:tcW w:type="dxa" w:w="1872"/>
            <w:tcMar>
              <w:top w:w="140" w:type="dxa"/>
              <w:bottom w:w="140" w:type="dxa"/>
              <w:left w:w="180" w:type="dxa"/>
              <w:right w:w="180" w:type="dxa"/>
            </w:tcMar>
            <w:vAlign w:val="center"/>
          </w:tcPr>
          <w:p>
            <w:pPr>
              <w:spacing w:line="276" w:lineRule="auto" w:after="40" w:before="40"/>
            </w:pPr>
            <w:r>
              <w:rPr>
                <w:sz w:val="19"/>
              </w:rPr>
              <w:t>HIGH</w:t>
            </w:r>
          </w:p>
        </w:tc>
      </w:tr>
      <w:tr>
        <w:tc>
          <w:tcPr>
            <w:tcW w:type="dxa" w:w="1872"/>
            <w:tcMar>
              <w:top w:w="140" w:type="dxa"/>
              <w:bottom w:w="140" w:type="dxa"/>
              <w:left w:w="180" w:type="dxa"/>
              <w:right w:w="180" w:type="dxa"/>
            </w:tcMar>
            <w:vAlign w:val="center"/>
          </w:tcPr>
          <w:p>
            <w:pPr>
              <w:spacing w:line="276" w:lineRule="auto" w:after="40" w:before="40"/>
            </w:pPr>
            <w:r>
              <w:rPr>
                <w:sz w:val="19"/>
              </w:rPr>
              <w:t>TH-03: A03 Injection</w:t>
            </w:r>
          </w:p>
        </w:tc>
        <w:tc>
          <w:tcPr>
            <w:tcW w:type="dxa" w:w="1872"/>
            <w:tcMar>
              <w:top w:w="140" w:type="dxa"/>
              <w:bottom w:w="140" w:type="dxa"/>
              <w:left w:w="180" w:type="dxa"/>
              <w:right w:w="180" w:type="dxa"/>
            </w:tcMar>
            <w:vAlign w:val="center"/>
          </w:tcPr>
          <w:p>
            <w:pPr>
              <w:spacing w:line="276" w:lineRule="auto" w:after="40" w:before="40"/>
            </w:pPr>
            <w:r>
              <w:rPr>
                <w:sz w:val="19"/>
              </w:rPr>
              <w:t>Stored XSS via expense voucher remarks or formula injection (=CMD) embedded into exported DepEd Excel workbooks through crafted supplier notes.</w:t>
            </w:r>
          </w:p>
        </w:tc>
        <w:tc>
          <w:tcPr>
            <w:tcW w:type="dxa" w:w="1872"/>
            <w:tcMar>
              <w:top w:w="140" w:type="dxa"/>
              <w:bottom w:w="140" w:type="dxa"/>
              <w:left w:w="180" w:type="dxa"/>
              <w:right w:w="180" w:type="dxa"/>
            </w:tcMar>
            <w:vAlign w:val="center"/>
          </w:tcPr>
          <w:p>
            <w:pPr>
              <w:spacing w:line="276" w:lineRule="auto" w:after="40" w:before="40"/>
            </w:pPr>
            <w:r>
              <w:rPr>
                <w:sz w:val="19"/>
              </w:rPr>
              <w:t>Low</w:t>
            </w:r>
          </w:p>
        </w:tc>
        <w:tc>
          <w:tcPr>
            <w:tcW w:type="dxa" w:w="1872"/>
            <w:tcMar>
              <w:top w:w="140" w:type="dxa"/>
              <w:bottom w:w="140" w:type="dxa"/>
              <w:left w:w="180" w:type="dxa"/>
              <w:right w:w="180" w:type="dxa"/>
            </w:tcMar>
            <w:vAlign w:val="center"/>
          </w:tcPr>
          <w:p>
            <w:pPr>
              <w:spacing w:line="276" w:lineRule="auto" w:after="40" w:before="40"/>
            </w:pPr>
            <w:r>
              <w:rPr>
                <w:sz w:val="19"/>
              </w:rPr>
              <w:t>High</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r>
      <w:tr>
        <w:tc>
          <w:tcPr>
            <w:tcW w:type="dxa" w:w="1872"/>
            <w:tcMar>
              <w:top w:w="140" w:type="dxa"/>
              <w:bottom w:w="140" w:type="dxa"/>
              <w:left w:w="180" w:type="dxa"/>
              <w:right w:w="180" w:type="dxa"/>
            </w:tcMar>
            <w:vAlign w:val="center"/>
          </w:tcPr>
          <w:p>
            <w:pPr>
              <w:spacing w:line="276" w:lineRule="auto" w:after="40" w:before="40"/>
            </w:pPr>
            <w:r>
              <w:rPr>
                <w:sz w:val="19"/>
              </w:rPr>
              <w:t>TH-04: A04 Insecure Design</w:t>
            </w:r>
          </w:p>
        </w:tc>
        <w:tc>
          <w:tcPr>
            <w:tcW w:type="dxa" w:w="1872"/>
            <w:tcMar>
              <w:top w:w="140" w:type="dxa"/>
              <w:bottom w:w="140" w:type="dxa"/>
              <w:left w:w="180" w:type="dxa"/>
              <w:right w:w="180" w:type="dxa"/>
            </w:tcMar>
            <w:vAlign w:val="center"/>
          </w:tcPr>
          <w:p>
            <w:pPr>
              <w:spacing w:line="276" w:lineRule="auto" w:after="40" w:before="40"/>
            </w:pPr>
            <w:r>
              <w:rPr>
                <w:sz w:val="19"/>
              </w:rPr>
              <w:t>Business logic manipulation: Discrepancies in food waste reconciliation or manual cash carryover calculation bypassing administrative sign-off.</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r>
      <w:tr>
        <w:tc>
          <w:tcPr>
            <w:tcW w:type="dxa" w:w="1872"/>
            <w:tcMar>
              <w:top w:w="140" w:type="dxa"/>
              <w:bottom w:w="140" w:type="dxa"/>
              <w:left w:w="180" w:type="dxa"/>
              <w:right w:w="180" w:type="dxa"/>
            </w:tcMar>
            <w:vAlign w:val="center"/>
          </w:tcPr>
          <w:p>
            <w:pPr>
              <w:spacing w:line="276" w:lineRule="auto" w:after="40" w:before="40"/>
            </w:pPr>
            <w:r>
              <w:rPr>
                <w:sz w:val="19"/>
              </w:rPr>
              <w:t>TH-05: A05 Security Misconfiguration</w:t>
            </w:r>
          </w:p>
        </w:tc>
        <w:tc>
          <w:tcPr>
            <w:tcW w:type="dxa" w:w="1872"/>
            <w:tcMar>
              <w:top w:w="140" w:type="dxa"/>
              <w:bottom w:w="140" w:type="dxa"/>
              <w:left w:w="180" w:type="dxa"/>
              <w:right w:w="180" w:type="dxa"/>
            </w:tcMar>
            <w:vAlign w:val="center"/>
          </w:tcPr>
          <w:p>
            <w:pPr>
              <w:spacing w:line="276" w:lineRule="auto" w:after="40" w:before="40"/>
            </w:pPr>
            <w:r>
              <w:rPr>
                <w:sz w:val="19"/>
              </w:rPr>
              <w:t>Exposing interactive OpenAPI/Swagger documentation in production or running the system with default seeded credentials (admin123, staff123).</w:t>
            </w:r>
          </w:p>
        </w:tc>
        <w:tc>
          <w:tcPr>
            <w:tcW w:type="dxa" w:w="1872"/>
            <w:tcMar>
              <w:top w:w="140" w:type="dxa"/>
              <w:bottom w:w="140" w:type="dxa"/>
              <w:left w:w="180" w:type="dxa"/>
              <w:right w:w="180" w:type="dxa"/>
            </w:tcMar>
            <w:vAlign w:val="center"/>
          </w:tcPr>
          <w:p>
            <w:pPr>
              <w:spacing w:line="276" w:lineRule="auto" w:after="40" w:before="40"/>
            </w:pPr>
            <w:r>
              <w:rPr>
                <w:sz w:val="19"/>
              </w:rPr>
              <w:t>High</w:t>
            </w:r>
          </w:p>
        </w:tc>
        <w:tc>
          <w:tcPr>
            <w:tcW w:type="dxa" w:w="1872"/>
            <w:tcMar>
              <w:top w:w="140" w:type="dxa"/>
              <w:bottom w:w="140" w:type="dxa"/>
              <w:left w:w="180" w:type="dxa"/>
              <w:right w:w="180" w:type="dxa"/>
            </w:tcMar>
            <w:vAlign w:val="center"/>
          </w:tcPr>
          <w:p>
            <w:pPr>
              <w:spacing w:line="276" w:lineRule="auto" w:after="40" w:before="40"/>
            </w:pPr>
            <w:r>
              <w:rPr>
                <w:sz w:val="19"/>
              </w:rPr>
              <w:t>High</w:t>
            </w:r>
          </w:p>
        </w:tc>
        <w:tc>
          <w:tcPr>
            <w:tcW w:type="dxa" w:w="1872"/>
            <w:tcMar>
              <w:top w:w="140" w:type="dxa"/>
              <w:bottom w:w="140" w:type="dxa"/>
              <w:left w:w="180" w:type="dxa"/>
              <w:right w:w="180" w:type="dxa"/>
            </w:tcMar>
            <w:vAlign w:val="center"/>
          </w:tcPr>
          <w:p>
            <w:pPr>
              <w:spacing w:line="276" w:lineRule="auto" w:after="40" w:before="40"/>
            </w:pPr>
            <w:r>
              <w:rPr>
                <w:sz w:val="19"/>
              </w:rPr>
              <w:t>CRITICAL</w:t>
            </w:r>
          </w:p>
        </w:tc>
      </w:tr>
      <w:tr>
        <w:tc>
          <w:tcPr>
            <w:tcW w:type="dxa" w:w="1872"/>
            <w:tcMar>
              <w:top w:w="140" w:type="dxa"/>
              <w:bottom w:w="140" w:type="dxa"/>
              <w:left w:w="180" w:type="dxa"/>
              <w:right w:w="180" w:type="dxa"/>
            </w:tcMar>
            <w:vAlign w:val="center"/>
          </w:tcPr>
          <w:p>
            <w:pPr>
              <w:spacing w:line="276" w:lineRule="auto" w:after="40" w:before="40"/>
            </w:pPr>
            <w:r>
              <w:rPr>
                <w:sz w:val="19"/>
              </w:rPr>
              <w:t>TH-06: A06 Outdated Components</w:t>
            </w:r>
          </w:p>
        </w:tc>
        <w:tc>
          <w:tcPr>
            <w:tcW w:type="dxa" w:w="1872"/>
            <w:tcMar>
              <w:top w:w="140" w:type="dxa"/>
              <w:bottom w:w="140" w:type="dxa"/>
              <w:left w:w="180" w:type="dxa"/>
              <w:right w:w="180" w:type="dxa"/>
            </w:tcMar>
            <w:vAlign w:val="center"/>
          </w:tcPr>
          <w:p>
            <w:pPr>
              <w:spacing w:line="276" w:lineRule="auto" w:after="40" w:before="40"/>
            </w:pPr>
            <w:r>
              <w:rPr>
                <w:sz w:val="19"/>
              </w:rPr>
              <w:t>Exploiting vulnerable Electron runtime packages or unpatched Python/Node dependencies to escape the desktop sandbox into the Windows OS.</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c>
          <w:tcPr>
            <w:tcW w:type="dxa" w:w="1872"/>
            <w:tcMar>
              <w:top w:w="140" w:type="dxa"/>
              <w:bottom w:w="140" w:type="dxa"/>
              <w:left w:w="180" w:type="dxa"/>
              <w:right w:w="180" w:type="dxa"/>
            </w:tcMar>
            <w:vAlign w:val="center"/>
          </w:tcPr>
          <w:p>
            <w:pPr>
              <w:spacing w:line="276" w:lineRule="auto" w:after="40" w:before="40"/>
            </w:pPr>
            <w:r>
              <w:rPr>
                <w:sz w:val="19"/>
              </w:rPr>
              <w:t>High</w:t>
            </w:r>
          </w:p>
        </w:tc>
        <w:tc>
          <w:tcPr>
            <w:tcW w:type="dxa" w:w="1872"/>
            <w:tcMar>
              <w:top w:w="140" w:type="dxa"/>
              <w:bottom w:w="140" w:type="dxa"/>
              <w:left w:w="180" w:type="dxa"/>
              <w:right w:w="180" w:type="dxa"/>
            </w:tcMar>
            <w:vAlign w:val="center"/>
          </w:tcPr>
          <w:p>
            <w:pPr>
              <w:spacing w:line="276" w:lineRule="auto" w:after="40" w:before="40"/>
            </w:pPr>
            <w:r>
              <w:rPr>
                <w:sz w:val="19"/>
              </w:rPr>
              <w:t>HIGH</w:t>
            </w:r>
          </w:p>
        </w:tc>
      </w:tr>
      <w:tr>
        <w:tc>
          <w:tcPr>
            <w:tcW w:type="dxa" w:w="1872"/>
            <w:tcMar>
              <w:top w:w="140" w:type="dxa"/>
              <w:bottom w:w="140" w:type="dxa"/>
              <w:left w:w="180" w:type="dxa"/>
              <w:right w:w="180" w:type="dxa"/>
            </w:tcMar>
            <w:vAlign w:val="center"/>
          </w:tcPr>
          <w:p>
            <w:pPr>
              <w:spacing w:line="276" w:lineRule="auto" w:after="40" w:before="40"/>
            </w:pPr>
            <w:r>
              <w:rPr>
                <w:sz w:val="19"/>
              </w:rPr>
              <w:t>TH-07: A07 Auth &amp; Identification Failures</w:t>
            </w:r>
          </w:p>
        </w:tc>
        <w:tc>
          <w:tcPr>
            <w:tcW w:type="dxa" w:w="1872"/>
            <w:tcMar>
              <w:top w:w="140" w:type="dxa"/>
              <w:bottom w:w="140" w:type="dxa"/>
              <w:left w:w="180" w:type="dxa"/>
              <w:right w:w="180" w:type="dxa"/>
            </w:tcMar>
            <w:vAlign w:val="center"/>
          </w:tcPr>
          <w:p>
            <w:pPr>
              <w:spacing w:line="276" w:lineRule="auto" w:after="40" w:before="40"/>
            </w:pPr>
            <w:r>
              <w:rPr>
                <w:sz w:val="19"/>
              </w:rPr>
              <w:t>Brute-force credential stuffing against administrative login without IP rate-limiting or lockout enforcement.</w:t>
            </w:r>
          </w:p>
        </w:tc>
        <w:tc>
          <w:tcPr>
            <w:tcW w:type="dxa" w:w="1872"/>
            <w:tcMar>
              <w:top w:w="140" w:type="dxa"/>
              <w:bottom w:w="140" w:type="dxa"/>
              <w:left w:w="180" w:type="dxa"/>
              <w:right w:w="180" w:type="dxa"/>
            </w:tcMar>
            <w:vAlign w:val="center"/>
          </w:tcPr>
          <w:p>
            <w:pPr>
              <w:spacing w:line="276" w:lineRule="auto" w:after="40" w:before="40"/>
            </w:pPr>
            <w:r>
              <w:rPr>
                <w:sz w:val="19"/>
              </w:rPr>
              <w:t>High</w:t>
            </w:r>
          </w:p>
        </w:tc>
        <w:tc>
          <w:tcPr>
            <w:tcW w:type="dxa" w:w="1872"/>
            <w:tcMar>
              <w:top w:w="140" w:type="dxa"/>
              <w:bottom w:w="140" w:type="dxa"/>
              <w:left w:w="180" w:type="dxa"/>
              <w:right w:w="180" w:type="dxa"/>
            </w:tcMar>
            <w:vAlign w:val="center"/>
          </w:tcPr>
          <w:p>
            <w:pPr>
              <w:spacing w:line="276" w:lineRule="auto" w:after="40" w:before="40"/>
            </w:pPr>
            <w:r>
              <w:rPr>
                <w:sz w:val="19"/>
              </w:rPr>
              <w:t>High</w:t>
            </w:r>
          </w:p>
        </w:tc>
        <w:tc>
          <w:tcPr>
            <w:tcW w:type="dxa" w:w="1872"/>
            <w:tcMar>
              <w:top w:w="140" w:type="dxa"/>
              <w:bottom w:w="140" w:type="dxa"/>
              <w:left w:w="180" w:type="dxa"/>
              <w:right w:w="180" w:type="dxa"/>
            </w:tcMar>
            <w:vAlign w:val="center"/>
          </w:tcPr>
          <w:p>
            <w:pPr>
              <w:spacing w:line="276" w:lineRule="auto" w:after="40" w:before="40"/>
            </w:pPr>
            <w:r>
              <w:rPr>
                <w:sz w:val="19"/>
              </w:rPr>
              <w:t>HIGH</w:t>
            </w:r>
          </w:p>
        </w:tc>
      </w:tr>
      <w:tr>
        <w:tc>
          <w:tcPr>
            <w:tcW w:type="dxa" w:w="1872"/>
            <w:tcMar>
              <w:top w:w="140" w:type="dxa"/>
              <w:bottom w:w="140" w:type="dxa"/>
              <w:left w:w="180" w:type="dxa"/>
              <w:right w:w="180" w:type="dxa"/>
            </w:tcMar>
            <w:vAlign w:val="center"/>
          </w:tcPr>
          <w:p>
            <w:pPr>
              <w:spacing w:line="276" w:lineRule="auto" w:after="40" w:before="40"/>
            </w:pPr>
            <w:r>
              <w:rPr>
                <w:sz w:val="19"/>
              </w:rPr>
              <w:t>TH-08: A08 Software &amp; Data Integrity</w:t>
            </w:r>
          </w:p>
        </w:tc>
        <w:tc>
          <w:tcPr>
            <w:tcW w:type="dxa" w:w="1872"/>
            <w:tcMar>
              <w:top w:w="140" w:type="dxa"/>
              <w:bottom w:w="140" w:type="dxa"/>
              <w:left w:w="180" w:type="dxa"/>
              <w:right w:w="180" w:type="dxa"/>
            </w:tcMar>
            <w:vAlign w:val="center"/>
          </w:tcPr>
          <w:p>
            <w:pPr>
              <w:spacing w:line="276" w:lineRule="auto" w:after="40" w:before="40"/>
            </w:pPr>
            <w:r>
              <w:rPr>
                <w:sz w:val="19"/>
              </w:rPr>
              <w:t>Tampering with server-side official DepEd Excel workbook templates (.xlsx) to falsify mandatory statutory allocation percentages.</w:t>
            </w:r>
          </w:p>
        </w:tc>
        <w:tc>
          <w:tcPr>
            <w:tcW w:type="dxa" w:w="1872"/>
            <w:tcMar>
              <w:top w:w="140" w:type="dxa"/>
              <w:bottom w:w="140" w:type="dxa"/>
              <w:left w:w="180" w:type="dxa"/>
              <w:right w:w="180" w:type="dxa"/>
            </w:tcMar>
            <w:vAlign w:val="center"/>
          </w:tcPr>
          <w:p>
            <w:pPr>
              <w:spacing w:line="276" w:lineRule="auto" w:after="40" w:before="40"/>
            </w:pPr>
            <w:r>
              <w:rPr>
                <w:sz w:val="19"/>
              </w:rPr>
              <w:t>Low</w:t>
            </w:r>
          </w:p>
        </w:tc>
        <w:tc>
          <w:tcPr>
            <w:tcW w:type="dxa" w:w="1872"/>
            <w:tcMar>
              <w:top w:w="140" w:type="dxa"/>
              <w:bottom w:w="140" w:type="dxa"/>
              <w:left w:w="180" w:type="dxa"/>
              <w:right w:w="180" w:type="dxa"/>
            </w:tcMar>
            <w:vAlign w:val="center"/>
          </w:tcPr>
          <w:p>
            <w:pPr>
              <w:spacing w:line="276" w:lineRule="auto" w:after="40" w:before="40"/>
            </w:pPr>
            <w:r>
              <w:rPr>
                <w:sz w:val="19"/>
              </w:rPr>
              <w:t>High</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r>
      <w:tr>
        <w:tc>
          <w:tcPr>
            <w:tcW w:type="dxa" w:w="1872"/>
            <w:tcMar>
              <w:top w:w="140" w:type="dxa"/>
              <w:bottom w:w="140" w:type="dxa"/>
              <w:left w:w="180" w:type="dxa"/>
              <w:right w:w="180" w:type="dxa"/>
            </w:tcMar>
            <w:vAlign w:val="center"/>
          </w:tcPr>
          <w:p>
            <w:pPr>
              <w:spacing w:line="276" w:lineRule="auto" w:after="40" w:before="40"/>
            </w:pPr>
            <w:r>
              <w:rPr>
                <w:sz w:val="19"/>
              </w:rPr>
              <w:t>TH-09: A09 Logging &amp; Monitoring Failures</w:t>
            </w:r>
          </w:p>
        </w:tc>
        <w:tc>
          <w:tcPr>
            <w:tcW w:type="dxa" w:w="1872"/>
            <w:tcMar>
              <w:top w:w="140" w:type="dxa"/>
              <w:bottom w:w="140" w:type="dxa"/>
              <w:left w:w="180" w:type="dxa"/>
              <w:right w:w="180" w:type="dxa"/>
            </w:tcMar>
            <w:vAlign w:val="center"/>
          </w:tcPr>
          <w:p>
            <w:pPr>
              <w:spacing w:line="276" w:lineRule="auto" w:after="40" w:before="40"/>
            </w:pPr>
            <w:r>
              <w:rPr>
                <w:sz w:val="19"/>
              </w:rPr>
              <w:t>Undetected administrative tampering: Manual beginning cash overrides or inventory record deletions executed without alert triggers.</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r>
      <w:tr>
        <w:tc>
          <w:tcPr>
            <w:tcW w:type="dxa" w:w="1872"/>
            <w:tcMar>
              <w:top w:w="140" w:type="dxa"/>
              <w:bottom w:w="140" w:type="dxa"/>
              <w:left w:w="180" w:type="dxa"/>
              <w:right w:w="180" w:type="dxa"/>
            </w:tcMar>
            <w:vAlign w:val="center"/>
          </w:tcPr>
          <w:p>
            <w:pPr>
              <w:spacing w:line="276" w:lineRule="auto" w:after="40" w:before="40"/>
            </w:pPr>
            <w:r>
              <w:rPr>
                <w:sz w:val="19"/>
              </w:rPr>
              <w:t>TH-10: A10 SSRF</w:t>
            </w:r>
          </w:p>
        </w:tc>
        <w:tc>
          <w:tcPr>
            <w:tcW w:type="dxa" w:w="1872"/>
            <w:tcMar>
              <w:top w:w="140" w:type="dxa"/>
              <w:bottom w:w="140" w:type="dxa"/>
              <w:left w:w="180" w:type="dxa"/>
              <w:right w:w="180" w:type="dxa"/>
            </w:tcMar>
            <w:vAlign w:val="center"/>
          </w:tcPr>
          <w:p>
            <w:pPr>
              <w:spacing w:line="276" w:lineRule="auto" w:after="40" w:before="40"/>
            </w:pPr>
            <w:r>
              <w:rPr>
                <w:sz w:val="19"/>
              </w:rPr>
              <w:t>Server-Side Request Forgery triggered by supplying malicious remote URLs during automated receipt image downloading or logo verification.</w:t>
            </w:r>
          </w:p>
        </w:tc>
        <w:tc>
          <w:tcPr>
            <w:tcW w:type="dxa" w:w="1872"/>
            <w:tcMar>
              <w:top w:w="140" w:type="dxa"/>
              <w:bottom w:w="140" w:type="dxa"/>
              <w:left w:w="180" w:type="dxa"/>
              <w:right w:w="180" w:type="dxa"/>
            </w:tcMar>
            <w:vAlign w:val="center"/>
          </w:tcPr>
          <w:p>
            <w:pPr>
              <w:spacing w:line="276" w:lineRule="auto" w:after="40" w:before="40"/>
            </w:pPr>
            <w:r>
              <w:rPr>
                <w:sz w:val="19"/>
              </w:rPr>
              <w:t>Low</w:t>
            </w:r>
          </w:p>
        </w:tc>
        <w:tc>
          <w:tcPr>
            <w:tcW w:type="dxa" w:w="1872"/>
            <w:tcMar>
              <w:top w:w="140" w:type="dxa"/>
              <w:bottom w:w="140" w:type="dxa"/>
              <w:left w:w="180" w:type="dxa"/>
              <w:right w:w="180" w:type="dxa"/>
            </w:tcMar>
            <w:vAlign w:val="center"/>
          </w:tcPr>
          <w:p>
            <w:pPr>
              <w:spacing w:line="276" w:lineRule="auto" w:after="40" w:before="40"/>
            </w:pPr>
            <w:r>
              <w:rPr>
                <w:sz w:val="19"/>
              </w:rPr>
              <w:t>Medium</w:t>
            </w:r>
          </w:p>
        </w:tc>
        <w:tc>
          <w:tcPr>
            <w:tcW w:type="dxa" w:w="1872"/>
            <w:tcMar>
              <w:top w:w="140" w:type="dxa"/>
              <w:bottom w:w="140" w:type="dxa"/>
              <w:left w:w="180" w:type="dxa"/>
              <w:right w:w="180" w:type="dxa"/>
            </w:tcMar>
            <w:vAlign w:val="center"/>
          </w:tcPr>
          <w:p>
            <w:pPr>
              <w:spacing w:line="276" w:lineRule="auto" w:after="40" w:before="40"/>
            </w:pPr>
            <w:r>
              <w:rPr>
                <w:sz w:val="19"/>
              </w:rPr>
              <w:t>LOW</w:t>
            </w:r>
          </w:p>
        </w:tc>
      </w:tr>
    </w:tbl>
    <w:p>
      <w:pPr>
        <w:spacing w:after="160"/>
      </w:pPr>
    </w:p>
    <w:p>
      <w:pPr>
        <w:pStyle w:val="Heading2"/>
      </w:pPr>
      <w:r>
        <w:t>2.3 Technical Threat Justifications Grounded in System Codebase</w:t>
      </w:r>
    </w:p>
    <w:p>
      <w:r>
        <w:t>1. Justification for TH-01 (Broken Access Control): SmartCanteen implements specific financial calculation routes such as `/api/financial-reports/override-sales` and `/api/expenses/{id}/attachment`. If access checks are restricted only to client-side UI buttons, an authenticated staff user could craft raw curl or Postman requests using their valid token to modify beginning cash balances or view sensitive receipts. Strict server-side role validation via `require_admin` is mandatory.</w:t>
        <w:br/>
        <w:br/>
        <w:t>2. Justification for TH-02 (Cryptographic Failures): In `backend/auth.py`, the fallback secret key is configured as `smartcanteen-secret-key-CHANGE-THIS-in-prod-2024!`. If an administrator deploys the VPS without configuring the `JWT_SECRET_KEY` environment variable, an attacker knowing this default string could forge valid tokens with `role: admin` and `two_factor_verified: true`, completely bypassing authentication.</w:t>
        <w:br/>
        <w:br/>
        <w:t>3. Justification for TH-05 (Security Misconfiguration): The initial database seeder (`backend/demo_data.py`) creates standard default accounts with passwords `admin123` and `staff123`. If these accounts are left unchanged when opening the system to the school network, automated scanners could immediately gain complete system control.</w:t>
        <w:br/>
        <w:br/>
        <w:t>4. Justification for TH-08 (Software &amp; Data Integrity Failures): SmartCanteen dynamically loads the template file `report_templates/CANTEEN-REPORT-2025-2026-2 (1).xlsx` to generate official DepEd reports. If file write permissions on the server are permissive, an unauthorized actor could modify the template formulas to misstate the mandatory 35% feeding allocation or 25% revolving fund.</w:t>
      </w:r>
    </w:p>
    <w:p>
      <w:r>
        <w:br w:type="page"/>
      </w:r>
    </w:p>
    <w:p>
      <w:pPr>
        <w:pStyle w:val="Heading1"/>
      </w:pPr>
      <w:r>
        <w:rPr>
          <w:b/>
          <w:color w:val="182B49"/>
        </w:rPr>
        <w:t>3. SECURITY CONTROLS &amp; ARCHITECTURE</w:t>
      </w:r>
    </w:p>
    <w:p>
      <w:pPr>
        <w:pStyle w:val="Heading2"/>
      </w:pPr>
      <w:r>
        <w:t>3.1 Authentication &amp; Credential Architecture</w:t>
      </w:r>
    </w:p>
    <w:p>
      <w:r>
        <w:t>• Cryptographic Password Hashing: User passwords are encrypted using bcrypt with an adaptive salt work factor of 12 rounds. Plaintext passwords are never logged, cached, or written to disk.</w:t>
        <w:br/>
        <w:t>• Mandatory TOTP Multi-Factor Authentication: All accounts assigned the administrator role must enroll in RFC 6238 Time-based One-Time Password (TOTP) 2FA using Google Authenticator or compatible apps. 2FA secrets are generated with 32-byte cryptographic entropy and encrypted at rest. Single-use emergency backup recovery codes are stored hashed with SHA-256 (`UserRecoveryCode`).</w:t>
        <w:br/>
        <w:t>• Progressive Account Lockout: Enforced via `login_failed_attempts` and `authenticator_failed_attempts`. Upon 5 consecutive failed attempts, the account is locked for 15 minutes. Successive failures escalate lockouts to 1 hour and 24 hours to prevent dictionary attacks.</w:t>
      </w:r>
    </w:p>
    <w:p>
      <w:pPr>
        <w:pStyle w:val="Heading2"/>
      </w:pPr>
      <w:r>
        <w:t>3.2 Session Management &amp; Revocation Protocol</w:t>
      </w:r>
    </w:p>
    <w:p>
      <w:r>
        <w:t>• Stateless JWT Access Tokens: Issued with a strict 60-minute expiration window (or 8 hours for continuous administrative shifts). Tokens carry user claims and MFA verification status, signed with HS256 using a high-entropy secret.</w:t>
        <w:br/>
        <w:t>• Device-Bound Revocable Login Sessions: For persistent sessions ('Remember Me'), a stateful `UserLoginSession` record stores a SHA-256 hash of the session token bound to a unique hardware/browser `device_id`.</w:t>
        <w:br/>
        <w:t>• Instant Kill-Switch Revocation: Administrators can revoke any active user session instantly by marking `revoked_at` in the database, rendering stolen tokens useless upon the next request validation.</w:t>
      </w:r>
    </w:p>
    <w:p>
      <w:pPr>
        <w:pStyle w:val="Heading2"/>
      </w:pPr>
      <w:r>
        <w:t>3.3 HTTP Security Headers &amp; Web Server Hardening</w:t>
      </w:r>
    </w:p>
    <w:p>
      <w:r>
        <w:t>The production reverse proxy configuration (`nginx-smartcanteen.conf`) enforces the following HTTP security headers: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82B49"/>
            <w:tcMar>
              <w:top w:w="140" w:type="dxa"/>
              <w:bottom w:w="140" w:type="dxa"/>
              <w:left w:w="180" w:type="dxa"/>
              <w:right w:w="180" w:type="dxa"/>
            </w:tcMar>
            <w:vAlign w:val="center"/>
          </w:tcPr>
          <w:p>
            <w:pPr>
              <w:spacing w:line="276" w:lineRule="auto" w:after="40" w:before="40"/>
            </w:pPr>
            <w:r>
              <w:rPr>
                <w:b/>
                <w:color w:val="FFFFFF"/>
                <w:sz w:val="19"/>
              </w:rPr>
              <w:t>HTTP Security Header</w:t>
            </w:r>
          </w:p>
        </w:tc>
        <w:tc>
          <w:tcPr>
            <w:tcW w:type="dxa" w:w="3120"/>
            <w:shd w:fill="182B49"/>
            <w:tcMar>
              <w:top w:w="140" w:type="dxa"/>
              <w:bottom w:w="140" w:type="dxa"/>
              <w:left w:w="180" w:type="dxa"/>
              <w:right w:w="180" w:type="dxa"/>
            </w:tcMar>
            <w:vAlign w:val="center"/>
          </w:tcPr>
          <w:p>
            <w:pPr>
              <w:spacing w:line="276" w:lineRule="auto" w:after="40" w:before="40"/>
            </w:pPr>
            <w:r>
              <w:rPr>
                <w:b/>
                <w:color w:val="FFFFFF"/>
                <w:sz w:val="19"/>
              </w:rPr>
              <w:t>Configured Directive / Value</w:t>
            </w:r>
          </w:p>
        </w:tc>
        <w:tc>
          <w:tcPr>
            <w:tcW w:type="dxa" w:w="3120"/>
            <w:shd w:fill="182B49"/>
            <w:tcMar>
              <w:top w:w="140" w:type="dxa"/>
              <w:bottom w:w="140" w:type="dxa"/>
              <w:left w:w="180" w:type="dxa"/>
              <w:right w:w="180" w:type="dxa"/>
            </w:tcMar>
            <w:vAlign w:val="center"/>
          </w:tcPr>
          <w:p>
            <w:pPr>
              <w:spacing w:line="276" w:lineRule="auto" w:after="40" w:before="40"/>
            </w:pPr>
            <w:r>
              <w:rPr>
                <w:b/>
                <w:color w:val="FFFFFF"/>
                <w:sz w:val="19"/>
              </w:rPr>
              <w:t>Security Threat Mitigated</w:t>
            </w:r>
          </w:p>
        </w:tc>
      </w:tr>
      <w:tr>
        <w:tc>
          <w:tcPr>
            <w:tcW w:type="dxa" w:w="3120"/>
            <w:tcMar>
              <w:top w:w="140" w:type="dxa"/>
              <w:bottom w:w="140" w:type="dxa"/>
              <w:left w:w="180" w:type="dxa"/>
              <w:right w:w="180" w:type="dxa"/>
            </w:tcMar>
            <w:vAlign w:val="center"/>
          </w:tcPr>
          <w:p>
            <w:pPr>
              <w:spacing w:line="276" w:lineRule="auto" w:after="40" w:before="40"/>
            </w:pPr>
            <w:r>
              <w:rPr>
                <w:sz w:val="19"/>
              </w:rPr>
              <w:t>Strict-Transport-Security (HSTS)</w:t>
            </w:r>
          </w:p>
        </w:tc>
        <w:tc>
          <w:tcPr>
            <w:tcW w:type="dxa" w:w="3120"/>
            <w:tcMar>
              <w:top w:w="140" w:type="dxa"/>
              <w:bottom w:w="140" w:type="dxa"/>
              <w:left w:w="180" w:type="dxa"/>
              <w:right w:w="180" w:type="dxa"/>
            </w:tcMar>
            <w:vAlign w:val="center"/>
          </w:tcPr>
          <w:p>
            <w:pPr>
              <w:spacing w:line="276" w:lineRule="auto" w:after="40" w:before="40"/>
            </w:pPr>
            <w:r>
              <w:rPr>
                <w:sz w:val="19"/>
              </w:rPr>
              <w:t>max-age=31536000; includeSubDomains; preload</w:t>
            </w:r>
          </w:p>
        </w:tc>
        <w:tc>
          <w:tcPr>
            <w:tcW w:type="dxa" w:w="3120"/>
            <w:tcMar>
              <w:top w:w="140" w:type="dxa"/>
              <w:bottom w:w="140" w:type="dxa"/>
              <w:left w:w="180" w:type="dxa"/>
              <w:right w:w="180" w:type="dxa"/>
            </w:tcMar>
            <w:vAlign w:val="center"/>
          </w:tcPr>
          <w:p>
            <w:pPr>
              <w:spacing w:line="276" w:lineRule="auto" w:after="40" w:before="40"/>
            </w:pPr>
            <w:r>
              <w:rPr>
                <w:sz w:val="19"/>
              </w:rPr>
              <w:t>Forces browser to use HTTPS only, preventing SSL stripping and MiTM attacks.</w:t>
            </w:r>
          </w:p>
        </w:tc>
      </w:tr>
      <w:tr>
        <w:tc>
          <w:tcPr>
            <w:tcW w:type="dxa" w:w="3120"/>
            <w:tcMar>
              <w:top w:w="140" w:type="dxa"/>
              <w:bottom w:w="140" w:type="dxa"/>
              <w:left w:w="180" w:type="dxa"/>
              <w:right w:w="180" w:type="dxa"/>
            </w:tcMar>
            <w:vAlign w:val="center"/>
          </w:tcPr>
          <w:p>
            <w:pPr>
              <w:spacing w:line="276" w:lineRule="auto" w:after="40" w:before="40"/>
            </w:pPr>
            <w:r>
              <w:rPr>
                <w:sz w:val="19"/>
              </w:rPr>
              <w:t>X-Frame-Options</w:t>
            </w:r>
          </w:p>
        </w:tc>
        <w:tc>
          <w:tcPr>
            <w:tcW w:type="dxa" w:w="3120"/>
            <w:tcMar>
              <w:top w:w="140" w:type="dxa"/>
              <w:bottom w:w="140" w:type="dxa"/>
              <w:left w:w="180" w:type="dxa"/>
              <w:right w:w="180" w:type="dxa"/>
            </w:tcMar>
            <w:vAlign w:val="center"/>
          </w:tcPr>
          <w:p>
            <w:pPr>
              <w:spacing w:line="276" w:lineRule="auto" w:after="40" w:before="40"/>
            </w:pPr>
            <w:r>
              <w:rPr>
                <w:sz w:val="19"/>
              </w:rPr>
              <w:t>DENY</w:t>
            </w:r>
          </w:p>
        </w:tc>
        <w:tc>
          <w:tcPr>
            <w:tcW w:type="dxa" w:w="3120"/>
            <w:tcMar>
              <w:top w:w="140" w:type="dxa"/>
              <w:bottom w:w="140" w:type="dxa"/>
              <w:left w:w="180" w:type="dxa"/>
              <w:right w:w="180" w:type="dxa"/>
            </w:tcMar>
            <w:vAlign w:val="center"/>
          </w:tcPr>
          <w:p>
            <w:pPr>
              <w:spacing w:line="276" w:lineRule="auto" w:after="40" w:before="40"/>
            </w:pPr>
            <w:r>
              <w:rPr>
                <w:sz w:val="19"/>
              </w:rPr>
              <w:t>Blocks embedding the application inside iframes, fully preventing Clickjacking attacks.</w:t>
            </w:r>
          </w:p>
        </w:tc>
      </w:tr>
      <w:tr>
        <w:tc>
          <w:tcPr>
            <w:tcW w:type="dxa" w:w="3120"/>
            <w:tcMar>
              <w:top w:w="140" w:type="dxa"/>
              <w:bottom w:w="140" w:type="dxa"/>
              <w:left w:w="180" w:type="dxa"/>
              <w:right w:w="180" w:type="dxa"/>
            </w:tcMar>
            <w:vAlign w:val="center"/>
          </w:tcPr>
          <w:p>
            <w:pPr>
              <w:spacing w:line="276" w:lineRule="auto" w:after="40" w:before="40"/>
            </w:pPr>
            <w:r>
              <w:rPr>
                <w:sz w:val="19"/>
              </w:rPr>
              <w:t>X-Content-Type-Options</w:t>
            </w:r>
          </w:p>
        </w:tc>
        <w:tc>
          <w:tcPr>
            <w:tcW w:type="dxa" w:w="3120"/>
            <w:tcMar>
              <w:top w:w="140" w:type="dxa"/>
              <w:bottom w:w="140" w:type="dxa"/>
              <w:left w:w="180" w:type="dxa"/>
              <w:right w:w="180" w:type="dxa"/>
            </w:tcMar>
            <w:vAlign w:val="center"/>
          </w:tcPr>
          <w:p>
            <w:pPr>
              <w:spacing w:line="276" w:lineRule="auto" w:after="40" w:before="40"/>
            </w:pPr>
            <w:r>
              <w:rPr>
                <w:sz w:val="19"/>
              </w:rPr>
              <w:t>nosniff</w:t>
            </w:r>
          </w:p>
        </w:tc>
        <w:tc>
          <w:tcPr>
            <w:tcW w:type="dxa" w:w="3120"/>
            <w:tcMar>
              <w:top w:w="140" w:type="dxa"/>
              <w:bottom w:w="140" w:type="dxa"/>
              <w:left w:w="180" w:type="dxa"/>
              <w:right w:w="180" w:type="dxa"/>
            </w:tcMar>
            <w:vAlign w:val="center"/>
          </w:tcPr>
          <w:p>
            <w:pPr>
              <w:spacing w:line="276" w:lineRule="auto" w:after="40" w:before="40"/>
            </w:pPr>
            <w:r>
              <w:rPr>
                <w:sz w:val="19"/>
              </w:rPr>
              <w:t>Prevents MIME-type confusion attacks and executable script execution from image files.</w:t>
            </w:r>
          </w:p>
        </w:tc>
      </w:tr>
      <w:tr>
        <w:tc>
          <w:tcPr>
            <w:tcW w:type="dxa" w:w="3120"/>
            <w:tcMar>
              <w:top w:w="140" w:type="dxa"/>
              <w:bottom w:w="140" w:type="dxa"/>
              <w:left w:w="180" w:type="dxa"/>
              <w:right w:w="180" w:type="dxa"/>
            </w:tcMar>
            <w:vAlign w:val="center"/>
          </w:tcPr>
          <w:p>
            <w:pPr>
              <w:spacing w:line="276" w:lineRule="auto" w:after="40" w:before="40"/>
            </w:pPr>
            <w:r>
              <w:rPr>
                <w:sz w:val="19"/>
              </w:rPr>
              <w:t>Referrer-Policy</w:t>
            </w:r>
          </w:p>
        </w:tc>
        <w:tc>
          <w:tcPr>
            <w:tcW w:type="dxa" w:w="3120"/>
            <w:tcMar>
              <w:top w:w="140" w:type="dxa"/>
              <w:bottom w:w="140" w:type="dxa"/>
              <w:left w:w="180" w:type="dxa"/>
              <w:right w:w="180" w:type="dxa"/>
            </w:tcMar>
            <w:vAlign w:val="center"/>
          </w:tcPr>
          <w:p>
            <w:pPr>
              <w:spacing w:line="276" w:lineRule="auto" w:after="40" w:before="40"/>
            </w:pPr>
            <w:r>
              <w:rPr>
                <w:sz w:val="19"/>
              </w:rPr>
              <w:t>strict-origin-when-cross-origin</w:t>
            </w:r>
          </w:p>
        </w:tc>
        <w:tc>
          <w:tcPr>
            <w:tcW w:type="dxa" w:w="3120"/>
            <w:tcMar>
              <w:top w:w="140" w:type="dxa"/>
              <w:bottom w:w="140" w:type="dxa"/>
              <w:left w:w="180" w:type="dxa"/>
              <w:right w:w="180" w:type="dxa"/>
            </w:tcMar>
            <w:vAlign w:val="center"/>
          </w:tcPr>
          <w:p>
            <w:pPr>
              <w:spacing w:line="276" w:lineRule="auto" w:after="40" w:before="40"/>
            </w:pPr>
            <w:r>
              <w:rPr>
                <w:sz w:val="19"/>
              </w:rPr>
              <w:t>Protects internal URL paths and tokens from leaking in HTTP referer headers.</w:t>
            </w:r>
          </w:p>
        </w:tc>
      </w:tr>
      <w:tr>
        <w:tc>
          <w:tcPr>
            <w:tcW w:type="dxa" w:w="3120"/>
            <w:tcMar>
              <w:top w:w="140" w:type="dxa"/>
              <w:bottom w:w="140" w:type="dxa"/>
              <w:left w:w="180" w:type="dxa"/>
              <w:right w:w="180" w:type="dxa"/>
            </w:tcMar>
            <w:vAlign w:val="center"/>
          </w:tcPr>
          <w:p>
            <w:pPr>
              <w:spacing w:line="276" w:lineRule="auto" w:after="40" w:before="40"/>
            </w:pPr>
            <w:r>
              <w:rPr>
                <w:sz w:val="19"/>
              </w:rPr>
              <w:t>Permissions-Policy</w:t>
            </w:r>
          </w:p>
        </w:tc>
        <w:tc>
          <w:tcPr>
            <w:tcW w:type="dxa" w:w="3120"/>
            <w:tcMar>
              <w:top w:w="140" w:type="dxa"/>
              <w:bottom w:w="140" w:type="dxa"/>
              <w:left w:w="180" w:type="dxa"/>
              <w:right w:w="180" w:type="dxa"/>
            </w:tcMar>
            <w:vAlign w:val="center"/>
          </w:tcPr>
          <w:p>
            <w:pPr>
              <w:spacing w:line="276" w:lineRule="auto" w:after="40" w:before="40"/>
            </w:pPr>
            <w:r>
              <w:rPr>
                <w:sz w:val="19"/>
              </w:rPr>
              <w:t>camera=(), microphone=(), geolocation=(), payment=()</w:t>
            </w:r>
          </w:p>
        </w:tc>
        <w:tc>
          <w:tcPr>
            <w:tcW w:type="dxa" w:w="3120"/>
            <w:tcMar>
              <w:top w:w="140" w:type="dxa"/>
              <w:bottom w:w="140" w:type="dxa"/>
              <w:left w:w="180" w:type="dxa"/>
              <w:right w:w="180" w:type="dxa"/>
            </w:tcMar>
            <w:vAlign w:val="center"/>
          </w:tcPr>
          <w:p>
            <w:pPr>
              <w:spacing w:line="276" w:lineRule="auto" w:after="40" w:before="40"/>
            </w:pPr>
            <w:r>
              <w:rPr>
                <w:sz w:val="19"/>
              </w:rPr>
              <w:t>Disables unneeded hardware API exploitation on client workstations.</w:t>
            </w:r>
          </w:p>
        </w:tc>
      </w:tr>
      <w:tr>
        <w:tc>
          <w:tcPr>
            <w:tcW w:type="dxa" w:w="3120"/>
            <w:tcMar>
              <w:top w:w="140" w:type="dxa"/>
              <w:bottom w:w="140" w:type="dxa"/>
              <w:left w:w="180" w:type="dxa"/>
              <w:right w:w="180" w:type="dxa"/>
            </w:tcMar>
            <w:vAlign w:val="center"/>
          </w:tcPr>
          <w:p>
            <w:pPr>
              <w:spacing w:line="276" w:lineRule="auto" w:after="40" w:before="40"/>
            </w:pPr>
            <w:r>
              <w:rPr>
                <w:sz w:val="19"/>
              </w:rPr>
              <w:t>Content-Security-Policy (CSP)</w:t>
            </w:r>
          </w:p>
        </w:tc>
        <w:tc>
          <w:tcPr>
            <w:tcW w:type="dxa" w:w="3120"/>
            <w:tcMar>
              <w:top w:w="140" w:type="dxa"/>
              <w:bottom w:w="140" w:type="dxa"/>
              <w:left w:w="180" w:type="dxa"/>
              <w:right w:w="180" w:type="dxa"/>
            </w:tcMar>
            <w:vAlign w:val="center"/>
          </w:tcPr>
          <w:p>
            <w:pPr>
              <w:spacing w:line="276" w:lineRule="auto" w:after="40" w:before="40"/>
            </w:pPr>
            <w:r>
              <w:rPr>
                <w:sz w:val="19"/>
              </w:rPr>
              <w:t>default-src 'self'; script-src 'self'; img-src 'self' data: blob:;</w:t>
            </w:r>
          </w:p>
        </w:tc>
        <w:tc>
          <w:tcPr>
            <w:tcW w:type="dxa" w:w="3120"/>
            <w:tcMar>
              <w:top w:w="140" w:type="dxa"/>
              <w:bottom w:w="140" w:type="dxa"/>
              <w:left w:w="180" w:type="dxa"/>
              <w:right w:w="180" w:type="dxa"/>
            </w:tcMar>
            <w:vAlign w:val="center"/>
          </w:tcPr>
          <w:p>
            <w:pPr>
              <w:spacing w:line="276" w:lineRule="auto" w:after="40" w:before="40"/>
            </w:pPr>
            <w:r>
              <w:rPr>
                <w:sz w:val="19"/>
              </w:rPr>
              <w:t>Strictly restricts script and asset loading to trusted origins, neutralizing XSS.</w:t>
            </w:r>
          </w:p>
        </w:tc>
      </w:tr>
      <w:tr>
        <w:tc>
          <w:tcPr>
            <w:tcW w:type="dxa" w:w="3120"/>
            <w:tcMar>
              <w:top w:w="140" w:type="dxa"/>
              <w:bottom w:w="140" w:type="dxa"/>
              <w:left w:w="180" w:type="dxa"/>
              <w:right w:w="180" w:type="dxa"/>
            </w:tcMar>
            <w:vAlign w:val="center"/>
          </w:tcPr>
          <w:p>
            <w:pPr>
              <w:spacing w:line="276" w:lineRule="auto" w:after="40" w:before="40"/>
            </w:pPr>
            <w:r>
              <w:rPr>
                <w:sz w:val="19"/>
              </w:rPr>
              <w:t>Server Signature Suppression</w:t>
            </w:r>
          </w:p>
        </w:tc>
        <w:tc>
          <w:tcPr>
            <w:tcW w:type="dxa" w:w="3120"/>
            <w:tcMar>
              <w:top w:w="140" w:type="dxa"/>
              <w:bottom w:w="140" w:type="dxa"/>
              <w:left w:w="180" w:type="dxa"/>
              <w:right w:w="180" w:type="dxa"/>
            </w:tcMar>
            <w:vAlign w:val="center"/>
          </w:tcPr>
          <w:p>
            <w:pPr>
              <w:spacing w:line="276" w:lineRule="auto" w:after="40" w:before="40"/>
            </w:pPr>
            <w:r>
              <w:rPr>
                <w:sz w:val="19"/>
              </w:rPr>
              <w:t>server_tokens off;</w:t>
            </w:r>
          </w:p>
        </w:tc>
        <w:tc>
          <w:tcPr>
            <w:tcW w:type="dxa" w:w="3120"/>
            <w:tcMar>
              <w:top w:w="140" w:type="dxa"/>
              <w:bottom w:w="140" w:type="dxa"/>
              <w:left w:w="180" w:type="dxa"/>
              <w:right w:w="180" w:type="dxa"/>
            </w:tcMar>
            <w:vAlign w:val="center"/>
          </w:tcPr>
          <w:p>
            <w:pPr>
              <w:spacing w:line="276" w:lineRule="auto" w:after="40" w:before="40"/>
            </w:pPr>
            <w:r>
              <w:rPr>
                <w:sz w:val="19"/>
              </w:rPr>
              <w:t>Hides Nginx version details to deny reconnaissance information to attackers.</w:t>
            </w:r>
          </w:p>
        </w:tc>
      </w:tr>
    </w:tbl>
    <w:p>
      <w:pPr>
        <w:spacing w:after="160"/>
      </w:pPr>
    </w:p>
    <w:p>
      <w:pPr>
        <w:pStyle w:val="Heading2"/>
      </w:pPr>
      <w:r>
        <w:t>3.4 Input Validation, Data Sanitization, &amp; File Upload Security</w:t>
      </w:r>
    </w:p>
    <w:p>
      <w:r>
        <w:t>• Schema-Enforced Pydantic Typing: All inbound request bodies are strictly mapped to Pydantic v2 schemas (`backend/schemas.py`). Any payload containing undeclared fields is automatically rejected.</w:t>
        <w:br/>
        <w:t>• Mathematical Boundary Validation: Financial expenses and inventory stock quantities must strictly adhere to `amount &gt;= 0` and `stock &gt;= 0`. Negative amounts or invalid text in numerical fields trigger immediate 422 validation errors.</w:t>
        <w:br/>
        <w:t>• Expense Voucher Receipt Hardening: File uploads (`expense_attachments`) are validated by inspecting binary magic bytes via `python-magic`. Only `image/jpeg`, `image/png`, and `application/pdf` are accepted. Upload size is capped at 5MB, and files are stored in Base64 or isolated volumes completely outside the web server root to prevent arbitrary script execution.</w:t>
      </w:r>
    </w:p>
    <w:p>
      <w:pPr>
        <w:pStyle w:val="Heading2"/>
      </w:pPr>
      <w:r>
        <w:t>3.5 WAF, Reverse Proxy, &amp; Network Firewall Placement</w:t>
      </w:r>
    </w:p>
    <w:p>
      <w:r>
        <w:t>Security controls are deployed in a defense-in-depth model across the network and application stack:</w:t>
        <w:br/>
        <w:t>1. Host Firewall (UFW): Linux firewall allows inbound traffic strictly on ports 80 (HTTP redirect), 443 (HTTPS), and 22 (SSH). All other incoming ports are dropped by default.</w:t>
        <w:br/>
        <w:t>2. Reverse Proxy &amp; WAF (Nginx + ModSecurity): Terminates TLS 1.3 encryption, applies OWASP Core Rule Set (CRS) filtering to drop SQLi/XSS payloads, and restricts `/auth/login` to a maximum rate of 10 requests per minute per IP via `limit_req_zone`.</w:t>
        <w:br/>
        <w:t>3. Application Gateway (FastAPI): Applies SlowAPI rate-limiting, CORS whitelisting, and JWT/TOTP authentication guards.</w:t>
        <w:br/>
        <w:t>4. Electron Desktop Client Isolation: The desktop client enforces `contextIsolation: true`, `nodeIntegration: false`, and `sandbox: true` within `main.cjs` and `preload.cjs`, guaranteeing that the user interface cannot directly invoke Windows OS shell commands.</w:t>
      </w:r>
    </w:p>
    <w:p>
      <w:r>
        <w:br w:type="page"/>
      </w:r>
    </w:p>
    <w:p>
      <w:pPr>
        <w:pStyle w:val="Heading1"/>
      </w:pPr>
      <w:r>
        <w:rPr>
          <w:b/>
          <w:color w:val="182B49"/>
        </w:rPr>
        <w:t>4. STANDARDS ALIGNMENT</w:t>
      </w:r>
    </w:p>
    <w:p>
      <w:pPr>
        <w:pStyle w:val="Heading2"/>
      </w:pPr>
      <w:r>
        <w:t>4.1 ISO/IEC 27002:2022 Control Themes Mapping</w:t>
      </w:r>
    </w:p>
    <w:p>
      <w:r>
        <w:t>SmartCanteen's technical and administrative controls directly align with the international standard ISO/IEC 27002:2022:</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82B49"/>
            <w:tcMar>
              <w:top w:w="140" w:type="dxa"/>
              <w:bottom w:w="140" w:type="dxa"/>
              <w:left w:w="180" w:type="dxa"/>
              <w:right w:w="180" w:type="dxa"/>
            </w:tcMar>
            <w:vAlign w:val="center"/>
          </w:tcPr>
          <w:p>
            <w:pPr>
              <w:spacing w:line="276" w:lineRule="auto" w:after="40" w:before="40"/>
            </w:pPr>
            <w:r>
              <w:rPr>
                <w:b/>
                <w:color w:val="FFFFFF"/>
                <w:sz w:val="19"/>
              </w:rPr>
              <w:t>ISO/IEC 27002:2022 Control</w:t>
            </w:r>
          </w:p>
        </w:tc>
        <w:tc>
          <w:tcPr>
            <w:tcW w:type="dxa" w:w="2340"/>
            <w:shd w:fill="182B49"/>
            <w:tcMar>
              <w:top w:w="140" w:type="dxa"/>
              <w:bottom w:w="140" w:type="dxa"/>
              <w:left w:w="180" w:type="dxa"/>
              <w:right w:w="180" w:type="dxa"/>
            </w:tcMar>
            <w:vAlign w:val="center"/>
          </w:tcPr>
          <w:p>
            <w:pPr>
              <w:spacing w:line="276" w:lineRule="auto" w:after="40" w:before="40"/>
            </w:pPr>
            <w:r>
              <w:rPr>
                <w:b/>
                <w:color w:val="FFFFFF"/>
                <w:sz w:val="19"/>
              </w:rPr>
              <w:t>Control Theme</w:t>
            </w:r>
          </w:p>
        </w:tc>
        <w:tc>
          <w:tcPr>
            <w:tcW w:type="dxa" w:w="2340"/>
            <w:shd w:fill="182B49"/>
            <w:tcMar>
              <w:top w:w="140" w:type="dxa"/>
              <w:bottom w:w="140" w:type="dxa"/>
              <w:left w:w="180" w:type="dxa"/>
              <w:right w:w="180" w:type="dxa"/>
            </w:tcMar>
            <w:vAlign w:val="center"/>
          </w:tcPr>
          <w:p>
            <w:pPr>
              <w:spacing w:line="276" w:lineRule="auto" w:after="40" w:before="40"/>
            </w:pPr>
            <w:r>
              <w:rPr>
                <w:b/>
                <w:color w:val="FFFFFF"/>
                <w:sz w:val="19"/>
              </w:rPr>
              <w:t>SmartCanteen Implementation in Codebase</w:t>
            </w:r>
          </w:p>
        </w:tc>
        <w:tc>
          <w:tcPr>
            <w:tcW w:type="dxa" w:w="2340"/>
            <w:shd w:fill="182B49"/>
            <w:tcMar>
              <w:top w:w="140" w:type="dxa"/>
              <w:bottom w:w="140" w:type="dxa"/>
              <w:left w:w="180" w:type="dxa"/>
              <w:right w:w="180" w:type="dxa"/>
            </w:tcMar>
            <w:vAlign w:val="center"/>
          </w:tcPr>
          <w:p>
            <w:pPr>
              <w:spacing w:line="276" w:lineRule="auto" w:after="40" w:before="40"/>
            </w:pPr>
            <w:r>
              <w:rPr>
                <w:b/>
                <w:color w:val="FFFFFF"/>
                <w:sz w:val="19"/>
              </w:rPr>
              <w:t>Threat Addressed</w:t>
            </w:r>
          </w:p>
        </w:tc>
      </w:tr>
      <w:tr>
        <w:tc>
          <w:tcPr>
            <w:tcW w:type="dxa" w:w="2340"/>
            <w:tcMar>
              <w:top w:w="140" w:type="dxa"/>
              <w:bottom w:w="140" w:type="dxa"/>
              <w:left w:w="180" w:type="dxa"/>
              <w:right w:w="180" w:type="dxa"/>
            </w:tcMar>
            <w:vAlign w:val="center"/>
          </w:tcPr>
          <w:p>
            <w:pPr>
              <w:spacing w:line="276" w:lineRule="auto" w:after="40" w:before="40"/>
            </w:pPr>
            <w:r>
              <w:rPr>
                <w:sz w:val="19"/>
              </w:rPr>
              <w:t>Control 5.15: Access Control</w:t>
            </w:r>
          </w:p>
        </w:tc>
        <w:tc>
          <w:tcPr>
            <w:tcW w:type="dxa" w:w="2340"/>
            <w:tcMar>
              <w:top w:w="140" w:type="dxa"/>
              <w:bottom w:w="140" w:type="dxa"/>
              <w:left w:w="180" w:type="dxa"/>
              <w:right w:w="180" w:type="dxa"/>
            </w:tcMar>
            <w:vAlign w:val="center"/>
          </w:tcPr>
          <w:p>
            <w:pPr>
              <w:spacing w:line="276" w:lineRule="auto" w:after="40" w:before="40"/>
            </w:pPr>
            <w:r>
              <w:rPr>
                <w:sz w:val="19"/>
              </w:rPr>
              <w:t>Organizational</w:t>
            </w:r>
          </w:p>
        </w:tc>
        <w:tc>
          <w:tcPr>
            <w:tcW w:type="dxa" w:w="2340"/>
            <w:tcMar>
              <w:top w:w="140" w:type="dxa"/>
              <w:bottom w:w="140" w:type="dxa"/>
              <w:left w:w="180" w:type="dxa"/>
              <w:right w:w="180" w:type="dxa"/>
            </w:tcMar>
            <w:vAlign w:val="center"/>
          </w:tcPr>
          <w:p>
            <w:pPr>
              <w:spacing w:line="276" w:lineRule="auto" w:after="40" w:before="40"/>
            </w:pPr>
            <w:r>
              <w:rPr>
                <w:sz w:val="19"/>
              </w:rPr>
              <w:t>Role-Based Access Control enforced through FastAPI dependency injection (require_admin, require_staff_or_admin). Restricts staff from financial overrides.</w:t>
            </w:r>
          </w:p>
        </w:tc>
        <w:tc>
          <w:tcPr>
            <w:tcW w:type="dxa" w:w="2340"/>
            <w:tcMar>
              <w:top w:w="140" w:type="dxa"/>
              <w:bottom w:w="140" w:type="dxa"/>
              <w:left w:w="180" w:type="dxa"/>
              <w:right w:w="180" w:type="dxa"/>
            </w:tcMar>
            <w:vAlign w:val="center"/>
          </w:tcPr>
          <w:p>
            <w:pPr>
              <w:spacing w:line="276" w:lineRule="auto" w:after="40" w:before="40"/>
            </w:pPr>
            <w:r>
              <w:rPr>
                <w:sz w:val="19"/>
              </w:rPr>
              <w:t>TH-01: Broken Access Control</w:t>
            </w:r>
          </w:p>
        </w:tc>
      </w:tr>
      <w:tr>
        <w:tc>
          <w:tcPr>
            <w:tcW w:type="dxa" w:w="2340"/>
            <w:tcMar>
              <w:top w:w="140" w:type="dxa"/>
              <w:bottom w:w="140" w:type="dxa"/>
              <w:left w:w="180" w:type="dxa"/>
              <w:right w:w="180" w:type="dxa"/>
            </w:tcMar>
            <w:vAlign w:val="center"/>
          </w:tcPr>
          <w:p>
            <w:pPr>
              <w:spacing w:line="276" w:lineRule="auto" w:after="40" w:before="40"/>
            </w:pPr>
            <w:r>
              <w:rPr>
                <w:sz w:val="19"/>
              </w:rPr>
              <w:t>Control 8.5: Secure Authentication</w:t>
            </w:r>
          </w:p>
        </w:tc>
        <w:tc>
          <w:tcPr>
            <w:tcW w:type="dxa" w:w="2340"/>
            <w:tcMar>
              <w:top w:w="140" w:type="dxa"/>
              <w:bottom w:w="140" w:type="dxa"/>
              <w:left w:w="180" w:type="dxa"/>
              <w:right w:w="180" w:type="dxa"/>
            </w:tcMar>
            <w:vAlign w:val="center"/>
          </w:tcPr>
          <w:p>
            <w:pPr>
              <w:spacing w:line="276" w:lineRule="auto" w:after="40" w:before="40"/>
            </w:pPr>
            <w:r>
              <w:rPr>
                <w:sz w:val="19"/>
              </w:rPr>
              <w:t>Technological</w:t>
            </w:r>
          </w:p>
        </w:tc>
        <w:tc>
          <w:tcPr>
            <w:tcW w:type="dxa" w:w="2340"/>
            <w:tcMar>
              <w:top w:w="140" w:type="dxa"/>
              <w:bottom w:w="140" w:type="dxa"/>
              <w:left w:w="180" w:type="dxa"/>
              <w:right w:w="180" w:type="dxa"/>
            </w:tcMar>
            <w:vAlign w:val="center"/>
          </w:tcPr>
          <w:p>
            <w:pPr>
              <w:spacing w:line="276" w:lineRule="auto" w:after="40" w:before="40"/>
            </w:pPr>
            <w:r>
              <w:rPr>
                <w:sz w:val="19"/>
              </w:rPr>
              <w:t>Implementation of TOTP 2FA (RFC 6238), salted bcrypt password hashing (12 rounds), single-use recovery codes, and progressive account lockouts after 5 failed attempts.</w:t>
            </w:r>
          </w:p>
        </w:tc>
        <w:tc>
          <w:tcPr>
            <w:tcW w:type="dxa" w:w="2340"/>
            <w:tcMar>
              <w:top w:w="140" w:type="dxa"/>
              <w:bottom w:w="140" w:type="dxa"/>
              <w:left w:w="180" w:type="dxa"/>
              <w:right w:w="180" w:type="dxa"/>
            </w:tcMar>
            <w:vAlign w:val="center"/>
          </w:tcPr>
          <w:p>
            <w:pPr>
              <w:spacing w:line="276" w:lineRule="auto" w:after="40" w:before="40"/>
            </w:pPr>
            <w:r>
              <w:rPr>
                <w:sz w:val="19"/>
              </w:rPr>
              <w:t>TH-07: Authentication Failures</w:t>
            </w:r>
          </w:p>
        </w:tc>
      </w:tr>
      <w:tr>
        <w:tc>
          <w:tcPr>
            <w:tcW w:type="dxa" w:w="2340"/>
            <w:tcMar>
              <w:top w:w="140" w:type="dxa"/>
              <w:bottom w:w="140" w:type="dxa"/>
              <w:left w:w="180" w:type="dxa"/>
              <w:right w:w="180" w:type="dxa"/>
            </w:tcMar>
            <w:vAlign w:val="center"/>
          </w:tcPr>
          <w:p>
            <w:pPr>
              <w:spacing w:line="276" w:lineRule="auto" w:after="40" w:before="40"/>
            </w:pPr>
            <w:r>
              <w:rPr>
                <w:sz w:val="19"/>
              </w:rPr>
              <w:t>Control 8.9: Configuration Management</w:t>
            </w:r>
          </w:p>
        </w:tc>
        <w:tc>
          <w:tcPr>
            <w:tcW w:type="dxa" w:w="2340"/>
            <w:tcMar>
              <w:top w:w="140" w:type="dxa"/>
              <w:bottom w:w="140" w:type="dxa"/>
              <w:left w:w="180" w:type="dxa"/>
              <w:right w:w="180" w:type="dxa"/>
            </w:tcMar>
            <w:vAlign w:val="center"/>
          </w:tcPr>
          <w:p>
            <w:pPr>
              <w:spacing w:line="276" w:lineRule="auto" w:after="40" w:before="40"/>
            </w:pPr>
            <w:r>
              <w:rPr>
                <w:sz w:val="19"/>
              </w:rPr>
              <w:t>Technological</w:t>
            </w:r>
          </w:p>
        </w:tc>
        <w:tc>
          <w:tcPr>
            <w:tcW w:type="dxa" w:w="2340"/>
            <w:tcMar>
              <w:top w:w="140" w:type="dxa"/>
              <w:bottom w:w="140" w:type="dxa"/>
              <w:left w:w="180" w:type="dxa"/>
              <w:right w:w="180" w:type="dxa"/>
            </w:tcMar>
            <w:vAlign w:val="center"/>
          </w:tcPr>
          <w:p>
            <w:pPr>
              <w:spacing w:line="276" w:lineRule="auto" w:after="40" w:before="40"/>
            </w:pPr>
            <w:r>
              <w:rPr>
                <w:sz w:val="19"/>
              </w:rPr>
              <w:t>Production Nginx server hardening: Disabling server signatures (server_tokens off), blocking public access to /docs and /redoc, and strict .env key isolation.</w:t>
            </w:r>
          </w:p>
        </w:tc>
        <w:tc>
          <w:tcPr>
            <w:tcW w:type="dxa" w:w="2340"/>
            <w:tcMar>
              <w:top w:w="140" w:type="dxa"/>
              <w:bottom w:w="140" w:type="dxa"/>
              <w:left w:w="180" w:type="dxa"/>
              <w:right w:w="180" w:type="dxa"/>
            </w:tcMar>
            <w:vAlign w:val="center"/>
          </w:tcPr>
          <w:p>
            <w:pPr>
              <w:spacing w:line="276" w:lineRule="auto" w:after="40" w:before="40"/>
            </w:pPr>
            <w:r>
              <w:rPr>
                <w:sz w:val="19"/>
              </w:rPr>
              <w:t>TH-05: Security Misconfiguration</w:t>
            </w:r>
          </w:p>
        </w:tc>
      </w:tr>
      <w:tr>
        <w:tc>
          <w:tcPr>
            <w:tcW w:type="dxa" w:w="2340"/>
            <w:tcMar>
              <w:top w:w="140" w:type="dxa"/>
              <w:bottom w:w="140" w:type="dxa"/>
              <w:left w:w="180" w:type="dxa"/>
              <w:right w:w="180" w:type="dxa"/>
            </w:tcMar>
            <w:vAlign w:val="center"/>
          </w:tcPr>
          <w:p>
            <w:pPr>
              <w:spacing w:line="276" w:lineRule="auto" w:after="40" w:before="40"/>
            </w:pPr>
            <w:r>
              <w:rPr>
                <w:sz w:val="19"/>
              </w:rPr>
              <w:t>Control 8.24: Use of Cryptography</w:t>
            </w:r>
          </w:p>
        </w:tc>
        <w:tc>
          <w:tcPr>
            <w:tcW w:type="dxa" w:w="2340"/>
            <w:tcMar>
              <w:top w:w="140" w:type="dxa"/>
              <w:bottom w:w="140" w:type="dxa"/>
              <w:left w:w="180" w:type="dxa"/>
              <w:right w:w="180" w:type="dxa"/>
            </w:tcMar>
            <w:vAlign w:val="center"/>
          </w:tcPr>
          <w:p>
            <w:pPr>
              <w:spacing w:line="276" w:lineRule="auto" w:after="40" w:before="40"/>
            </w:pPr>
            <w:r>
              <w:rPr>
                <w:sz w:val="19"/>
              </w:rPr>
              <w:t>Technological</w:t>
            </w:r>
          </w:p>
        </w:tc>
        <w:tc>
          <w:tcPr>
            <w:tcW w:type="dxa" w:w="2340"/>
            <w:tcMar>
              <w:top w:w="140" w:type="dxa"/>
              <w:bottom w:w="140" w:type="dxa"/>
              <w:left w:w="180" w:type="dxa"/>
              <w:right w:w="180" w:type="dxa"/>
            </w:tcMar>
            <w:vAlign w:val="center"/>
          </w:tcPr>
          <w:p>
            <w:pPr>
              <w:spacing w:line="276" w:lineRule="auto" w:after="40" w:before="40"/>
            </w:pPr>
            <w:r>
              <w:rPr>
                <w:sz w:val="19"/>
              </w:rPr>
              <w:t>Enforcing TLS 1.3 encryption in transit with Let's Encrypt certificates, signed HS256 JWT session tokens, and encrypted storage of TOTP seeds.</w:t>
            </w:r>
          </w:p>
        </w:tc>
        <w:tc>
          <w:tcPr>
            <w:tcW w:type="dxa" w:w="2340"/>
            <w:tcMar>
              <w:top w:w="140" w:type="dxa"/>
              <w:bottom w:w="140" w:type="dxa"/>
              <w:left w:w="180" w:type="dxa"/>
              <w:right w:w="180" w:type="dxa"/>
            </w:tcMar>
            <w:vAlign w:val="center"/>
          </w:tcPr>
          <w:p>
            <w:pPr>
              <w:spacing w:line="276" w:lineRule="auto" w:after="40" w:before="40"/>
            </w:pPr>
            <w:r>
              <w:rPr>
                <w:sz w:val="19"/>
              </w:rPr>
              <w:t>TH-02: Cryptographic Failures</w:t>
            </w:r>
          </w:p>
        </w:tc>
      </w:tr>
      <w:tr>
        <w:tc>
          <w:tcPr>
            <w:tcW w:type="dxa" w:w="2340"/>
            <w:tcMar>
              <w:top w:w="140" w:type="dxa"/>
              <w:bottom w:w="140" w:type="dxa"/>
              <w:left w:w="180" w:type="dxa"/>
              <w:right w:w="180" w:type="dxa"/>
            </w:tcMar>
            <w:vAlign w:val="center"/>
          </w:tcPr>
          <w:p>
            <w:pPr>
              <w:spacing w:line="276" w:lineRule="auto" w:after="40" w:before="40"/>
            </w:pPr>
            <w:r>
              <w:rPr>
                <w:sz w:val="19"/>
              </w:rPr>
              <w:t>Control 8.28: Secure Coding</w:t>
            </w:r>
          </w:p>
        </w:tc>
        <w:tc>
          <w:tcPr>
            <w:tcW w:type="dxa" w:w="2340"/>
            <w:tcMar>
              <w:top w:w="140" w:type="dxa"/>
              <w:bottom w:w="140" w:type="dxa"/>
              <w:left w:w="180" w:type="dxa"/>
              <w:right w:w="180" w:type="dxa"/>
            </w:tcMar>
            <w:vAlign w:val="center"/>
          </w:tcPr>
          <w:p>
            <w:pPr>
              <w:spacing w:line="276" w:lineRule="auto" w:after="40" w:before="40"/>
            </w:pPr>
            <w:r>
              <w:rPr>
                <w:sz w:val="19"/>
              </w:rPr>
              <w:t>Technological</w:t>
            </w:r>
          </w:p>
        </w:tc>
        <w:tc>
          <w:tcPr>
            <w:tcW w:type="dxa" w:w="2340"/>
            <w:tcMar>
              <w:top w:w="140" w:type="dxa"/>
              <w:bottom w:w="140" w:type="dxa"/>
              <w:left w:w="180" w:type="dxa"/>
              <w:right w:w="180" w:type="dxa"/>
            </w:tcMar>
            <w:vAlign w:val="center"/>
          </w:tcPr>
          <w:p>
            <w:pPr>
              <w:spacing w:line="276" w:lineRule="auto" w:after="40" w:before="40"/>
            </w:pPr>
            <w:r>
              <w:rPr>
                <w:sz w:val="19"/>
              </w:rPr>
              <w:t>SQLAlchemy 2.0 ORM parameterized database queries to eliminate SQL injection, strict Pydantic v2 schemas for all inputs, and Electron ContextBridge process sandboxing.</w:t>
            </w:r>
          </w:p>
        </w:tc>
        <w:tc>
          <w:tcPr>
            <w:tcW w:type="dxa" w:w="2340"/>
            <w:tcMar>
              <w:top w:w="140" w:type="dxa"/>
              <w:bottom w:w="140" w:type="dxa"/>
              <w:left w:w="180" w:type="dxa"/>
              <w:right w:w="180" w:type="dxa"/>
            </w:tcMar>
            <w:vAlign w:val="center"/>
          </w:tcPr>
          <w:p>
            <w:pPr>
              <w:spacing w:line="276" w:lineRule="auto" w:after="40" w:before="40"/>
            </w:pPr>
            <w:r>
              <w:rPr>
                <w:sz w:val="19"/>
              </w:rPr>
              <w:t>TH-03: Injection &amp; TH-06: Outdated Comps</w:t>
            </w:r>
          </w:p>
        </w:tc>
      </w:tr>
      <w:tr>
        <w:tc>
          <w:tcPr>
            <w:tcW w:type="dxa" w:w="2340"/>
            <w:tcMar>
              <w:top w:w="140" w:type="dxa"/>
              <w:bottom w:w="140" w:type="dxa"/>
              <w:left w:w="180" w:type="dxa"/>
              <w:right w:w="180" w:type="dxa"/>
            </w:tcMar>
            <w:vAlign w:val="center"/>
          </w:tcPr>
          <w:p>
            <w:pPr>
              <w:spacing w:line="276" w:lineRule="auto" w:after="40" w:before="40"/>
            </w:pPr>
            <w:r>
              <w:rPr>
                <w:sz w:val="19"/>
              </w:rPr>
              <w:t>Control 8.12: Data Leakage Prevention</w:t>
            </w:r>
          </w:p>
        </w:tc>
        <w:tc>
          <w:tcPr>
            <w:tcW w:type="dxa" w:w="2340"/>
            <w:tcMar>
              <w:top w:w="140" w:type="dxa"/>
              <w:bottom w:w="140" w:type="dxa"/>
              <w:left w:w="180" w:type="dxa"/>
              <w:right w:w="180" w:type="dxa"/>
            </w:tcMar>
            <w:vAlign w:val="center"/>
          </w:tcPr>
          <w:p>
            <w:pPr>
              <w:spacing w:line="276" w:lineRule="auto" w:after="40" w:before="40"/>
            </w:pPr>
            <w:r>
              <w:rPr>
                <w:sz w:val="19"/>
              </w:rPr>
              <w:t>Technological</w:t>
            </w:r>
          </w:p>
        </w:tc>
        <w:tc>
          <w:tcPr>
            <w:tcW w:type="dxa" w:w="2340"/>
            <w:tcMar>
              <w:top w:w="140" w:type="dxa"/>
              <w:bottom w:w="140" w:type="dxa"/>
              <w:left w:w="180" w:type="dxa"/>
              <w:right w:w="180" w:type="dxa"/>
            </w:tcMar>
            <w:vAlign w:val="center"/>
          </w:tcPr>
          <w:p>
            <w:pPr>
              <w:spacing w:line="276" w:lineRule="auto" w:after="40" w:before="40"/>
            </w:pPr>
            <w:r>
              <w:rPr>
                <w:sz w:val="19"/>
              </w:rPr>
              <w:t>Expense voucher attachments restricted to authorized administrators, removal of debug stack traces in production API responses, and suppression of sensitive server headers.</w:t>
            </w:r>
          </w:p>
        </w:tc>
        <w:tc>
          <w:tcPr>
            <w:tcW w:type="dxa" w:w="2340"/>
            <w:tcMar>
              <w:top w:w="140" w:type="dxa"/>
              <w:bottom w:w="140" w:type="dxa"/>
              <w:left w:w="180" w:type="dxa"/>
              <w:right w:w="180" w:type="dxa"/>
            </w:tcMar>
            <w:vAlign w:val="center"/>
          </w:tcPr>
          <w:p>
            <w:pPr>
              <w:spacing w:line="276" w:lineRule="auto" w:after="40" w:before="40"/>
            </w:pPr>
            <w:r>
              <w:rPr>
                <w:sz w:val="19"/>
              </w:rPr>
              <w:t>TH-01: Access Control &amp; TH-02: Crypto</w:t>
            </w:r>
          </w:p>
        </w:tc>
      </w:tr>
    </w:tbl>
    <w:p>
      <w:pPr>
        <w:spacing w:after="160"/>
      </w:pPr>
    </w:p>
    <w:p>
      <w:pPr>
        <w:pStyle w:val="Heading2"/>
      </w:pPr>
      <w:r>
        <w:t>4.2 PCI DSS v4.0 Applicability &amp; Non-Payment Scope Statement</w:t>
      </w:r>
    </w:p>
    <w:p>
      <w:r>
        <w:t>FORMAL ASSESSMENT: PCI DSS IS COMPLETELY NOT APPLICABLE TO SMARTCANTEEN.</w:t>
        <w:br/>
        <w:br/>
        <w:t>Technical &amp; Operational Justification:</w:t>
        <w:br/>
        <w:t>1. Complete Absence of Payment Card Data: The Payment Card Industry Data Security Standard (PCI DSS v4.0) applies strictly to entities that store, process, or transmit Cardholder Data (CHD) or Sensitive Authentication Data (SAD), such as credit card Primary Account Numbers (PAN), expiration dates, magnetic stripe data, or CVV/CVC codes.</w:t>
        <w:br/>
        <w:br/>
        <w:t>2. Administrative &amp; Inventory-Only System Scope: SmartCanteen operates purely as an internal administrative, inventory management, and statutory financial reporting platform for Bay Central Elementary School. The system handles inventory stock levels, kitchen batch meal preparations, daily food waste reconciliations, itemized expense vouchers, and DepEd fund allocation balances. It does not accept, process, record, or route any consumer purchases or payment card data.</w:t>
        <w:br/>
        <w:br/>
        <w:t>3. Zero Cardholder Data Environment (CDE): Because there is no interaction with credit card hardware, payment gateways, or card networks, the entire SmartCanteen infrastructure is fully out of scope for PCI DSS compliance. No PCI DSS Self-Assessment Questionnaire (SAQ) or vulnerability scans are legally or technically required.</w:t>
      </w:r>
    </w:p>
    <w:p>
      <w:r>
        <w:br w:type="page"/>
      </w:r>
    </w:p>
    <w:p>
      <w:pPr>
        <w:pStyle w:val="Heading1"/>
      </w:pPr>
      <w:r>
        <w:rPr>
          <w:b/>
          <w:color w:val="182B49"/>
        </w:rPr>
        <w:t>5. INCIDENT RESPONSE &amp; MONITORING</w:t>
      </w:r>
    </w:p>
    <w:p>
      <w:pPr>
        <w:pStyle w:val="Heading2"/>
      </w:pPr>
      <w:r>
        <w:t>5.1 Detection Architecture &amp; Continuous Logging</w:t>
      </w:r>
    </w:p>
    <w:p>
      <w:r>
        <w:t>Incident detection is structured across three continuous monitoring layers:</w:t>
        <w:br/>
        <w:t>1. Application-Level Audit Ledger (`audit_logs` table): Automatically records every sensitive user action with user ID, user role, action code (`LOGIN`, `PASSWORD_RESET`, `OVERRIDE_SALES`, `EXPENSE_CREATED`, `RECONCILIATION`), IP address, and UTC timestamp.</w:t>
        <w:br/>
        <w:t>2. Perimeter Log Analysis (Nginx + Fail2ban): Server access and error logs are scanned in real-time. Repetitive 401 Unauthorized or 403 Forbidden bursts trigger automated IP bans at the Linux firewall level for 60 minutes.</w:t>
        <w:br/>
        <w:t>3. Real-Time Push Alerts (WebSocket Broadcast Hub): Administrative workstations connected to `/api/realtime/` receive instant visual banner notifications whenever an account lockout threshold is reached or an unusual cash override occurs.</w:t>
      </w:r>
    </w:p>
    <w:p>
      <w:pPr>
        <w:pStyle w:val="Heading2"/>
      </w:pPr>
      <w:r>
        <w:t>5.2 Incident Containment &amp; Recovery Workflow</w:t>
      </w:r>
    </w:p>
    <w:p>
      <w:r>
        <w:t>When an incident is detected, the incident response team executes a four-phase procedure:</w:t>
        <w:br/>
        <w:t>• Phase 1: Identification &amp; Classification — Classify incident severity into SEV-1 (Critical: database compromise/data theft), SEV-2 (High: credential brute-forcing/account takeover attempt), or SEV-3 (Medium: suspicious batch inventory anomaly).</w:t>
        <w:br/>
        <w:t>• Phase 2: Containment &amp; Isolation — For account compromises, immediately set `User.is_active = False` and revoke active sessions via `UserLoginSession.revoked_at = NOW()`. For network-level attacks, block the offending IP address in UFW (`sudo ufw insert 1 deny from &lt;IP&gt;`). For suspected system compromise, halt the backend daemon (`sudo systemctl stop meals-backend`) to prevent data exfiltration.</w:t>
        <w:br/>
        <w:t>• Phase 3: Eradication &amp; Recovery — Verify data integrity against timestamped database backups (`canteen.db.backup-*`). Rotate the production `JWT_SECRET_KEY` in `.env`, regenerate affected TOTP seeds, and restart the backend service.</w:t>
        <w:br/>
        <w:t>• Phase 4: Post-Incident Review &amp; Reporting — Document the breach timeline, perform root-cause analysis within 48 hours, and file a formal Incident Post-Mortem Report with school administration.</w:t>
      </w:r>
    </w:p>
    <w:p>
      <w:pPr>
        <w:pStyle w:val="Heading2"/>
      </w:pPr>
      <w:r>
        <w:t>5.3 Incident Response RACI Matrix</w:t>
      </w:r>
    </w:p>
    <w:p>
      <w:r>
        <w:t>Responsibilities are allocated according to the RACI model (Responsible, Accountable, Consulted, Informed):</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82B49"/>
            <w:tcMar>
              <w:top w:w="140" w:type="dxa"/>
              <w:bottom w:w="140" w:type="dxa"/>
              <w:left w:w="180" w:type="dxa"/>
              <w:right w:w="180" w:type="dxa"/>
            </w:tcMar>
            <w:vAlign w:val="center"/>
          </w:tcPr>
          <w:p>
            <w:pPr>
              <w:spacing w:line="276" w:lineRule="auto" w:after="40" w:before="40"/>
            </w:pPr>
            <w:r>
              <w:rPr>
                <w:b/>
                <w:color w:val="FFFFFF"/>
                <w:sz w:val="19"/>
              </w:rPr>
              <w:t>Incident Response Workflow Task</w:t>
            </w:r>
          </w:p>
        </w:tc>
        <w:tc>
          <w:tcPr>
            <w:tcW w:type="dxa" w:w="1872"/>
            <w:shd w:fill="182B49"/>
            <w:tcMar>
              <w:top w:w="140" w:type="dxa"/>
              <w:bottom w:w="140" w:type="dxa"/>
              <w:left w:w="180" w:type="dxa"/>
              <w:right w:w="180" w:type="dxa"/>
            </w:tcMar>
            <w:vAlign w:val="center"/>
          </w:tcPr>
          <w:p>
            <w:pPr>
              <w:spacing w:line="276" w:lineRule="auto" w:after="40" w:before="40"/>
            </w:pPr>
            <w:r>
              <w:rPr>
                <w:b/>
                <w:color w:val="FFFFFF"/>
                <w:sz w:val="19"/>
              </w:rPr>
              <w:t>Lead Dev / Security Admin</w:t>
            </w:r>
          </w:p>
        </w:tc>
        <w:tc>
          <w:tcPr>
            <w:tcW w:type="dxa" w:w="1872"/>
            <w:shd w:fill="182B49"/>
            <w:tcMar>
              <w:top w:w="140" w:type="dxa"/>
              <w:bottom w:w="140" w:type="dxa"/>
              <w:left w:w="180" w:type="dxa"/>
              <w:right w:w="180" w:type="dxa"/>
            </w:tcMar>
            <w:vAlign w:val="center"/>
          </w:tcPr>
          <w:p>
            <w:pPr>
              <w:spacing w:line="276" w:lineRule="auto" w:after="40" w:before="40"/>
            </w:pPr>
            <w:r>
              <w:rPr>
                <w:b/>
                <w:color w:val="FFFFFF"/>
                <w:sz w:val="19"/>
              </w:rPr>
              <w:t>Canteen Manager</w:t>
            </w:r>
          </w:p>
        </w:tc>
        <w:tc>
          <w:tcPr>
            <w:tcW w:type="dxa" w:w="1872"/>
            <w:shd w:fill="182B49"/>
            <w:tcMar>
              <w:top w:w="140" w:type="dxa"/>
              <w:bottom w:w="140" w:type="dxa"/>
              <w:left w:w="180" w:type="dxa"/>
              <w:right w:w="180" w:type="dxa"/>
            </w:tcMar>
            <w:vAlign w:val="center"/>
          </w:tcPr>
          <w:p>
            <w:pPr>
              <w:spacing w:line="276" w:lineRule="auto" w:after="40" w:before="40"/>
            </w:pPr>
            <w:r>
              <w:rPr>
                <w:b/>
                <w:color w:val="FFFFFF"/>
                <w:sz w:val="19"/>
              </w:rPr>
              <w:t>School Principal</w:t>
            </w:r>
          </w:p>
        </w:tc>
        <w:tc>
          <w:tcPr>
            <w:tcW w:type="dxa" w:w="1872"/>
            <w:shd w:fill="182B49"/>
            <w:tcMar>
              <w:top w:w="140" w:type="dxa"/>
              <w:bottom w:w="140" w:type="dxa"/>
              <w:left w:w="180" w:type="dxa"/>
              <w:right w:w="180" w:type="dxa"/>
            </w:tcMar>
            <w:vAlign w:val="center"/>
          </w:tcPr>
          <w:p>
            <w:pPr>
              <w:spacing w:line="276" w:lineRule="auto" w:after="40" w:before="40"/>
            </w:pPr>
            <w:r>
              <w:rPr>
                <w:b/>
                <w:color w:val="FFFFFF"/>
                <w:sz w:val="19"/>
              </w:rPr>
              <w:t>DepEd Division IT</w:t>
            </w:r>
          </w:p>
        </w:tc>
      </w:tr>
      <w:tr>
        <w:tc>
          <w:tcPr>
            <w:tcW w:type="dxa" w:w="1872"/>
            <w:tcMar>
              <w:top w:w="140" w:type="dxa"/>
              <w:bottom w:w="140" w:type="dxa"/>
              <w:left w:w="180" w:type="dxa"/>
              <w:right w:w="180" w:type="dxa"/>
            </w:tcMar>
            <w:vAlign w:val="center"/>
          </w:tcPr>
          <w:p>
            <w:pPr>
              <w:spacing w:line="276" w:lineRule="auto" w:after="40" w:before="40"/>
            </w:pPr>
            <w:r>
              <w:rPr>
                <w:sz w:val="19"/>
              </w:rPr>
              <w:t>Detect Alert &amp; Classify Incident Severity</w:t>
            </w:r>
          </w:p>
        </w:tc>
        <w:tc>
          <w:tcPr>
            <w:tcW w:type="dxa" w:w="1872"/>
            <w:tcMar>
              <w:top w:w="140" w:type="dxa"/>
              <w:bottom w:w="140" w:type="dxa"/>
              <w:left w:w="180" w:type="dxa"/>
              <w:right w:w="180" w:type="dxa"/>
            </w:tcMar>
            <w:vAlign w:val="center"/>
          </w:tcPr>
          <w:p>
            <w:pPr>
              <w:spacing w:line="276" w:lineRule="auto" w:after="40" w:before="40"/>
            </w:pPr>
            <w:r>
              <w:rPr>
                <w:sz w:val="19"/>
              </w:rPr>
              <w:t>Responsible / Accountable</w:t>
            </w:r>
          </w:p>
        </w:tc>
        <w:tc>
          <w:tcPr>
            <w:tcW w:type="dxa" w:w="1872"/>
            <w:tcMar>
              <w:top w:w="140" w:type="dxa"/>
              <w:bottom w:w="140" w:type="dxa"/>
              <w:left w:w="180" w:type="dxa"/>
              <w:right w:w="180" w:type="dxa"/>
            </w:tcMar>
            <w:vAlign w:val="center"/>
          </w:tcPr>
          <w:p>
            <w:pPr>
              <w:spacing w:line="276" w:lineRule="auto" w:after="40" w:before="40"/>
            </w:pPr>
            <w:r>
              <w:rPr>
                <w:sz w:val="19"/>
              </w:rPr>
              <w:t>Informed</w:t>
            </w:r>
          </w:p>
        </w:tc>
        <w:tc>
          <w:tcPr>
            <w:tcW w:type="dxa" w:w="1872"/>
            <w:tcMar>
              <w:top w:w="140" w:type="dxa"/>
              <w:bottom w:w="140" w:type="dxa"/>
              <w:left w:w="180" w:type="dxa"/>
              <w:right w:w="180" w:type="dxa"/>
            </w:tcMar>
            <w:vAlign w:val="center"/>
          </w:tcPr>
          <w:p>
            <w:pPr>
              <w:spacing w:line="276" w:lineRule="auto" w:after="40" w:before="40"/>
            </w:pPr>
            <w:r>
              <w:rPr>
                <w:sz w:val="19"/>
              </w:rPr>
              <w:t>Informed</w:t>
            </w:r>
          </w:p>
        </w:tc>
        <w:tc>
          <w:tcPr>
            <w:tcW w:type="dxa" w:w="1872"/>
            <w:tcMar>
              <w:top w:w="140" w:type="dxa"/>
              <w:bottom w:w="140" w:type="dxa"/>
              <w:left w:w="180" w:type="dxa"/>
              <w:right w:w="180" w:type="dxa"/>
            </w:tcMar>
            <w:vAlign w:val="center"/>
          </w:tcPr>
          <w:p>
            <w:pPr>
              <w:spacing w:line="276" w:lineRule="auto" w:after="40" w:before="40"/>
            </w:pPr>
            <w:r>
              <w:rPr>
                <w:sz w:val="19"/>
              </w:rPr>
              <w:t>Informed</w:t>
            </w:r>
          </w:p>
        </w:tc>
      </w:tr>
      <w:tr>
        <w:tc>
          <w:tcPr>
            <w:tcW w:type="dxa" w:w="1872"/>
            <w:tcMar>
              <w:top w:w="140" w:type="dxa"/>
              <w:bottom w:w="140" w:type="dxa"/>
              <w:left w:w="180" w:type="dxa"/>
              <w:right w:w="180" w:type="dxa"/>
            </w:tcMar>
            <w:vAlign w:val="center"/>
          </w:tcPr>
          <w:p>
            <w:pPr>
              <w:spacing w:line="276" w:lineRule="auto" w:after="40" w:before="40"/>
            </w:pPr>
            <w:r>
              <w:rPr>
                <w:sz w:val="19"/>
              </w:rPr>
              <w:t>Execute Account Lockout &amp; Network IP Ban</w:t>
            </w:r>
          </w:p>
        </w:tc>
        <w:tc>
          <w:tcPr>
            <w:tcW w:type="dxa" w:w="1872"/>
            <w:tcMar>
              <w:top w:w="140" w:type="dxa"/>
              <w:bottom w:w="140" w:type="dxa"/>
              <w:left w:w="180" w:type="dxa"/>
              <w:right w:w="180" w:type="dxa"/>
            </w:tcMar>
            <w:vAlign w:val="center"/>
          </w:tcPr>
          <w:p>
            <w:pPr>
              <w:spacing w:line="276" w:lineRule="auto" w:after="40" w:before="40"/>
            </w:pPr>
            <w:r>
              <w:rPr>
                <w:sz w:val="19"/>
              </w:rPr>
              <w:t>Responsible / Accountable</w:t>
            </w:r>
          </w:p>
        </w:tc>
        <w:tc>
          <w:tcPr>
            <w:tcW w:type="dxa" w:w="1872"/>
            <w:tcMar>
              <w:top w:w="140" w:type="dxa"/>
              <w:bottom w:w="140" w:type="dxa"/>
              <w:left w:w="180" w:type="dxa"/>
              <w:right w:w="180" w:type="dxa"/>
            </w:tcMar>
            <w:vAlign w:val="center"/>
          </w:tcPr>
          <w:p>
            <w:pPr>
              <w:spacing w:line="276" w:lineRule="auto" w:after="40" w:before="40"/>
            </w:pPr>
            <w:r>
              <w:rPr>
                <w:sz w:val="19"/>
              </w:rPr>
              <w:t>Consulted</w:t>
            </w:r>
          </w:p>
        </w:tc>
        <w:tc>
          <w:tcPr>
            <w:tcW w:type="dxa" w:w="1872"/>
            <w:tcMar>
              <w:top w:w="140" w:type="dxa"/>
              <w:bottom w:w="140" w:type="dxa"/>
              <w:left w:w="180" w:type="dxa"/>
              <w:right w:w="180" w:type="dxa"/>
            </w:tcMar>
            <w:vAlign w:val="center"/>
          </w:tcPr>
          <w:p>
            <w:pPr>
              <w:spacing w:line="276" w:lineRule="auto" w:after="40" w:before="40"/>
            </w:pPr>
            <w:r>
              <w:rPr>
                <w:sz w:val="19"/>
              </w:rPr>
              <w:t>Informed</w:t>
            </w:r>
          </w:p>
        </w:tc>
        <w:tc>
          <w:tcPr>
            <w:tcW w:type="dxa" w:w="1872"/>
            <w:tcMar>
              <w:top w:w="140" w:type="dxa"/>
              <w:bottom w:w="140" w:type="dxa"/>
              <w:left w:w="180" w:type="dxa"/>
              <w:right w:w="180" w:type="dxa"/>
            </w:tcMar>
            <w:vAlign w:val="center"/>
          </w:tcPr>
          <w:p>
            <w:pPr>
              <w:spacing w:line="276" w:lineRule="auto" w:after="40" w:before="40"/>
            </w:pPr>
            <w:r>
              <w:rPr>
                <w:sz w:val="19"/>
              </w:rPr>
              <w:t>Informed</w:t>
            </w:r>
          </w:p>
        </w:tc>
      </w:tr>
      <w:tr>
        <w:tc>
          <w:tcPr>
            <w:tcW w:type="dxa" w:w="1872"/>
            <w:tcMar>
              <w:top w:w="140" w:type="dxa"/>
              <w:bottom w:w="140" w:type="dxa"/>
              <w:left w:w="180" w:type="dxa"/>
              <w:right w:w="180" w:type="dxa"/>
            </w:tcMar>
            <w:vAlign w:val="center"/>
          </w:tcPr>
          <w:p>
            <w:pPr>
              <w:spacing w:line="276" w:lineRule="auto" w:after="40" w:before="40"/>
            </w:pPr>
            <w:r>
              <w:rPr>
                <w:sz w:val="19"/>
              </w:rPr>
              <w:t>Database Integrity Check &amp; Rollback</w:t>
            </w:r>
          </w:p>
        </w:tc>
        <w:tc>
          <w:tcPr>
            <w:tcW w:type="dxa" w:w="1872"/>
            <w:tcMar>
              <w:top w:w="140" w:type="dxa"/>
              <w:bottom w:w="140" w:type="dxa"/>
              <w:left w:w="180" w:type="dxa"/>
              <w:right w:w="180" w:type="dxa"/>
            </w:tcMar>
            <w:vAlign w:val="center"/>
          </w:tcPr>
          <w:p>
            <w:pPr>
              <w:spacing w:line="276" w:lineRule="auto" w:after="40" w:before="40"/>
            </w:pPr>
            <w:r>
              <w:rPr>
                <w:sz w:val="19"/>
              </w:rPr>
              <w:t>Responsible / Accountable</w:t>
            </w:r>
          </w:p>
        </w:tc>
        <w:tc>
          <w:tcPr>
            <w:tcW w:type="dxa" w:w="1872"/>
            <w:tcMar>
              <w:top w:w="140" w:type="dxa"/>
              <w:bottom w:w="140" w:type="dxa"/>
              <w:left w:w="180" w:type="dxa"/>
              <w:right w:w="180" w:type="dxa"/>
            </w:tcMar>
            <w:vAlign w:val="center"/>
          </w:tcPr>
          <w:p>
            <w:pPr>
              <w:spacing w:line="276" w:lineRule="auto" w:after="40" w:before="40"/>
            </w:pPr>
            <w:r>
              <w:rPr>
                <w:sz w:val="19"/>
              </w:rPr>
              <w:t>Consulted</w:t>
            </w:r>
          </w:p>
        </w:tc>
        <w:tc>
          <w:tcPr>
            <w:tcW w:type="dxa" w:w="1872"/>
            <w:tcMar>
              <w:top w:w="140" w:type="dxa"/>
              <w:bottom w:w="140" w:type="dxa"/>
              <w:left w:w="180" w:type="dxa"/>
              <w:right w:w="180" w:type="dxa"/>
            </w:tcMar>
            <w:vAlign w:val="center"/>
          </w:tcPr>
          <w:p>
            <w:pPr>
              <w:spacing w:line="276" w:lineRule="auto" w:after="40" w:before="40"/>
            </w:pPr>
            <w:r>
              <w:rPr>
                <w:sz w:val="19"/>
              </w:rPr>
              <w:t>Informed</w:t>
            </w:r>
          </w:p>
        </w:tc>
        <w:tc>
          <w:tcPr>
            <w:tcW w:type="dxa" w:w="1872"/>
            <w:tcMar>
              <w:top w:w="140" w:type="dxa"/>
              <w:bottom w:w="140" w:type="dxa"/>
              <w:left w:w="180" w:type="dxa"/>
              <w:right w:w="180" w:type="dxa"/>
            </w:tcMar>
            <w:vAlign w:val="center"/>
          </w:tcPr>
          <w:p>
            <w:pPr>
              <w:spacing w:line="276" w:lineRule="auto" w:after="40" w:before="40"/>
            </w:pPr>
            <w:r>
              <w:rPr>
                <w:sz w:val="19"/>
              </w:rPr>
              <w:t>Consulted</w:t>
            </w:r>
          </w:p>
        </w:tc>
      </w:tr>
      <w:tr>
        <w:tc>
          <w:tcPr>
            <w:tcW w:type="dxa" w:w="1872"/>
            <w:tcMar>
              <w:top w:w="140" w:type="dxa"/>
              <w:bottom w:w="140" w:type="dxa"/>
              <w:left w:w="180" w:type="dxa"/>
              <w:right w:w="180" w:type="dxa"/>
            </w:tcMar>
            <w:vAlign w:val="center"/>
          </w:tcPr>
          <w:p>
            <w:pPr>
              <w:spacing w:line="276" w:lineRule="auto" w:after="40" w:before="40"/>
            </w:pPr>
            <w:r>
              <w:rPr>
                <w:sz w:val="19"/>
              </w:rPr>
              <w:t>Kitchen Operations Continuity Coordination</w:t>
            </w:r>
          </w:p>
        </w:tc>
        <w:tc>
          <w:tcPr>
            <w:tcW w:type="dxa" w:w="1872"/>
            <w:tcMar>
              <w:top w:w="140" w:type="dxa"/>
              <w:bottom w:w="140" w:type="dxa"/>
              <w:left w:w="180" w:type="dxa"/>
              <w:right w:w="180" w:type="dxa"/>
            </w:tcMar>
            <w:vAlign w:val="center"/>
          </w:tcPr>
          <w:p>
            <w:pPr>
              <w:spacing w:line="276" w:lineRule="auto" w:after="40" w:before="40"/>
            </w:pPr>
            <w:r>
              <w:rPr>
                <w:sz w:val="19"/>
              </w:rPr>
              <w:t>Consulted</w:t>
            </w:r>
          </w:p>
        </w:tc>
        <w:tc>
          <w:tcPr>
            <w:tcW w:type="dxa" w:w="1872"/>
            <w:tcMar>
              <w:top w:w="140" w:type="dxa"/>
              <w:bottom w:w="140" w:type="dxa"/>
              <w:left w:w="180" w:type="dxa"/>
              <w:right w:w="180" w:type="dxa"/>
            </w:tcMar>
            <w:vAlign w:val="center"/>
          </w:tcPr>
          <w:p>
            <w:pPr>
              <w:spacing w:line="276" w:lineRule="auto" w:after="40" w:before="40"/>
            </w:pPr>
            <w:r>
              <w:rPr>
                <w:sz w:val="19"/>
              </w:rPr>
              <w:t>Responsible / Accountable</w:t>
            </w:r>
          </w:p>
        </w:tc>
        <w:tc>
          <w:tcPr>
            <w:tcW w:type="dxa" w:w="1872"/>
            <w:tcMar>
              <w:top w:w="140" w:type="dxa"/>
              <w:bottom w:w="140" w:type="dxa"/>
              <w:left w:w="180" w:type="dxa"/>
              <w:right w:w="180" w:type="dxa"/>
            </w:tcMar>
            <w:vAlign w:val="center"/>
          </w:tcPr>
          <w:p>
            <w:pPr>
              <w:spacing w:line="276" w:lineRule="auto" w:after="40" w:before="40"/>
            </w:pPr>
            <w:r>
              <w:rPr>
                <w:sz w:val="19"/>
              </w:rPr>
              <w:t>Informed</w:t>
            </w:r>
          </w:p>
        </w:tc>
        <w:tc>
          <w:tcPr>
            <w:tcW w:type="dxa" w:w="1872"/>
            <w:tcMar>
              <w:top w:w="140" w:type="dxa"/>
              <w:bottom w:w="140" w:type="dxa"/>
              <w:left w:w="180" w:type="dxa"/>
              <w:right w:w="180" w:type="dxa"/>
            </w:tcMar>
            <w:vAlign w:val="center"/>
          </w:tcPr>
          <w:p>
            <w:pPr>
              <w:spacing w:line="276" w:lineRule="auto" w:after="40" w:before="40"/>
            </w:pPr>
            <w:r>
              <w:rPr>
                <w:sz w:val="19"/>
              </w:rPr>
              <w:t>Informed</w:t>
            </w:r>
          </w:p>
        </w:tc>
      </w:tr>
      <w:tr>
        <w:tc>
          <w:tcPr>
            <w:tcW w:type="dxa" w:w="1872"/>
            <w:tcMar>
              <w:top w:w="140" w:type="dxa"/>
              <w:bottom w:w="140" w:type="dxa"/>
              <w:left w:w="180" w:type="dxa"/>
              <w:right w:w="180" w:type="dxa"/>
            </w:tcMar>
            <w:vAlign w:val="center"/>
          </w:tcPr>
          <w:p>
            <w:pPr>
              <w:spacing w:line="276" w:lineRule="auto" w:after="40" w:before="40"/>
            </w:pPr>
            <w:r>
              <w:rPr>
                <w:sz w:val="19"/>
              </w:rPr>
              <w:t>Authorize External Reporting / NPC Filing</w:t>
            </w:r>
          </w:p>
        </w:tc>
        <w:tc>
          <w:tcPr>
            <w:tcW w:type="dxa" w:w="1872"/>
            <w:tcMar>
              <w:top w:w="140" w:type="dxa"/>
              <w:bottom w:w="140" w:type="dxa"/>
              <w:left w:w="180" w:type="dxa"/>
              <w:right w:w="180" w:type="dxa"/>
            </w:tcMar>
            <w:vAlign w:val="center"/>
          </w:tcPr>
          <w:p>
            <w:pPr>
              <w:spacing w:line="276" w:lineRule="auto" w:after="40" w:before="40"/>
            </w:pPr>
            <w:r>
              <w:rPr>
                <w:sz w:val="19"/>
              </w:rPr>
              <w:t>Consulted</w:t>
            </w:r>
          </w:p>
        </w:tc>
        <w:tc>
          <w:tcPr>
            <w:tcW w:type="dxa" w:w="1872"/>
            <w:tcMar>
              <w:top w:w="140" w:type="dxa"/>
              <w:bottom w:w="140" w:type="dxa"/>
              <w:left w:w="180" w:type="dxa"/>
              <w:right w:w="180" w:type="dxa"/>
            </w:tcMar>
            <w:vAlign w:val="center"/>
          </w:tcPr>
          <w:p>
            <w:pPr>
              <w:spacing w:line="276" w:lineRule="auto" w:after="40" w:before="40"/>
            </w:pPr>
            <w:r>
              <w:rPr>
                <w:sz w:val="19"/>
              </w:rPr>
              <w:t>Consulted</w:t>
            </w:r>
          </w:p>
        </w:tc>
        <w:tc>
          <w:tcPr>
            <w:tcW w:type="dxa" w:w="1872"/>
            <w:tcMar>
              <w:top w:w="140" w:type="dxa"/>
              <w:bottom w:w="140" w:type="dxa"/>
              <w:left w:w="180" w:type="dxa"/>
              <w:right w:w="180" w:type="dxa"/>
            </w:tcMar>
            <w:vAlign w:val="center"/>
          </w:tcPr>
          <w:p>
            <w:pPr>
              <w:spacing w:line="276" w:lineRule="auto" w:after="40" w:before="40"/>
            </w:pPr>
            <w:r>
              <w:rPr>
                <w:sz w:val="19"/>
              </w:rPr>
              <w:t>Accountable</w:t>
            </w:r>
          </w:p>
        </w:tc>
        <w:tc>
          <w:tcPr>
            <w:tcW w:type="dxa" w:w="1872"/>
            <w:tcMar>
              <w:top w:w="140" w:type="dxa"/>
              <w:bottom w:w="140" w:type="dxa"/>
              <w:left w:w="180" w:type="dxa"/>
              <w:right w:w="180" w:type="dxa"/>
            </w:tcMar>
            <w:vAlign w:val="center"/>
          </w:tcPr>
          <w:p>
            <w:pPr>
              <w:spacing w:line="276" w:lineRule="auto" w:after="40" w:before="40"/>
            </w:pPr>
            <w:r>
              <w:rPr>
                <w:sz w:val="19"/>
              </w:rPr>
              <w:t>Responsible</w:t>
            </w:r>
          </w:p>
        </w:tc>
      </w:tr>
      <w:tr>
        <w:tc>
          <w:tcPr>
            <w:tcW w:type="dxa" w:w="1872"/>
            <w:tcMar>
              <w:top w:w="140" w:type="dxa"/>
              <w:bottom w:w="140" w:type="dxa"/>
              <w:left w:w="180" w:type="dxa"/>
              <w:right w:w="180" w:type="dxa"/>
            </w:tcMar>
            <w:vAlign w:val="center"/>
          </w:tcPr>
          <w:p>
            <w:pPr>
              <w:spacing w:line="276" w:lineRule="auto" w:after="40" w:before="40"/>
            </w:pPr>
            <w:r>
              <w:rPr>
                <w:sz w:val="19"/>
              </w:rPr>
              <w:t>Post-Mortem Investigation &amp; Code Patching</w:t>
            </w:r>
          </w:p>
        </w:tc>
        <w:tc>
          <w:tcPr>
            <w:tcW w:type="dxa" w:w="1872"/>
            <w:tcMar>
              <w:top w:w="140" w:type="dxa"/>
              <w:bottom w:w="140" w:type="dxa"/>
              <w:left w:w="180" w:type="dxa"/>
              <w:right w:w="180" w:type="dxa"/>
            </w:tcMar>
            <w:vAlign w:val="center"/>
          </w:tcPr>
          <w:p>
            <w:pPr>
              <w:spacing w:line="276" w:lineRule="auto" w:after="40" w:before="40"/>
            </w:pPr>
            <w:r>
              <w:rPr>
                <w:sz w:val="19"/>
              </w:rPr>
              <w:t>Responsible / Accountable</w:t>
            </w:r>
          </w:p>
        </w:tc>
        <w:tc>
          <w:tcPr>
            <w:tcW w:type="dxa" w:w="1872"/>
            <w:tcMar>
              <w:top w:w="140" w:type="dxa"/>
              <w:bottom w:w="140" w:type="dxa"/>
              <w:left w:w="180" w:type="dxa"/>
              <w:right w:w="180" w:type="dxa"/>
            </w:tcMar>
            <w:vAlign w:val="center"/>
          </w:tcPr>
          <w:p>
            <w:pPr>
              <w:spacing w:line="276" w:lineRule="auto" w:after="40" w:before="40"/>
            </w:pPr>
            <w:r>
              <w:rPr>
                <w:sz w:val="19"/>
              </w:rPr>
              <w:t>Consulted</w:t>
            </w:r>
          </w:p>
        </w:tc>
        <w:tc>
          <w:tcPr>
            <w:tcW w:type="dxa" w:w="1872"/>
            <w:tcMar>
              <w:top w:w="140" w:type="dxa"/>
              <w:bottom w:w="140" w:type="dxa"/>
              <w:left w:w="180" w:type="dxa"/>
              <w:right w:w="180" w:type="dxa"/>
            </w:tcMar>
            <w:vAlign w:val="center"/>
          </w:tcPr>
          <w:p>
            <w:pPr>
              <w:spacing w:line="276" w:lineRule="auto" w:after="40" w:before="40"/>
            </w:pPr>
            <w:r>
              <w:rPr>
                <w:sz w:val="19"/>
              </w:rPr>
              <w:t>Informed</w:t>
            </w:r>
          </w:p>
        </w:tc>
        <w:tc>
          <w:tcPr>
            <w:tcW w:type="dxa" w:w="1872"/>
            <w:tcMar>
              <w:top w:w="140" w:type="dxa"/>
              <w:bottom w:w="140" w:type="dxa"/>
              <w:left w:w="180" w:type="dxa"/>
              <w:right w:w="180" w:type="dxa"/>
            </w:tcMar>
            <w:vAlign w:val="center"/>
          </w:tcPr>
          <w:p>
            <w:pPr>
              <w:spacing w:line="276" w:lineRule="auto" w:after="40" w:before="40"/>
            </w:pPr>
            <w:r>
              <w:rPr>
                <w:sz w:val="19"/>
              </w:rPr>
              <w:t>Informed</w:t>
            </w:r>
          </w:p>
        </w:tc>
      </w:tr>
    </w:tbl>
    <w:p>
      <w:r>
        <w:br w:type="page"/>
      </w:r>
    </w:p>
    <w:p>
      <w:pPr>
        <w:pStyle w:val="Heading1"/>
      </w:pPr>
      <w:r>
        <w:rPr>
          <w:b/>
          <w:color w:val="182B49"/>
        </w:rPr>
        <w:t>6. COMPLIANCE / GOVERNANCE &amp; FORTINET TIE-IN</w:t>
      </w:r>
    </w:p>
    <w:p>
      <w:pPr>
        <w:pStyle w:val="Heading2"/>
      </w:pPr>
      <w:r>
        <w:t>6.1 Republic Act No. 10173 (Philippine Data Privacy Act of 2012)</w:t>
      </w:r>
    </w:p>
    <w:p>
      <w:r>
        <w:t>SmartCanteen processes personal data belonging to school canteen personnel and administrators. Compliance with RA 10173 is maintained across the statutory principles established by the National Privacy Commission (NPC):</w:t>
        <w:br/>
        <w:br/>
        <w:t>• Principle of Transparency: Staff members are informed upon account creation of what data is collected (full names, usernames, login timestamps, operational logs, and IP addresses) and the specific operational purposes for which it is processed.</w:t>
        <w:br/>
        <w:br/>
        <w:t>• Principle of Legitimate Purpose: Personal data processing is strictly limited to operating internal canteen inventory tracking, maintaining financial accountability under DepEd guidelines, and auditing food waste reconciliations. Data is never used for secondary tracking.</w:t>
        <w:br/>
        <w:br/>
        <w:t>• Principle of Proportionality (Data Minimization): The system enforces strict data minimization. No student personal records, student IDs, or biometric information are ever collected or stored in the database. Only canteen staff credentials and audit metadata are retained.</w:t>
        <w:br/>
        <w:br/>
        <w:t>• Mandatory 72-Hour Breach Notification (NPC Circular 16-03): In the event of a security incident involving unauthorized access or exfiltration of personal personnel data that threatens the rights of data subjects, the Lead System Administrator and School Principal are legally mandated to report the incident to the National Privacy Commission and affected parties within 72 hours of verification.</w:t>
      </w:r>
    </w:p>
    <w:p>
      <w:pPr>
        <w:pStyle w:val="Heading2"/>
      </w:pPr>
      <w:r>
        <w:t>6.2 Fortinet NSE 1–3 Security Framework Integration</w:t>
      </w:r>
    </w:p>
    <w:p>
      <w:r>
        <w:t>SmartCanteen's security design directly incorporates concepts from Fortinet's Network Security Expert (NSE) certification curriculum:</w:t>
        <w:br/>
        <w:br/>
        <w:t>1. Fortinet NSE 1 — The Threat Landscape:</w:t>
        <w:br/>
        <w:t>• Threat Awareness: Addresses prevalent educational threats including credential stuffing, phishing of school staff, and insider tampering.</w:t>
        <w:br/>
        <w:t>• Countermeasures: Implements mandatory TOTP multi-factor authentication, salted password hashing, and progressive account lockout after 5 failures.</w:t>
        <w:br/>
        <w:br/>
        <w:t>2. Fortinet NSE 2 — The Evolution of Cybersecurity &amp; The Security Fabric:</w:t>
        <w:br/>
        <w:t>• Integrated Security Fabric: Rather than relying solely on perimeter firewalls, security is woven across all layers: edge UFW filtering, Nginx reverse proxy rate-limiting, FastAPI token authorization, and ORM query parameterization communicate telemetry through centralized audit logging.</w:t>
        <w:br/>
        <w:t>• Network Segmentation: Workstations running the Electron administrative client should be isolated on a dedicated canteen VLAN, separate from school public and student Wi-Fi networks, preventing lateral movement in the event of student device compromise.</w:t>
        <w:br/>
        <w:t>• Endpoint Hardening: The Electron desktop client enforces `contextIsolation: true` and disables Node integration to prevent attacker breakout from the renderer UI into the Windows operating system.</w:t>
        <w:br/>
        <w:br/>
        <w:t>3. Fortinet NSE 3 — Fortinet Solutions &amp; Enterprise Controls:</w:t>
        <w:br/>
        <w:t>• Web Application Firewall (WAF) Concepts: Employs deep HTTP inspection (via Nginx and ModSecurity) to detect and block malicious payloads before they reach the application server.</w:t>
        <w:br/>
        <w:t>• Zero Trust Network Access (ZTNA): Implements the principle of 'never trust, always verify'. Every single API request evaluates token validity, user role scope, and MFA status regardless of whether the request originates from a local school workstation or remote web client.</w:t>
      </w:r>
    </w:p>
    <w:p>
      <w:r>
        <w:br w:type="page"/>
      </w:r>
    </w:p>
    <w:p>
      <w:pPr>
        <w:pStyle w:val="Heading1"/>
      </w:pPr>
      <w:r>
        <w:rPr>
          <w:b/>
          <w:color w:val="182B49"/>
        </w:rPr>
        <w:t>7. PRESENTATION &amp; DEFENSE PREPARATION GUIDE</w:t>
      </w:r>
    </w:p>
    <w:p>
      <w:pPr>
        <w:pStyle w:val="Heading2"/>
      </w:pPr>
      <w:r>
        <w:t>7.1 10–15 Minute Presentation Walkthrough Structure</w:t>
      </w:r>
    </w:p>
    <w:p>
      <w:r>
        <w:t>The capstone defense presentation should be allocated strategically across the team members:</w:t>
        <w:br/>
        <w:t>• Minutes 0–3: System Scope &amp; Asset Inventory (Speaker 1) — Introduce Bay Central Elementary School's operational context, the multi-tier architecture (Electron desktop, React web, FastAPI backend), and high-value statutory DepEd financial assets.</w:t>
        <w:br/>
        <w:t>• Minutes 3–7: Risk Assessment &amp; OWASP Top 10 Mapping (Speaker 2) — Present the top 3 critical threats (Broken Access Control on overrides, Cryptographic failures on JWT secrets, and Auth failures) and justify ratings using real codebase examples.</w:t>
        <w:br/>
        <w:t>• Minutes 7–11: Proposed Security Controls &amp; Standards Alignment (Speaker 3) — Walk through the defense-in-depth architecture: TOTP 2FA, session kill-switches, HTTP security headers, Nginx WAF placement, and ISO 27002 / PCI DSS non-applicability.</w:t>
        <w:br/>
        <w:t>• Minutes 11–13: Incident Response &amp; RA 10173 / Fortinet Tie-In (Speaker 4) — Present the containment workflow, RACI matrix, data privacy safeguards, and Fortinet Security Fabric integration.</w:t>
        <w:br/>
        <w:t>• Minutes 13–15: Conclusion &amp; Panel Q&amp;A Transition — Summarize key achievements and invite questions from the panel.</w:t>
      </w:r>
    </w:p>
    <w:p>
      <w:pPr>
        <w:pStyle w:val="Heading2"/>
      </w:pPr>
      <w:r>
        <w:t>7.2 Panel Defense Q&amp;A Scenarios &amp; Technical Responses</w:t>
      </w:r>
    </w:p>
    <w:p>
      <w:r>
        <w:t>Prepared defense responses for anticipated technical questions from the capstone panel:</w:t>
        <w:br/>
        <w:br/>
        <w:t>Panel Question 1: 'Why did you choose stateless JWT authentication instead of server-side session cookies?'</w:t>
        <w:br/>
        <w:t>Defense Response: 'SmartCanteen serves both a responsive web dashboard and a distributed Electron desktop client running on local canteen workstations. Stateless JWT tokens enable high-speed API verification without requiring database query overhead on every request. To overcome the traditional limitation of stateless tokens where revocation is difficult, we implemented a hybrid model: short-lived 60-minute JWTs combined with a database-backed UserLoginSession table that tracks device-bound refresh tokens. This allows administrators to revoke compromised sessions instantly while retaining the high performance of token authentication.'</w:t>
        <w:br/>
        <w:br/>
        <w:t>Panel Question 2: 'How do you prevent staff from tampering with DepEd financial reports or beginning cash balances?'</w:t>
        <w:br/>
        <w:t>Defense Response: 'We enforce strict Role-Based Access Control at the API gateway layer using FastAPI dependencies. Financial routes such as `/api/financial-reports/override-balances` are protected by `require_admin`. When a request is received, the backend validates that the token belongs to an active user with `role == 'admin'` and confirms that `two_factor_verified` is true. Even if an attacker manipulates the client-side UI, the backend rejects the unauthorized request with an HTTP 403 Forbidden and logs the incident to our tamper-evident `audit_logs` table.'</w:t>
        <w:br/>
        <w:br/>
        <w:t>Panel Question 3: 'Why is PCI DSS not applicable to your system?'</w:t>
        <w:br/>
        <w:t>Defense Response: 'PCI DSS applies strictly to environments that store, process, or transmit Cardholder Data (CHD) such as credit or debit card primary account numbers and CVV codes. SmartCanteen functions purely as an internal inventory tracking, kitchen food waste reconciliation, and DepEd statutory fund compliance platform. The system does not accept, process, or store any payment card data or consumer purchases. Because cardholder data never touches our network or servers, the system is completely out of scope for PCI DSS.'</w:t>
        <w:br/>
        <w:br/>
        <w:t>Panel Question 4: 'How does your plan satisfy the Data Privacy Act of 2012 (RA 10173)?'</w:t>
        <w:br/>
        <w:t>Defense Response: 'We adhere to the core principles of transparency, legitimate purpose, and proportionality. We practice strict data minimization: no student personal data, student numbers, or biometric records are ever collected or stored. Canteen staff data is restricted to operational essentials, passwords are encrypted with bcrypt, and our incident response plan incorporates the statutory 72-hour breach notification requirement mandated by NPC Circular 16-03.'</w:t>
      </w:r>
    </w:p>
    <w:p>
      <w:r>
        <w:br w:type="page"/>
      </w:r>
    </w:p>
    <w:p>
      <w:pPr>
        <w:pStyle w:val="Heading1"/>
      </w:pPr>
      <w:r>
        <w:rPr>
          <w:b/>
          <w:color w:val="182B49"/>
        </w:rPr>
        <w:t>8. REFERENCES &amp; STANDARDS BIBLIOGRAPHY</w:t>
      </w:r>
    </w:p>
    <w:p>
      <w:pPr>
        <w:spacing w:line="300" w:lineRule="auto" w:after="160"/>
        <w:ind w:left="720" w:hanging="720"/>
      </w:pPr>
      <w:r>
        <w:rPr>
          <w:sz w:val="20"/>
        </w:rPr>
        <w:t>Department of Education. (2007). DepEd Order No. 8, s. 2007: Revised Implementing Guidelines on the Operation and Management of School Canteens in Public Elementary and Secondary Schools. Republic of the Philippines.</w:t>
      </w:r>
    </w:p>
    <w:p>
      <w:pPr>
        <w:spacing w:line="300" w:lineRule="auto" w:after="160"/>
        <w:ind w:left="720" w:hanging="720"/>
      </w:pPr>
      <w:r>
        <w:rPr>
          <w:sz w:val="20"/>
        </w:rPr>
        <w:t>Fortinet Training Institute. (2023). Fortinet Network Security Expert (NSE) Certification Curriculum: NSE 1 (The Threat Landscape), NSE 2 (The Evolution of Cybersecurity), and NSE 3 (Fortinet Solutions). Fortinet Inc.</w:t>
      </w:r>
    </w:p>
    <w:p>
      <w:pPr>
        <w:spacing w:line="300" w:lineRule="auto" w:after="160"/>
        <w:ind w:left="720" w:hanging="720"/>
      </w:pPr>
      <w:r>
        <w:rPr>
          <w:sz w:val="20"/>
        </w:rPr>
        <w:t>International Organization for Standardization. (2022). ISO/IEC 27002:2022: Information security, cybersecurity and privacy protection — Information security controls. International Organization for Standardization.</w:t>
      </w:r>
    </w:p>
    <w:p>
      <w:pPr>
        <w:spacing w:line="300" w:lineRule="auto" w:after="160"/>
        <w:ind w:left="720" w:hanging="720"/>
      </w:pPr>
      <w:r>
        <w:rPr>
          <w:sz w:val="20"/>
        </w:rPr>
        <w:t>National Privacy Commission. (2016). NPC Circular 16-03: Personal Data Breach Management. National Privacy Commission, Republic of the Philippines.</w:t>
      </w:r>
    </w:p>
    <w:p>
      <w:pPr>
        <w:spacing w:line="300" w:lineRule="auto" w:after="160"/>
        <w:ind w:left="720" w:hanging="720"/>
      </w:pPr>
      <w:r>
        <w:rPr>
          <w:sz w:val="20"/>
        </w:rPr>
        <w:t>OWASP Foundation. (2021). OWASP Top 10: 2021 — The Ten Most Critical Web Application Security Risks. Open Web Application Security Project. https://owasp.org/Top10/</w:t>
      </w:r>
    </w:p>
    <w:p>
      <w:pPr>
        <w:spacing w:line="300" w:lineRule="auto" w:after="160"/>
        <w:ind w:left="720" w:hanging="720"/>
      </w:pPr>
      <w:r>
        <w:rPr>
          <w:sz w:val="20"/>
        </w:rPr>
        <w:t>Payment Card Industry Security Standards Council. (2022). Payment Card Industry Data Security Standard (PCI DSS) Requirements and Testing Procedures Version 4.0. PCI SSC.</w:t>
      </w:r>
    </w:p>
    <w:p>
      <w:pPr>
        <w:spacing w:line="300" w:lineRule="auto" w:after="160"/>
        <w:ind w:left="720" w:hanging="720"/>
      </w:pPr>
      <w:r>
        <w:rPr>
          <w:sz w:val="20"/>
        </w:rPr>
        <w:t>Republic of the Philippines. (2012). Republic Act No. 10173: An Act Protecting Individual Personal Information in Information and Communications Systems in the Government and the Private Sector (Data Privacy Act of 2012). Official Gazette.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