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spacing w:before="100" w:after="160"/>
        <w:jc w:val="start"/>
        <w:rPr/>
      </w:pPr>
      <w:r>
        <w:rPr/>
        <w:t>WDD 330 · Web Frontend Development II</w:t>
      </w:r>
    </w:p>
    <w:p>
      <w:pPr>
        <w:pStyle w:val="Heading1"/>
        <w:bidi w:val="0"/>
        <w:spacing w:before="240" w:after="100"/>
        <w:jc w:val="start"/>
        <w:rPr/>
      </w:pPr>
      <w:r>
        <w:rPr/>
        <w:t>Skills Development Assessment</w:t>
      </w:r>
    </w:p>
    <w:p>
      <w:pPr>
        <w:pStyle w:val="BodyTextsubtitle"/>
        <w:bidi w:val="0"/>
        <w:jc w:val="start"/>
        <w:rPr/>
      </w:pPr>
      <w:r>
        <w:rPr/>
        <w:t>Fieldnotes — Outdoor Trip Planner</w:t>
      </w:r>
    </w:p>
    <w:tbl>
      <w:tblPr>
        <w:tblW w:w="9832" w:type="dxa"/>
        <w:jc w:val="start"/>
        <w:tblInd w:w="0" w:type="dxa"/>
        <w:tblLayout w:type="fixed"/>
        <w:tblCellMar>
          <w:top w:w="28" w:type="dxa"/>
          <w:start w:w="28" w:type="dxa"/>
          <w:bottom w:w="28" w:type="dxa"/>
          <w:end w:w="28" w:type="dxa"/>
        </w:tblCellMar>
      </w:tblPr>
      <w:tblGrid>
        <w:gridCol w:w="2265"/>
        <w:gridCol w:w="7567"/>
      </w:tblGrid>
      <w:tr>
        <w:trPr/>
        <w:tc>
          <w:tcPr>
            <w:tcW w:w="2265" w:type="dxa"/>
            <w:tcBorders/>
            <w:vAlign w:val="center"/>
          </w:tcPr>
          <w:p>
            <w:pPr>
              <w:pStyle w:val="TableHeading"/>
              <w:suppressLineNumbers/>
              <w:bidi w:val="0"/>
              <w:spacing w:before="100" w:after="160"/>
              <w:jc w:val="start"/>
              <w:rPr/>
            </w:pPr>
            <w:r>
              <w:rPr/>
              <w:t>Student</w:t>
            </w:r>
          </w:p>
        </w:tc>
        <w:tc>
          <w:tcPr>
            <w:tcW w:w="7567" w:type="dxa"/>
            <w:tcBorders/>
            <w:vAlign w:val="center"/>
          </w:tcPr>
          <w:p>
            <w:pPr>
              <w:pStyle w:val="TableContents"/>
              <w:bidi w:val="0"/>
              <w:spacing w:before="100" w:after="160"/>
              <w:jc w:val="start"/>
              <w:rPr/>
            </w:pPr>
            <w:r>
              <w:rPr/>
              <w:t>Ronald Ongom</w:t>
            </w:r>
          </w:p>
        </w:tc>
      </w:tr>
      <w:tr>
        <w:trPr/>
        <w:tc>
          <w:tcPr>
            <w:tcW w:w="2265" w:type="dxa"/>
            <w:tcBorders/>
            <w:vAlign w:val="center"/>
          </w:tcPr>
          <w:p>
            <w:pPr>
              <w:pStyle w:val="TableHeading"/>
              <w:suppressLineNumbers/>
              <w:bidi w:val="0"/>
              <w:spacing w:before="100" w:after="160"/>
              <w:jc w:val="start"/>
              <w:rPr/>
            </w:pPr>
            <w:r>
              <w:rPr/>
              <w:t>Live application</w:t>
            </w:r>
          </w:p>
        </w:tc>
        <w:tc>
          <w:tcPr>
            <w:tcW w:w="7567" w:type="dxa"/>
            <w:tcBorders/>
            <w:vAlign w:val="center"/>
          </w:tcPr>
          <w:p>
            <w:pPr>
              <w:pStyle w:val="TableContents"/>
              <w:bidi w:val="0"/>
              <w:spacing w:before="100" w:after="160"/>
              <w:jc w:val="start"/>
              <w:rPr/>
            </w:pPr>
            <w:hyperlink r:id="rId2">
              <w:r>
                <w:rPr>
                  <w:rStyle w:val="Hyperlink"/>
                </w:rPr>
                <w:t xml:space="preserve">https://ronaldongom.github.io/wdd330-sleepoutside-team11/fieldnotes/ </w:t>
              </w:r>
            </w:hyperlink>
          </w:p>
        </w:tc>
      </w:tr>
      <w:tr>
        <w:trPr/>
        <w:tc>
          <w:tcPr>
            <w:tcW w:w="2265" w:type="dxa"/>
            <w:tcBorders/>
            <w:vAlign w:val="center"/>
          </w:tcPr>
          <w:p>
            <w:pPr>
              <w:pStyle w:val="TableHeading"/>
              <w:suppressLineNumbers/>
              <w:bidi w:val="0"/>
              <w:spacing w:before="100" w:after="160"/>
              <w:jc w:val="start"/>
              <w:rPr/>
            </w:pPr>
            <w:r>
              <w:rPr/>
              <w:t>Source code</w:t>
            </w:r>
          </w:p>
        </w:tc>
        <w:tc>
          <w:tcPr>
            <w:tcW w:w="7567" w:type="dxa"/>
            <w:tcBorders/>
            <w:vAlign w:val="center"/>
          </w:tcPr>
          <w:p>
            <w:pPr>
              <w:pStyle w:val="TableContents"/>
              <w:bidi w:val="0"/>
              <w:spacing w:before="100" w:after="160"/>
              <w:jc w:val="start"/>
              <w:rPr/>
            </w:pPr>
            <w:hyperlink r:id="rId3">
              <w:r>
                <w:rPr>
                  <w:rStyle w:val="Hyperlink"/>
                </w:rPr>
                <w:t xml:space="preserve">https://github.com/RonaldOngom/wdd330-sleepoutside-team11 </w:t>
              </w:r>
            </w:hyperlink>
          </w:p>
        </w:tc>
      </w:tr>
      <w:tr>
        <w:trPr/>
        <w:tc>
          <w:tcPr>
            <w:tcW w:w="2265" w:type="dxa"/>
            <w:tcBorders/>
            <w:vAlign w:val="center"/>
          </w:tcPr>
          <w:p>
            <w:pPr>
              <w:pStyle w:val="TableHeading"/>
              <w:suppressLineNumbers/>
              <w:bidi w:val="0"/>
              <w:spacing w:before="100" w:after="160"/>
              <w:jc w:val="start"/>
              <w:rPr/>
            </w:pPr>
            <w:r>
              <w:rPr/>
              <w:t>Fieldnotes Trello board</w:t>
            </w:r>
          </w:p>
        </w:tc>
        <w:tc>
          <w:tcPr>
            <w:tcW w:w="7567" w:type="dxa"/>
            <w:tcBorders/>
            <w:vAlign w:val="center"/>
          </w:tcPr>
          <w:p>
            <w:pPr>
              <w:pStyle w:val="TableContents"/>
              <w:bidi w:val="0"/>
              <w:spacing w:before="100" w:after="160"/>
              <w:jc w:val="start"/>
              <w:rPr/>
            </w:pPr>
            <w:hyperlink r:id="rId4">
              <w:r>
                <w:rPr>
                  <w:rStyle w:val="Hyperlink"/>
                </w:rPr>
                <w:t xml:space="preserve">https://trello.com/b/v8NAFHeJ/fieldnotes-outdoor-trip-planner </w:t>
              </w:r>
            </w:hyperlink>
          </w:p>
        </w:tc>
      </w:tr>
      <w:tr>
        <w:trPr/>
        <w:tc>
          <w:tcPr>
            <w:tcW w:w="2265" w:type="dxa"/>
            <w:tcBorders/>
            <w:vAlign w:val="center"/>
          </w:tcPr>
          <w:p>
            <w:pPr>
              <w:pStyle w:val="TableHeading"/>
              <w:suppressLineNumbers/>
              <w:bidi w:val="0"/>
              <w:spacing w:before="100" w:after="160"/>
              <w:jc w:val="start"/>
              <w:rPr/>
            </w:pPr>
            <w:r>
              <w:rPr/>
              <w:t>Video presentation</w:t>
            </w:r>
          </w:p>
        </w:tc>
        <w:tc>
          <w:tcPr>
            <w:tcW w:w="7567" w:type="dxa"/>
            <w:tcBorders/>
            <w:vAlign w:val="center"/>
          </w:tcPr>
          <w:p>
            <w:pPr>
              <w:pStyle w:val="TableContents"/>
              <w:bidi w:val="0"/>
              <w:spacing w:before="100" w:after="160"/>
              <w:jc w:val="start"/>
              <w:rPr/>
            </w:pPr>
            <w:r>
              <w:rPr>
                <w:rStyle w:val="Strong"/>
              </w:rPr>
              <w:t xml:space="preserve">Public single-video URL not supplied. Add the direct video link here before submitting. </w:t>
            </w:r>
          </w:p>
        </w:tc>
      </w:tr>
    </w:tbl>
    <w:p>
      <w:pPr>
        <w:pStyle w:val="BodyText"/>
        <w:bidi w:val="0"/>
        <w:spacing w:before="240" w:after="240"/>
        <w:ind w:hanging="0" w:start="240" w:end="240"/>
        <w:jc w:val="start"/>
        <w:rPr/>
      </w:pPr>
      <w:r>
        <w:rPr>
          <w:rStyle w:val="Strong"/>
          <w:bdr w:val="single" w:sz="24" w:space="11" w:color="D88A48"/>
          <w:shd w:fill="FFF3DF" w:val="clear"/>
        </w:rPr>
        <w:t>Submission action required:</w:t>
      </w:r>
      <w:r>
        <w:rPr>
          <w:bdr w:val="single" w:sz="24" w:space="11" w:color="D88A48"/>
          <w:shd w:fill="FFF3DF" w:val="clear"/>
        </w:rPr>
        <w:t xml:space="preserve"> Record and publish an approximately five-minute screen walkthrough that shows your face at least at the beginning, demonstrates the running app, and explains the code examples below. Replace the pending-video note above with the publicly accessible URL for one individual video (not a Loom folder or collection) before uploading this document. The video has not been recorded or published as part of this document preparation. </w:t>
      </w:r>
    </w:p>
    <w:p>
      <w:pPr>
        <w:pStyle w:val="Heading2"/>
        <w:numPr>
          <w:ilvl w:val="0"/>
          <w:numId w:val="0"/>
        </w:numPr>
        <w:pBdr/>
        <w:bidi w:val="0"/>
        <w:spacing w:before="460" w:after="160"/>
        <w:ind w:start="460" w:end="460"/>
        <w:jc w:val="start"/>
        <w:rPr/>
      </w:pPr>
      <w:r>
        <w:rPr/>
        <w:t>Project overview</w:t>
      </w:r>
    </w:p>
    <w:p>
      <w:pPr>
        <w:pStyle w:val="BodyText"/>
        <w:bidi w:val="0"/>
        <w:spacing w:before="100" w:after="160"/>
        <w:ind w:start="100" w:end="100"/>
        <w:jc w:val="start"/>
        <w:rPr/>
      </w:pPr>
      <w:r>
        <w:rPr/>
        <w:t xml:space="preserve">Fieldnotes is a responsive trip-planning experience for people preparing to spend time outdoors. A visitor can search for a place, review current conditions and a seven-day forecast, check air quality and daylight details, save places for later, and personalize temperature units and theme. The interface is populated from live Open-Meteo JSON responses. </w:t>
      </w:r>
    </w:p>
    <w:p>
      <w:pPr>
        <w:pStyle w:val="Heading2"/>
        <w:numPr>
          <w:ilvl w:val="0"/>
          <w:numId w:val="0"/>
        </w:numPr>
        <w:pBdr/>
        <w:bidi w:val="0"/>
        <w:spacing w:before="460" w:after="160"/>
        <w:ind w:start="460" w:end="460"/>
        <w:jc w:val="start"/>
        <w:rPr/>
      </w:pPr>
      <w:r>
        <w:rPr/>
        <w:t>Skills evidence mapped to the rubric</w:t>
      </w:r>
    </w:p>
    <w:tbl>
      <w:tblPr>
        <w:tblW w:w="9832" w:type="dxa"/>
        <w:jc w:val="start"/>
        <w:tblInd w:w="0" w:type="dxa"/>
        <w:tblLayout w:type="fixed"/>
        <w:tblCellMar>
          <w:top w:w="28" w:type="dxa"/>
          <w:start w:w="28" w:type="dxa"/>
          <w:bottom w:w="28" w:type="dxa"/>
          <w:end w:w="28" w:type="dxa"/>
        </w:tblCellMar>
      </w:tblPr>
      <w:tblGrid>
        <w:gridCol w:w="1518"/>
        <w:gridCol w:w="3668"/>
        <w:gridCol w:w="3635"/>
        <w:gridCol w:w="1011"/>
      </w:tblGrid>
      <w:tr>
        <w:trPr>
          <w:tblHeader w:val="true"/>
        </w:trPr>
        <w:tc>
          <w:tcPr>
            <w:tcW w:w="1518" w:type="dxa"/>
            <w:tcBorders/>
            <w:vAlign w:val="center"/>
          </w:tcPr>
          <w:p>
            <w:pPr>
              <w:pStyle w:val="TableHeading"/>
              <w:suppressLineNumbers/>
              <w:bidi w:val="0"/>
              <w:spacing w:before="100" w:after="160"/>
              <w:jc w:val="start"/>
              <w:rPr/>
            </w:pPr>
            <w:r>
              <w:rPr/>
              <w:t>Rubric area</w:t>
            </w:r>
          </w:p>
        </w:tc>
        <w:tc>
          <w:tcPr>
            <w:tcW w:w="3668" w:type="dxa"/>
            <w:tcBorders/>
            <w:vAlign w:val="center"/>
          </w:tcPr>
          <w:p>
            <w:pPr>
              <w:pStyle w:val="TableHeading"/>
              <w:suppressLineNumbers/>
              <w:bidi w:val="0"/>
              <w:spacing w:before="100" w:after="160"/>
              <w:jc w:val="start"/>
              <w:rPr/>
            </w:pPr>
            <w:r>
              <w:rPr/>
              <w:t>Where this can be seen in Fieldnotes</w:t>
            </w:r>
          </w:p>
        </w:tc>
        <w:tc>
          <w:tcPr>
            <w:tcW w:w="3635" w:type="dxa"/>
            <w:tcBorders/>
            <w:vAlign w:val="center"/>
          </w:tcPr>
          <w:p>
            <w:pPr>
              <w:pStyle w:val="TableHeading"/>
              <w:bidi w:val="0"/>
              <w:spacing w:before="100" w:after="160"/>
              <w:ind w:hanging="0" w:start="0" w:end="0"/>
              <w:jc w:val="start"/>
              <w:rPr/>
            </w:pPr>
            <w:r>
              <w:rPr/>
              <w:t>Fieldnotes implementation</w:t>
            </w:r>
          </w:p>
        </w:tc>
        <w:tc>
          <w:tcPr>
            <w:tcW w:w="1011" w:type="dxa"/>
            <w:tcBorders/>
            <w:vAlign w:val="center"/>
          </w:tcPr>
          <w:p>
            <w:pPr>
              <w:pStyle w:val="TableHeading"/>
              <w:bidi w:val="0"/>
              <w:spacing w:before="100" w:after="160"/>
              <w:jc w:val="center"/>
              <w:rPr/>
            </w:pPr>
            <w:r>
              <w:rPr/>
              <w:t>Target</w:t>
            </w:r>
          </w:p>
        </w:tc>
      </w:tr>
      <w:tr>
        <w:trPr/>
        <w:tc>
          <w:tcPr>
            <w:tcW w:w="1518" w:type="dxa"/>
            <w:tcBorders/>
            <w:vAlign w:val="center"/>
          </w:tcPr>
          <w:p>
            <w:pPr>
              <w:pStyle w:val="TableContents"/>
              <w:bidi w:val="0"/>
              <w:spacing w:before="100" w:after="160"/>
              <w:jc w:val="start"/>
              <w:rPr/>
            </w:pPr>
            <w:r>
              <w:rPr>
                <w:rStyle w:val="Strong"/>
              </w:rPr>
              <w:t>JavaScript</w:t>
            </w:r>
          </w:p>
        </w:tc>
        <w:tc>
          <w:tcPr>
            <w:tcW w:w="3668" w:type="dxa"/>
            <w:tcBorders/>
            <w:vAlign w:val="center"/>
          </w:tcPr>
          <w:p>
            <w:pPr>
              <w:pStyle w:val="TableContents"/>
              <w:bidi w:val="0"/>
              <w:spacing w:before="100" w:after="160"/>
              <w:jc w:val="start"/>
              <w:rPr/>
            </w:pPr>
            <w:r>
              <w:rPr/>
              <w:t xml:space="preserve">Search for a place and select a result: the current-conditions panel, seven-day cards, and condition cards update for that location. Save and reopen a place, refresh the forecast, and use the unit and theme controls. </w:t>
            </w:r>
          </w:p>
        </w:tc>
        <w:tc>
          <w:tcPr>
            <w:tcW w:w="3635" w:type="dxa"/>
            <w:tcBorders/>
            <w:vAlign w:val="center"/>
          </w:tcPr>
          <w:p>
            <w:pPr>
              <w:pStyle w:val="TableContents"/>
              <w:bidi w:val="0"/>
              <w:spacing w:before="100" w:after="160"/>
              <w:ind w:hanging="0" w:start="0" w:end="0"/>
              <w:jc w:val="start"/>
              <w:rPr/>
            </w:pPr>
            <w:r>
              <w:rPr/>
              <w:t xml:space="preserve">JavaScript validates searches, handles asynchronous API integration/data-layer responses, guards against stale responses, converts values, and dynamically renders interface cards and accessible loading/error states. </w:t>
            </w:r>
          </w:p>
        </w:tc>
        <w:tc>
          <w:tcPr>
            <w:tcW w:w="1011" w:type="dxa"/>
            <w:tcBorders/>
            <w:vAlign w:val="center"/>
          </w:tcPr>
          <w:p>
            <w:pPr>
              <w:pStyle w:val="TableContents"/>
              <w:bidi w:val="0"/>
              <w:spacing w:before="100" w:after="160"/>
              <w:jc w:val="center"/>
              <w:rPr/>
            </w:pPr>
            <w:r>
              <w:rPr/>
              <w:t>25 / 25</w:t>
            </w:r>
          </w:p>
        </w:tc>
      </w:tr>
      <w:tr>
        <w:trPr/>
        <w:tc>
          <w:tcPr>
            <w:tcW w:w="1518" w:type="dxa"/>
            <w:tcBorders/>
            <w:vAlign w:val="center"/>
          </w:tcPr>
          <w:p>
            <w:pPr>
              <w:pStyle w:val="TableContents"/>
              <w:bidi w:val="0"/>
              <w:spacing w:before="100" w:after="160"/>
              <w:jc w:val="start"/>
              <w:rPr/>
            </w:pPr>
            <w:r>
              <w:rPr>
                <w:rStyle w:val="Strong"/>
              </w:rPr>
              <w:t>Third-party APIs</w:t>
            </w:r>
          </w:p>
        </w:tc>
        <w:tc>
          <w:tcPr>
            <w:tcW w:w="3668" w:type="dxa"/>
            <w:tcBorders/>
            <w:vAlign w:val="center"/>
          </w:tcPr>
          <w:p>
            <w:pPr>
              <w:pStyle w:val="TableContents"/>
              <w:bidi w:val="0"/>
              <w:spacing w:before="100" w:after="160"/>
              <w:jc w:val="start"/>
              <w:rPr/>
            </w:pPr>
            <w:r>
              <w:rPr/>
              <w:t xml:space="preserve">Use the location search, open a forecast, then inspect the air quality card in the “Know before you go” section. </w:t>
            </w:r>
          </w:p>
        </w:tc>
        <w:tc>
          <w:tcPr>
            <w:tcW w:w="3635" w:type="dxa"/>
            <w:tcBorders/>
            <w:vAlign w:val="center"/>
          </w:tcPr>
          <w:p>
            <w:pPr>
              <w:pStyle w:val="TableContents"/>
              <w:bidi w:val="0"/>
              <w:spacing w:before="100" w:after="160"/>
              <w:ind w:hanging="0" w:start="0" w:end="0"/>
              <w:jc w:val="start"/>
              <w:rPr/>
            </w:pPr>
            <w:r>
              <w:rPr/>
              <w:t xml:space="preserve">Open-Meteo Geocoding finds locations, Forecast supplies current and daily conditions, and Air Quality supplies AQI data. Forecast and air-quality requests run concurrently; the forecast remains usable when air quality is unavailable. </w:t>
            </w:r>
          </w:p>
        </w:tc>
        <w:tc>
          <w:tcPr>
            <w:tcW w:w="1011" w:type="dxa"/>
            <w:tcBorders/>
            <w:vAlign w:val="center"/>
          </w:tcPr>
          <w:p>
            <w:pPr>
              <w:pStyle w:val="TableContents"/>
              <w:bidi w:val="0"/>
              <w:spacing w:before="100" w:after="160"/>
              <w:jc w:val="center"/>
              <w:rPr/>
            </w:pPr>
            <w:r>
              <w:rPr/>
              <w:t>25 / 25</w:t>
            </w:r>
          </w:p>
        </w:tc>
      </w:tr>
      <w:tr>
        <w:trPr/>
        <w:tc>
          <w:tcPr>
            <w:tcW w:w="1518" w:type="dxa"/>
            <w:tcBorders/>
            <w:vAlign w:val="center"/>
          </w:tcPr>
          <w:p>
            <w:pPr>
              <w:pStyle w:val="TableContents"/>
              <w:bidi w:val="0"/>
              <w:spacing w:before="100" w:after="160"/>
              <w:jc w:val="start"/>
              <w:rPr/>
            </w:pPr>
            <w:r>
              <w:rPr>
                <w:rStyle w:val="Strong"/>
              </w:rPr>
              <w:t>JSON</w:t>
            </w:r>
          </w:p>
        </w:tc>
        <w:tc>
          <w:tcPr>
            <w:tcW w:w="3668" w:type="dxa"/>
            <w:tcBorders/>
            <w:vAlign w:val="center"/>
          </w:tcPr>
          <w:p>
            <w:pPr>
              <w:pStyle w:val="TableContents"/>
              <w:bidi w:val="0"/>
              <w:spacing w:before="100" w:after="160"/>
              <w:jc w:val="start"/>
              <w:rPr/>
            </w:pPr>
            <w:r>
              <w:rPr/>
              <w:t xml:space="preserve">Search results appear below the search box; selecting a place populates the seven-day forecast and the sunrise, AQI, UV, and daylight cards with live values. </w:t>
            </w:r>
          </w:p>
        </w:tc>
        <w:tc>
          <w:tcPr>
            <w:tcW w:w="3635" w:type="dxa"/>
            <w:tcBorders/>
            <w:vAlign w:val="center"/>
          </w:tcPr>
          <w:p>
            <w:pPr>
              <w:pStyle w:val="TableContents"/>
              <w:bidi w:val="0"/>
              <w:spacing w:before="100" w:after="160"/>
              <w:ind w:hanging="0" w:start="0" w:end="0"/>
              <w:jc w:val="start"/>
              <w:rPr/>
            </w:pPr>
            <w:r>
              <w:rPr/>
              <w:t xml:space="preserve">Arrays of geocoding results and forecast daily data (dates, weather codes, temperatures, precipitation probabilities, sunrise, sunset, UV, and wind speed) are used to create the visible interface. </w:t>
            </w:r>
          </w:p>
        </w:tc>
        <w:tc>
          <w:tcPr>
            <w:tcW w:w="1011" w:type="dxa"/>
            <w:tcBorders/>
            <w:vAlign w:val="center"/>
          </w:tcPr>
          <w:p>
            <w:pPr>
              <w:pStyle w:val="TableContents"/>
              <w:bidi w:val="0"/>
              <w:spacing w:before="100" w:after="160"/>
              <w:jc w:val="center"/>
              <w:rPr/>
            </w:pPr>
            <w:r>
              <w:rPr/>
              <w:t>10 / 10</w:t>
            </w:r>
          </w:p>
        </w:tc>
      </w:tr>
      <w:tr>
        <w:trPr/>
        <w:tc>
          <w:tcPr>
            <w:tcW w:w="1518" w:type="dxa"/>
            <w:tcBorders/>
            <w:vAlign w:val="center"/>
          </w:tcPr>
          <w:p>
            <w:pPr>
              <w:pStyle w:val="TableContents"/>
              <w:bidi w:val="0"/>
              <w:spacing w:before="100" w:after="160"/>
              <w:jc w:val="start"/>
              <w:rPr/>
            </w:pPr>
            <w:r>
              <w:rPr>
                <w:rStyle w:val="Strong"/>
              </w:rPr>
              <w:t>Advanced CSS</w:t>
            </w:r>
          </w:p>
        </w:tc>
        <w:tc>
          <w:tcPr>
            <w:tcW w:w="3668" w:type="dxa"/>
            <w:tcBorders/>
            <w:vAlign w:val="center"/>
          </w:tcPr>
          <w:p>
            <w:pPr>
              <w:pStyle w:val="TableContents"/>
              <w:bidi w:val="0"/>
              <w:spacing w:before="100" w:after="160"/>
              <w:jc w:val="start"/>
              <w:rPr/>
            </w:pPr>
            <w:r>
              <w:rPr/>
              <w:t xml:space="preserve">Resize the browser to see the forecast and condition-card layout adapt. Hover or focus interactive controls and cards, switch the theme, and observe loading/entrance effects. </w:t>
            </w:r>
          </w:p>
        </w:tc>
        <w:tc>
          <w:tcPr>
            <w:tcW w:w="3635" w:type="dxa"/>
            <w:tcBorders/>
            <w:vAlign w:val="center"/>
          </w:tcPr>
          <w:p>
            <w:pPr>
              <w:pStyle w:val="TableContents"/>
              <w:bidi w:val="0"/>
              <w:spacing w:before="100" w:after="160"/>
              <w:ind w:hanging="0" w:start="0" w:end="0"/>
              <w:jc w:val="start"/>
              <w:rPr/>
            </w:pPr>
            <w:r>
              <w:rPr/>
              <w:t xml:space="preserve">Responsive CSS, light/dark theme variables, hover/focus transitions, keyframe animations, and reduced-motion support style the Fieldnotes interface. </w:t>
            </w:r>
          </w:p>
        </w:tc>
        <w:tc>
          <w:tcPr>
            <w:tcW w:w="1011" w:type="dxa"/>
            <w:tcBorders/>
            <w:vAlign w:val="center"/>
          </w:tcPr>
          <w:p>
            <w:pPr>
              <w:pStyle w:val="TableContents"/>
              <w:bidi w:val="0"/>
              <w:spacing w:before="100" w:after="160"/>
              <w:jc w:val="center"/>
              <w:rPr/>
            </w:pPr>
            <w:r>
              <w:rPr/>
              <w:t>10 / 10</w:t>
            </w:r>
          </w:p>
        </w:tc>
      </w:tr>
      <w:tr>
        <w:trPr/>
        <w:tc>
          <w:tcPr>
            <w:tcW w:w="1518" w:type="dxa"/>
            <w:tcBorders/>
            <w:vAlign w:val="center"/>
          </w:tcPr>
          <w:p>
            <w:pPr>
              <w:pStyle w:val="TableContents"/>
              <w:bidi w:val="0"/>
              <w:spacing w:before="100" w:after="160"/>
              <w:jc w:val="start"/>
              <w:rPr/>
            </w:pPr>
            <w:r>
              <w:rPr>
                <w:rStyle w:val="Strong"/>
              </w:rPr>
              <w:t>Events</w:t>
            </w:r>
          </w:p>
        </w:tc>
        <w:tc>
          <w:tcPr>
            <w:tcW w:w="3668" w:type="dxa"/>
            <w:tcBorders/>
            <w:vAlign w:val="center"/>
          </w:tcPr>
          <w:p>
            <w:pPr>
              <w:pStyle w:val="TableContents"/>
              <w:bidi w:val="0"/>
              <w:spacing w:before="100" w:after="160"/>
              <w:jc w:val="start"/>
              <w:rPr/>
            </w:pPr>
            <w:r>
              <w:rPr/>
              <w:t xml:space="preserve">Submit a place search, select a result, save/remove and reopen a place, switch units and theme, refresh, or press Escape while results are open. </w:t>
            </w:r>
          </w:p>
        </w:tc>
        <w:tc>
          <w:tcPr>
            <w:tcW w:w="3635" w:type="dxa"/>
            <w:tcBorders/>
            <w:vAlign w:val="center"/>
          </w:tcPr>
          <w:p>
            <w:pPr>
              <w:pStyle w:val="TableContents"/>
              <w:bidi w:val="0"/>
              <w:spacing w:before="100" w:after="160"/>
              <w:ind w:hanging="0" w:start="0" w:end="0"/>
              <w:jc w:val="start"/>
              <w:rPr/>
            </w:pPr>
            <w:r>
              <w:rPr/>
              <w:t xml:space="preserve">Form submit, input, keyboard, selection, save/remove, unit, theme, refresh, and outside-click handlers update the application responsively. </w:t>
            </w:r>
          </w:p>
        </w:tc>
        <w:tc>
          <w:tcPr>
            <w:tcW w:w="1011" w:type="dxa"/>
            <w:tcBorders/>
            <w:vAlign w:val="center"/>
          </w:tcPr>
          <w:p>
            <w:pPr>
              <w:pStyle w:val="TableContents"/>
              <w:bidi w:val="0"/>
              <w:spacing w:before="100" w:after="160"/>
              <w:jc w:val="center"/>
              <w:rPr/>
            </w:pPr>
            <w:r>
              <w:rPr/>
              <w:t>10 / 10</w:t>
            </w:r>
          </w:p>
        </w:tc>
      </w:tr>
      <w:tr>
        <w:trPr/>
        <w:tc>
          <w:tcPr>
            <w:tcW w:w="1518" w:type="dxa"/>
            <w:tcBorders/>
            <w:vAlign w:val="center"/>
          </w:tcPr>
          <w:p>
            <w:pPr>
              <w:pStyle w:val="TableContents"/>
              <w:bidi w:val="0"/>
              <w:spacing w:before="100" w:after="160"/>
              <w:jc w:val="start"/>
              <w:rPr/>
            </w:pPr>
            <w:r>
              <w:rPr>
                <w:rStyle w:val="Strong"/>
              </w:rPr>
              <w:t>LocalStorage</w:t>
            </w:r>
          </w:p>
        </w:tc>
        <w:tc>
          <w:tcPr>
            <w:tcW w:w="3668" w:type="dxa"/>
            <w:tcBorders/>
            <w:vAlign w:val="center"/>
          </w:tcPr>
          <w:p>
            <w:pPr>
              <w:pStyle w:val="TableContents"/>
              <w:bidi w:val="0"/>
              <w:spacing w:before="100" w:after="160"/>
              <w:jc w:val="start"/>
              <w:rPr/>
            </w:pPr>
            <w:r>
              <w:rPr/>
              <w:t xml:space="preserve">Save a location, change units/theme, and reload the page. The saved place and preferences are restored. </w:t>
            </w:r>
          </w:p>
        </w:tc>
        <w:tc>
          <w:tcPr>
            <w:tcW w:w="3635" w:type="dxa"/>
            <w:tcBorders/>
            <w:vAlign w:val="center"/>
          </w:tcPr>
          <w:p>
            <w:pPr>
              <w:pStyle w:val="TableContents"/>
              <w:bidi w:val="0"/>
              <w:spacing w:before="100" w:after="160"/>
              <w:ind w:hanging="0" w:start="0" w:end="0"/>
              <w:jc w:val="start"/>
              <w:rPr/>
            </w:pPr>
            <w:r>
              <w:rPr/>
              <w:t xml:space="preserve">Four properties are stored and restored: </w:t>
            </w:r>
            <w:r>
              <w:rPr>
                <w:rStyle w:val="SourceText"/>
              </w:rPr>
              <w:t>unit</w:t>
            </w:r>
            <w:r>
              <w:rPr/>
              <w:t xml:space="preserve">, </w:t>
            </w:r>
            <w:r>
              <w:rPr>
                <w:rStyle w:val="SourceText"/>
              </w:rPr>
              <w:t>theme</w:t>
            </w:r>
            <w:r>
              <w:rPr/>
              <w:t xml:space="preserve">, </w:t>
            </w:r>
            <w:r>
              <w:rPr>
                <w:rStyle w:val="SourceText"/>
              </w:rPr>
              <w:t>places</w:t>
            </w:r>
            <w:r>
              <w:rPr/>
              <w:t xml:space="preserve">, and </w:t>
            </w:r>
            <w:r>
              <w:rPr>
                <w:rStyle w:val="SourceText"/>
              </w:rPr>
              <w:t>lastPlace</w:t>
            </w:r>
            <w:r>
              <w:rPr/>
              <w:t xml:space="preserve">. Invalid stored JSON is handled safely. </w:t>
            </w:r>
          </w:p>
        </w:tc>
        <w:tc>
          <w:tcPr>
            <w:tcW w:w="1011" w:type="dxa"/>
            <w:tcBorders/>
            <w:vAlign w:val="center"/>
          </w:tcPr>
          <w:p>
            <w:pPr>
              <w:pStyle w:val="TableContents"/>
              <w:bidi w:val="0"/>
              <w:spacing w:before="100" w:after="160"/>
              <w:jc w:val="center"/>
              <w:rPr/>
            </w:pPr>
            <w:r>
              <w:rPr/>
              <w:t>5 / 5</w:t>
            </w:r>
          </w:p>
        </w:tc>
      </w:tr>
      <w:tr>
        <w:trPr/>
        <w:tc>
          <w:tcPr>
            <w:tcW w:w="1518" w:type="dxa"/>
            <w:tcBorders/>
            <w:vAlign w:val="center"/>
          </w:tcPr>
          <w:p>
            <w:pPr>
              <w:pStyle w:val="TableContents"/>
              <w:bidi w:val="0"/>
              <w:spacing w:before="100" w:after="160"/>
              <w:jc w:val="start"/>
              <w:rPr/>
            </w:pPr>
            <w:r>
              <w:rPr>
                <w:rStyle w:val="Strong"/>
              </w:rPr>
              <w:t>Trello board</w:t>
            </w:r>
          </w:p>
        </w:tc>
        <w:tc>
          <w:tcPr>
            <w:tcW w:w="3668" w:type="dxa"/>
            <w:tcBorders/>
            <w:vAlign w:val="center"/>
          </w:tcPr>
          <w:p>
            <w:pPr>
              <w:pStyle w:val="TableContents"/>
              <w:bidi w:val="0"/>
              <w:spacing w:before="100" w:after="160"/>
              <w:jc w:val="start"/>
              <w:rPr/>
            </w:pPr>
            <w:r>
              <w:rPr/>
              <w:t xml:space="preserve">Open the public Fieldnotes Trello board and inspect its Completed list. Each finished card is marked complete and includes a description with links to the implementation and live app. </w:t>
            </w:r>
          </w:p>
        </w:tc>
        <w:tc>
          <w:tcPr>
            <w:tcW w:w="3635" w:type="dxa"/>
            <w:tcBorders/>
            <w:vAlign w:val="center"/>
          </w:tcPr>
          <w:p>
            <w:pPr>
              <w:pStyle w:val="TableContents"/>
              <w:bidi w:val="0"/>
              <w:spacing w:before="100" w:after="160"/>
              <w:ind w:hanging="0" w:start="0" w:end="0"/>
              <w:jc w:val="start"/>
              <w:rPr/>
            </w:pPr>
            <w:r>
              <w:rPr/>
              <w:t xml:space="preserve">The board records project progress and evidence for the Fieldnotes application. </w:t>
            </w:r>
          </w:p>
        </w:tc>
        <w:tc>
          <w:tcPr>
            <w:tcW w:w="1011" w:type="dxa"/>
            <w:tcBorders/>
            <w:vAlign w:val="center"/>
          </w:tcPr>
          <w:p>
            <w:pPr>
              <w:pStyle w:val="TableContents"/>
              <w:bidi w:val="0"/>
              <w:spacing w:before="100" w:after="160"/>
              <w:jc w:val="center"/>
              <w:rPr/>
            </w:pPr>
            <w:r>
              <w:rPr/>
              <w:t>5 / 5</w:t>
            </w:r>
          </w:p>
        </w:tc>
      </w:tr>
      <w:tr>
        <w:trPr/>
        <w:tc>
          <w:tcPr>
            <w:tcW w:w="1518" w:type="dxa"/>
            <w:tcBorders/>
            <w:vAlign w:val="center"/>
          </w:tcPr>
          <w:p>
            <w:pPr>
              <w:pStyle w:val="TableContents"/>
              <w:bidi w:val="0"/>
              <w:spacing w:before="100" w:after="160"/>
              <w:jc w:val="start"/>
              <w:rPr/>
            </w:pPr>
            <w:r>
              <w:rPr>
                <w:rStyle w:val="Strong"/>
              </w:rPr>
              <w:t>Video</w:t>
            </w:r>
          </w:p>
        </w:tc>
        <w:tc>
          <w:tcPr>
            <w:tcW w:w="3668" w:type="dxa"/>
            <w:tcBorders/>
            <w:vAlign w:val="center"/>
          </w:tcPr>
          <w:p>
            <w:pPr>
              <w:pStyle w:val="TableContents"/>
              <w:bidi w:val="0"/>
              <w:spacing w:before="100" w:after="160"/>
              <w:jc w:val="start"/>
              <w:rPr/>
            </w:pPr>
            <w:r>
              <w:rPr/>
              <w:t xml:space="preserve">One public, approximately five-minute video URL is still required. The recording should show your face at the beginning, demonstrate Fieldnotes in the browser, and explain its code. </w:t>
            </w:r>
          </w:p>
        </w:tc>
        <w:tc>
          <w:tcPr>
            <w:tcW w:w="3635" w:type="dxa"/>
            <w:tcBorders/>
            <w:vAlign w:val="center"/>
          </w:tcPr>
          <w:p>
            <w:pPr>
              <w:pStyle w:val="TableContents"/>
              <w:bidi w:val="0"/>
              <w:spacing w:before="100" w:after="160"/>
              <w:ind w:hanging="0" w:start="0" w:end="0"/>
              <w:jc w:val="start"/>
              <w:rPr/>
            </w:pPr>
            <w:r>
              <w:rPr/>
              <w:t xml:space="preserve">Not yet supplied. Record and publish one video, add its direct video URL, and test it in a private browser window. </w:t>
            </w:r>
          </w:p>
        </w:tc>
        <w:tc>
          <w:tcPr>
            <w:tcW w:w="1011" w:type="dxa"/>
            <w:tcBorders/>
            <w:vAlign w:val="center"/>
          </w:tcPr>
          <w:p>
            <w:pPr>
              <w:pStyle w:val="TableContents"/>
              <w:bidi w:val="0"/>
              <w:spacing w:before="100" w:after="160"/>
              <w:jc w:val="center"/>
              <w:rPr/>
            </w:pPr>
            <w:r>
              <w:rPr/>
              <w:t>Pending</w:t>
            </w:r>
          </w:p>
        </w:tc>
      </w:tr>
    </w:tbl>
    <w:p>
      <w:pPr>
        <w:pStyle w:val="Heading3"/>
        <w:numPr>
          <w:ilvl w:val="0"/>
          <w:numId w:val="0"/>
        </w:numPr>
        <w:bidi w:val="0"/>
        <w:spacing w:before="280" w:after="80"/>
        <w:ind w:start="280" w:end="280"/>
        <w:jc w:val="start"/>
        <w:rPr/>
      </w:pPr>
      <w:r>
        <w:rPr/>
        <w:t>Public board and completed-task evidence</w:t>
      </w:r>
    </w:p>
    <w:p>
      <w:pPr>
        <w:pStyle w:val="BodyText"/>
        <w:bidi w:val="0"/>
        <w:spacing w:before="100" w:after="160"/>
        <w:ind w:start="100" w:end="100"/>
        <w:jc w:val="start"/>
        <w:rPr/>
      </w:pPr>
      <w:r>
        <w:rPr/>
        <w:t xml:space="preserve">The board is public. The following completed cards show the finished task, its evidence description, and the Trello completion state: </w:t>
      </w:r>
    </w:p>
    <w:p>
      <w:pPr>
        <w:pStyle w:val="BodyText"/>
        <w:numPr>
          <w:ilvl w:val="0"/>
          <w:numId w:val="2"/>
        </w:numPr>
        <w:tabs>
          <w:tab w:val="clear" w:pos="1134"/>
          <w:tab w:val="left" w:pos="809" w:leader="none"/>
        </w:tabs>
        <w:bidi w:val="0"/>
        <w:spacing w:before="100" w:after="0"/>
        <w:ind w:hanging="283" w:start="809"/>
        <w:jc w:val="start"/>
        <w:rPr/>
      </w:pPr>
      <w:hyperlink r:id="rId5">
        <w:r>
          <w:rPr>
            <w:rStyle w:val="Hyperlink"/>
          </w:rPr>
          <w:t xml:space="preserve">Design responsive Fieldnotes dashboard and visual system </w:t>
        </w:r>
      </w:hyperlink>
    </w:p>
    <w:p>
      <w:pPr>
        <w:pStyle w:val="BodyText"/>
        <w:numPr>
          <w:ilvl w:val="0"/>
          <w:numId w:val="2"/>
        </w:numPr>
        <w:tabs>
          <w:tab w:val="clear" w:pos="1134"/>
          <w:tab w:val="left" w:pos="809" w:leader="none"/>
        </w:tabs>
        <w:bidi w:val="0"/>
        <w:spacing w:before="100" w:after="0"/>
        <w:ind w:hanging="283" w:start="809"/>
        <w:jc w:val="start"/>
        <w:rPr/>
      </w:pPr>
      <w:hyperlink r:id="rId6">
        <w:r>
          <w:rPr>
            <w:rStyle w:val="Hyperlink"/>
          </w:rPr>
          <w:t xml:space="preserve">Integrate Open-Meteo location search and seven-day forecasts </w:t>
        </w:r>
      </w:hyperlink>
    </w:p>
    <w:p>
      <w:pPr>
        <w:pStyle w:val="BodyText"/>
        <w:numPr>
          <w:ilvl w:val="0"/>
          <w:numId w:val="2"/>
        </w:numPr>
        <w:tabs>
          <w:tab w:val="clear" w:pos="1134"/>
          <w:tab w:val="left" w:pos="809" w:leader="none"/>
        </w:tabs>
        <w:bidi w:val="0"/>
        <w:spacing w:before="100" w:after="0"/>
        <w:ind w:hanging="283" w:start="809"/>
        <w:jc w:val="start"/>
        <w:rPr/>
      </w:pPr>
      <w:hyperlink r:id="rId7">
        <w:r>
          <w:rPr>
            <w:rStyle w:val="Hyperlink"/>
          </w:rPr>
          <w:t xml:space="preserve">Add air quality, UV, sunrise and daylight condition cards </w:t>
        </w:r>
      </w:hyperlink>
    </w:p>
    <w:p>
      <w:pPr>
        <w:pStyle w:val="BodyText"/>
        <w:numPr>
          <w:ilvl w:val="0"/>
          <w:numId w:val="2"/>
        </w:numPr>
        <w:tabs>
          <w:tab w:val="clear" w:pos="1134"/>
          <w:tab w:val="left" w:pos="809" w:leader="none"/>
        </w:tabs>
        <w:bidi w:val="0"/>
        <w:spacing w:before="100" w:after="0"/>
        <w:ind w:hanging="283" w:start="809"/>
        <w:jc w:val="start"/>
        <w:rPr/>
      </w:pPr>
      <w:hyperlink r:id="rId8">
        <w:r>
          <w:rPr>
            <w:rStyle w:val="Hyperlink"/>
          </w:rPr>
          <w:t xml:space="preserve">Implement saved places, temperature units and localStorage preferences </w:t>
        </w:r>
      </w:hyperlink>
    </w:p>
    <w:p>
      <w:pPr>
        <w:pStyle w:val="BodyText"/>
        <w:numPr>
          <w:ilvl w:val="0"/>
          <w:numId w:val="2"/>
        </w:numPr>
        <w:tabs>
          <w:tab w:val="clear" w:pos="1134"/>
          <w:tab w:val="left" w:pos="809" w:leader="none"/>
        </w:tabs>
        <w:bidi w:val="0"/>
        <w:spacing w:before="100" w:after="0"/>
        <w:ind w:hanging="283" w:start="809"/>
        <w:jc w:val="start"/>
        <w:rPr/>
      </w:pPr>
      <w:hyperlink r:id="rId9">
        <w:r>
          <w:rPr>
            <w:rStyle w:val="Hyperlink"/>
          </w:rPr>
          <w:t xml:space="preserve">Validate accessibility, responsive layouts, error handling and production build </w:t>
        </w:r>
      </w:hyperlink>
    </w:p>
    <w:p>
      <w:pPr>
        <w:pStyle w:val="BodyText"/>
        <w:numPr>
          <w:ilvl w:val="0"/>
          <w:numId w:val="2"/>
        </w:numPr>
        <w:tabs>
          <w:tab w:val="clear" w:pos="1134"/>
          <w:tab w:val="left" w:pos="809" w:leader="none"/>
        </w:tabs>
        <w:bidi w:val="0"/>
        <w:ind w:hanging="283" w:start="809"/>
        <w:jc w:val="start"/>
        <w:rPr/>
      </w:pPr>
      <w:hyperlink r:id="rId10">
        <w:r>
          <w:rPr>
            <w:rStyle w:val="Hyperlink"/>
          </w:rPr>
          <w:t xml:space="preserve">Publish Fieldnotes to GitHub Pages and verify the public URL </w:t>
        </w:r>
      </w:hyperlink>
    </w:p>
    <w:p>
      <w:pPr>
        <w:pStyle w:val="BodyText"/>
        <w:bidi w:val="0"/>
        <w:spacing w:before="240" w:after="240"/>
        <w:ind w:hanging="0" w:start="240" w:end="240"/>
        <w:jc w:val="start"/>
        <w:rPr/>
      </w:pPr>
      <w:r>
        <w:rPr>
          <w:rStyle w:val="Strong"/>
          <w:bdr w:val="single" w:sz="24" w:space="11" w:color="34825E"/>
          <w:shd w:fill="EDF6EF" w:val="clear"/>
        </w:rPr>
        <w:t>Self-assessment:</w:t>
      </w:r>
      <w:r>
        <w:rPr>
          <w:bdr w:val="single" w:sz="24" w:space="11" w:color="34825E"/>
          <w:shd w:fill="EDF6EF" w:val="clear"/>
        </w:rPr>
        <w:t xml:space="preserve"> Current project evidence is designed to meet the rubric requirements for criteria 1–7 (90 points total). The video criterion is still outstanding; do not treat this as a completed 100-point submission until the public video link has been added and tested. Scores are an estimate, not a grade guarantee. </w:t>
      </w:r>
    </w:p>
    <w:p>
      <w:pPr>
        <w:pStyle w:val="Heading2"/>
        <w:bidi w:val="0"/>
        <w:ind w:hanging="0" w:start="0" w:end="0"/>
        <w:jc w:val="start"/>
        <w:rPr/>
      </w:pPr>
      <w:r>
        <w:rPr/>
        <w:t>Code locations to demonstrate</w:t>
      </w:r>
    </w:p>
    <w:tbl>
      <w:tblPr>
        <w:tblW w:w="9832" w:type="dxa"/>
        <w:jc w:val="start"/>
        <w:tblInd w:w="0" w:type="dxa"/>
        <w:tblLayout w:type="fixed"/>
        <w:tblCellMar>
          <w:top w:w="28" w:type="dxa"/>
          <w:start w:w="28" w:type="dxa"/>
          <w:bottom w:w="28" w:type="dxa"/>
          <w:end w:w="28" w:type="dxa"/>
        </w:tblCellMar>
      </w:tblPr>
      <w:tblGrid>
        <w:gridCol w:w="2035"/>
        <w:gridCol w:w="7797"/>
      </w:tblGrid>
      <w:tr>
        <w:trPr>
          <w:tblHeader w:val="true"/>
        </w:trPr>
        <w:tc>
          <w:tcPr>
            <w:tcW w:w="2035" w:type="dxa"/>
            <w:tcBorders/>
            <w:vAlign w:val="center"/>
          </w:tcPr>
          <w:p>
            <w:pPr>
              <w:pStyle w:val="TableHeading"/>
              <w:suppressLineNumbers/>
              <w:bidi w:val="0"/>
              <w:spacing w:before="100" w:after="160"/>
              <w:jc w:val="start"/>
              <w:rPr/>
            </w:pPr>
            <w:r>
              <w:rPr/>
              <w:t>Code location</w:t>
            </w:r>
          </w:p>
        </w:tc>
        <w:tc>
          <w:tcPr>
            <w:tcW w:w="7797" w:type="dxa"/>
            <w:tcBorders/>
            <w:vAlign w:val="center"/>
          </w:tcPr>
          <w:p>
            <w:pPr>
              <w:pStyle w:val="TableHeading"/>
              <w:suppressLineNumbers/>
              <w:bidi w:val="0"/>
              <w:spacing w:before="100" w:after="160"/>
              <w:jc w:val="start"/>
              <w:rPr/>
            </w:pPr>
            <w:r>
              <w:rPr/>
              <w:t>What to point out in the presentation</w:t>
            </w:r>
          </w:p>
        </w:tc>
      </w:tr>
      <w:tr>
        <w:trPr/>
        <w:tc>
          <w:tcPr>
            <w:tcW w:w="2035" w:type="dxa"/>
            <w:tcBorders/>
            <w:vAlign w:val="center"/>
          </w:tcPr>
          <w:p>
            <w:pPr>
              <w:pStyle w:val="TableContents"/>
              <w:bidi w:val="0"/>
              <w:spacing w:before="100" w:after="160"/>
              <w:jc w:val="start"/>
              <w:rPr/>
            </w:pPr>
            <w:hyperlink r:id="rId11">
              <w:r>
                <w:rPr>
                  <w:rStyle w:val="Hyperlink"/>
                  <w:rFonts w:ascii="Liberation Mono" w:hAnsi="Liberation Mono" w:eastAsia="Noto Sans Mono CJK SC" w:cs="Liberation Mono"/>
                </w:rPr>
                <w:t>src/fieldnotes/api.js</w:t>
              </w:r>
              <w:r>
                <w:rPr>
                  <w:rStyle w:val="Hyperlink"/>
                </w:rPr>
                <w:t xml:space="preserve"> </w:t>
              </w:r>
            </w:hyperlink>
          </w:p>
        </w:tc>
        <w:tc>
          <w:tcPr>
            <w:tcW w:w="7797" w:type="dxa"/>
            <w:tcBorders/>
            <w:vAlign w:val="center"/>
          </w:tcPr>
          <w:p>
            <w:pPr>
              <w:pStyle w:val="TableContents"/>
              <w:bidi w:val="0"/>
              <w:spacing w:before="100" w:after="160"/>
              <w:jc w:val="start"/>
              <w:rPr/>
            </w:pPr>
            <w:r>
              <w:rPr/>
              <w:t xml:space="preserve">URL construction and query parameters; JSON retrieval and HTTP errors; </w:t>
            </w:r>
            <w:r>
              <w:rPr>
                <w:rStyle w:val="SourceText"/>
              </w:rPr>
              <w:t>Promise.allSettled</w:t>
            </w:r>
            <w:r>
              <w:rPr/>
              <w:t xml:space="preserve"> for parallel forecast/air-quality requests; validation of required forecast response data. </w:t>
            </w:r>
          </w:p>
        </w:tc>
      </w:tr>
      <w:tr>
        <w:trPr/>
        <w:tc>
          <w:tcPr>
            <w:tcW w:w="2035" w:type="dxa"/>
            <w:tcBorders/>
            <w:vAlign w:val="center"/>
          </w:tcPr>
          <w:p>
            <w:pPr>
              <w:pStyle w:val="TableContents"/>
              <w:bidi w:val="0"/>
              <w:spacing w:before="100" w:after="160"/>
              <w:jc w:val="start"/>
              <w:rPr/>
            </w:pPr>
            <w:hyperlink r:id="rId12">
              <w:r>
                <w:rPr>
                  <w:rStyle w:val="Hyperlink"/>
                  <w:rFonts w:ascii="Liberation Mono" w:hAnsi="Liberation Mono" w:eastAsia="Noto Sans Mono CJK SC" w:cs="Liberation Mono"/>
                </w:rPr>
                <w:t>src/fieldnotes/app.js</w:t>
              </w:r>
              <w:r>
                <w:rPr>
                  <w:rStyle w:val="Hyperlink"/>
                </w:rPr>
                <w:t xml:space="preserve"> </w:t>
              </w:r>
            </w:hyperlink>
          </w:p>
        </w:tc>
        <w:tc>
          <w:tcPr>
            <w:tcW w:w="7797" w:type="dxa"/>
            <w:tcBorders/>
            <w:vAlign w:val="center"/>
          </w:tcPr>
          <w:p>
            <w:pPr>
              <w:pStyle w:val="TableContents"/>
              <w:bidi w:val="0"/>
              <w:spacing w:before="100" w:after="160"/>
              <w:jc w:val="start"/>
              <w:rPr/>
            </w:pPr>
            <w:r>
              <w:rPr/>
              <w:t xml:space="preserve">State and persisted preferences; accessible status messages; rendering seven daily cards from API arrays; derived daylight and AQI guidance; save/remove; request sequencing through </w:t>
            </w:r>
            <w:r>
              <w:rPr>
                <w:rStyle w:val="SourceText"/>
              </w:rPr>
              <w:t>requestId</w:t>
            </w:r>
            <w:r>
              <w:rPr/>
              <w:t xml:space="preserve">; event listeners. </w:t>
            </w:r>
          </w:p>
        </w:tc>
      </w:tr>
      <w:tr>
        <w:trPr/>
        <w:tc>
          <w:tcPr>
            <w:tcW w:w="2035" w:type="dxa"/>
            <w:tcBorders/>
            <w:vAlign w:val="center"/>
          </w:tcPr>
          <w:p>
            <w:pPr>
              <w:pStyle w:val="TableContents"/>
              <w:bidi w:val="0"/>
              <w:spacing w:before="100" w:after="160"/>
              <w:jc w:val="start"/>
              <w:rPr/>
            </w:pPr>
            <w:hyperlink r:id="rId13">
              <w:r>
                <w:rPr>
                  <w:rStyle w:val="Hyperlink"/>
                  <w:rFonts w:ascii="Liberation Mono" w:hAnsi="Liberation Mono" w:eastAsia="Noto Sans Mono CJK SC" w:cs="Liberation Mono"/>
                </w:rPr>
                <w:t>src/fieldnotes/styles.css</w:t>
              </w:r>
              <w:r>
                <w:rPr>
                  <w:rStyle w:val="Hyperlink"/>
                </w:rPr>
                <w:t xml:space="preserve"> </w:t>
              </w:r>
            </w:hyperlink>
          </w:p>
        </w:tc>
        <w:tc>
          <w:tcPr>
            <w:tcW w:w="7797" w:type="dxa"/>
            <w:tcBorders/>
            <w:vAlign w:val="center"/>
          </w:tcPr>
          <w:p>
            <w:pPr>
              <w:pStyle w:val="TableContents"/>
              <w:bidi w:val="0"/>
              <w:spacing w:before="100" w:after="160"/>
              <w:jc w:val="start"/>
              <w:rPr/>
            </w:pPr>
            <w:r>
              <w:rPr/>
              <w:t xml:space="preserve">Responsive breakpoints, theme variables, hover and focus transitions, keyframe animation, and reduced-motion preferences. </w:t>
            </w:r>
          </w:p>
        </w:tc>
      </w:tr>
      <w:tr>
        <w:trPr/>
        <w:tc>
          <w:tcPr>
            <w:tcW w:w="2035" w:type="dxa"/>
            <w:tcBorders/>
            <w:vAlign w:val="center"/>
          </w:tcPr>
          <w:p>
            <w:pPr>
              <w:pStyle w:val="TableContents"/>
              <w:bidi w:val="0"/>
              <w:spacing w:before="100" w:after="160"/>
              <w:jc w:val="start"/>
              <w:rPr/>
            </w:pPr>
            <w:hyperlink r:id="rId14">
              <w:r>
                <w:rPr>
                  <w:rStyle w:val="Hyperlink"/>
                  <w:rFonts w:ascii="Liberation Mono" w:hAnsi="Liberation Mono" w:eastAsia="Noto Sans Mono CJK SC" w:cs="Liberation Mono"/>
                </w:rPr>
                <w:t>src/fieldnotes/index.html</w:t>
              </w:r>
              <w:r>
                <w:rPr>
                  <w:rStyle w:val="Hyperlink"/>
                </w:rPr>
                <w:t xml:space="preserve"> </w:t>
              </w:r>
            </w:hyperlink>
          </w:p>
        </w:tc>
        <w:tc>
          <w:tcPr>
            <w:tcW w:w="7797" w:type="dxa"/>
            <w:tcBorders/>
            <w:vAlign w:val="center"/>
          </w:tcPr>
          <w:p>
            <w:pPr>
              <w:pStyle w:val="TableContents"/>
              <w:bidi w:val="0"/>
              <w:spacing w:before="100" w:after="160"/>
              <w:jc w:val="start"/>
              <w:rPr/>
            </w:pPr>
            <w:r>
              <w:rPr/>
              <w:t xml:space="preserve">Semantic page landmarks, search controls, accessible live status, forecast/conditions/saved-place sections, and navigation. </w:t>
            </w:r>
          </w:p>
        </w:tc>
      </w:tr>
    </w:tbl>
    <w:p>
      <w:pPr>
        <w:pStyle w:val="Heading2"/>
        <w:numPr>
          <w:ilvl w:val="0"/>
          <w:numId w:val="0"/>
        </w:numPr>
        <w:pBdr/>
        <w:bidi w:val="0"/>
        <w:spacing w:before="460" w:after="160"/>
        <w:ind w:start="460" w:end="460"/>
        <w:jc w:val="start"/>
        <w:rPr/>
      </w:pPr>
      <w:r>
        <w:rPr/>
        <w:t>Verification completed</w:t>
      </w:r>
    </w:p>
    <w:p>
      <w:pPr>
        <w:pStyle w:val="BodyText"/>
        <w:numPr>
          <w:ilvl w:val="0"/>
          <w:numId w:val="3"/>
        </w:numPr>
        <w:tabs>
          <w:tab w:val="clear" w:pos="1134"/>
          <w:tab w:val="left" w:pos="809" w:leader="none"/>
        </w:tabs>
        <w:bidi w:val="0"/>
        <w:spacing w:before="100" w:after="0"/>
        <w:ind w:hanging="283" w:start="809"/>
        <w:jc w:val="start"/>
        <w:rPr/>
      </w:pPr>
      <w:r>
        <w:rPr/>
        <w:t xml:space="preserve">The public Fieldnotes page and its deployed JavaScript and CSS assets returned HTTP 200. </w:t>
      </w:r>
    </w:p>
    <w:p>
      <w:pPr>
        <w:pStyle w:val="BodyText"/>
        <w:numPr>
          <w:ilvl w:val="0"/>
          <w:numId w:val="3"/>
        </w:numPr>
        <w:tabs>
          <w:tab w:val="clear" w:pos="1134"/>
          <w:tab w:val="left" w:pos="809" w:leader="none"/>
        </w:tabs>
        <w:bidi w:val="0"/>
        <w:spacing w:before="100" w:after="0"/>
        <w:ind w:hanging="283" w:start="809"/>
        <w:jc w:val="start"/>
        <w:rPr/>
      </w:pPr>
      <w:r>
        <w:rPr/>
        <w:t xml:space="preserve">A live search for “Zion National Park” returned a matching place; that selection rendered current conditions, seven daily forecasts, air quality, UV, sunrise, and daylight values. </w:t>
      </w:r>
    </w:p>
    <w:p>
      <w:pPr>
        <w:pStyle w:val="BodyText"/>
        <w:numPr>
          <w:ilvl w:val="0"/>
          <w:numId w:val="3"/>
        </w:numPr>
        <w:tabs>
          <w:tab w:val="clear" w:pos="1134"/>
          <w:tab w:val="left" w:pos="809" w:leader="none"/>
        </w:tabs>
        <w:bidi w:val="0"/>
        <w:spacing w:before="100" w:after="0"/>
        <w:ind w:hanging="283" w:start="809"/>
        <w:jc w:val="start"/>
        <w:rPr/>
      </w:pPr>
      <w:r>
        <w:rPr/>
        <w:t xml:space="preserve">Saving a place, switching from Celsius to Fahrenheit, enabling dark theme, and reloading restored the saved place and preferences. Wind speed follows the selected unit: km/h in Celsius and mph in Fahrenheit. </w:t>
      </w:r>
    </w:p>
    <w:p>
      <w:pPr>
        <w:pStyle w:val="BodyText"/>
        <w:numPr>
          <w:ilvl w:val="0"/>
          <w:numId w:val="3"/>
        </w:numPr>
        <w:tabs>
          <w:tab w:val="clear" w:pos="1134"/>
          <w:tab w:val="left" w:pos="809" w:leader="none"/>
        </w:tabs>
        <w:bidi w:val="0"/>
        <w:spacing w:before="100" w:after="0"/>
        <w:ind w:hanging="283" w:start="809"/>
        <w:jc w:val="start"/>
        <w:rPr/>
      </w:pPr>
      <w:r>
        <w:rPr>
          <w:rStyle w:val="SourceText"/>
        </w:rPr>
        <w:t>npm run lint</w:t>
      </w:r>
      <w:r>
        <w:rPr/>
        <w:t xml:space="preserve"> completed successfully. </w:t>
      </w:r>
    </w:p>
    <w:p>
      <w:pPr>
        <w:pStyle w:val="BodyText"/>
        <w:numPr>
          <w:ilvl w:val="0"/>
          <w:numId w:val="3"/>
        </w:numPr>
        <w:tabs>
          <w:tab w:val="clear" w:pos="1134"/>
          <w:tab w:val="left" w:pos="809" w:leader="none"/>
        </w:tabs>
        <w:bidi w:val="0"/>
        <w:spacing w:before="100" w:after="0"/>
        <w:ind w:hanging="283" w:start="809"/>
        <w:jc w:val="start"/>
        <w:rPr/>
      </w:pPr>
      <w:r>
        <w:rPr>
          <w:rStyle w:val="SourceText"/>
        </w:rPr>
        <w:t>npm run build</w:t>
      </w:r>
      <w:r>
        <w:rPr/>
        <w:t xml:space="preserve"> completed successfully. </w:t>
      </w:r>
    </w:p>
    <w:p>
      <w:pPr>
        <w:pStyle w:val="BodyText"/>
        <w:numPr>
          <w:ilvl w:val="0"/>
          <w:numId w:val="3"/>
        </w:numPr>
        <w:tabs>
          <w:tab w:val="clear" w:pos="1134"/>
          <w:tab w:val="left" w:pos="809" w:leader="none"/>
        </w:tabs>
        <w:bidi w:val="0"/>
        <w:ind w:hanging="283" w:start="809"/>
        <w:jc w:val="start"/>
        <w:rPr/>
      </w:pPr>
      <w:r>
        <w:rPr/>
        <w:t xml:space="preserve">GitHub Pages deployment workflow completed successfully: </w:t>
      </w:r>
      <w:hyperlink r:id="rId15">
        <w:r>
          <w:rPr>
            <w:rStyle w:val="Hyperlink"/>
          </w:rPr>
          <w:t xml:space="preserve">workflow run 38540913900 </w:t>
        </w:r>
      </w:hyperlink>
      <w:r>
        <w:rPr/>
        <w:t xml:space="preserve">. </w:t>
      </w:r>
    </w:p>
    <w:p>
      <w:pPr>
        <w:pStyle w:val="Heading2"/>
        <w:numPr>
          <w:ilvl w:val="0"/>
          <w:numId w:val="0"/>
        </w:numPr>
        <w:pBdr/>
        <w:bidi w:val="0"/>
        <w:spacing w:before="460" w:after="160"/>
        <w:ind w:start="460" w:end="460"/>
        <w:jc w:val="start"/>
        <w:rPr/>
      </w:pPr>
      <w:r>
        <w:rPr/>
        <w:t>Five-minute video script and run-through</w:t>
      </w:r>
    </w:p>
    <w:p>
      <w:pPr>
        <w:pStyle w:val="BodyText"/>
        <w:bidi w:val="0"/>
        <w:spacing w:before="100" w:after="160"/>
        <w:ind w:start="100" w:end="100"/>
        <w:jc w:val="start"/>
        <w:rPr/>
      </w:pPr>
      <w:r>
        <w:rPr/>
        <w:t xml:space="preserve">Use this as a spoken outline rather than reading mechanically. Keep your face visible during the introduction, share your screen for the demonstration, and use the code sections to explain the named logic. </w:t>
      </w:r>
    </w:p>
    <w:tbl>
      <w:tblPr>
        <w:tblW w:w="9832" w:type="dxa"/>
        <w:jc w:val="start"/>
        <w:tblInd w:w="0" w:type="dxa"/>
        <w:tblLayout w:type="fixed"/>
        <w:tblCellMar>
          <w:top w:w="28" w:type="dxa"/>
          <w:start w:w="28" w:type="dxa"/>
          <w:bottom w:w="28" w:type="dxa"/>
          <w:end w:w="28" w:type="dxa"/>
        </w:tblCellMar>
      </w:tblPr>
      <w:tblGrid>
        <w:gridCol w:w="671"/>
        <w:gridCol w:w="9161"/>
      </w:tblGrid>
      <w:tr>
        <w:trPr>
          <w:tblHeader w:val="true"/>
        </w:trPr>
        <w:tc>
          <w:tcPr>
            <w:tcW w:w="671" w:type="dxa"/>
            <w:tcBorders/>
            <w:vAlign w:val="center"/>
          </w:tcPr>
          <w:p>
            <w:pPr>
              <w:pStyle w:val="TableHeading"/>
              <w:bidi w:val="0"/>
              <w:spacing w:before="100" w:after="160"/>
              <w:ind w:hanging="0" w:start="0" w:end="0"/>
              <w:jc w:val="start"/>
              <w:rPr/>
            </w:pPr>
            <w:r>
              <w:rPr/>
              <w:t>Time</w:t>
            </w:r>
          </w:p>
        </w:tc>
        <w:tc>
          <w:tcPr>
            <w:tcW w:w="9161" w:type="dxa"/>
            <w:tcBorders/>
            <w:vAlign w:val="center"/>
          </w:tcPr>
          <w:p>
            <w:pPr>
              <w:pStyle w:val="TableHeading"/>
              <w:suppressLineNumbers/>
              <w:bidi w:val="0"/>
              <w:spacing w:before="100" w:after="160"/>
              <w:jc w:val="start"/>
              <w:rPr/>
            </w:pPr>
            <w:r>
              <w:rPr/>
              <w:t>On screen and spoken script</w:t>
            </w:r>
          </w:p>
        </w:tc>
      </w:tr>
      <w:tr>
        <w:trPr/>
        <w:tc>
          <w:tcPr>
            <w:tcW w:w="671" w:type="dxa"/>
            <w:tcBorders/>
            <w:vAlign w:val="center"/>
          </w:tcPr>
          <w:p>
            <w:pPr>
              <w:pStyle w:val="TableContents"/>
              <w:bidi w:val="0"/>
              <w:spacing w:before="100" w:after="160"/>
              <w:jc w:val="start"/>
              <w:rPr/>
            </w:pPr>
            <w:r>
              <w:rPr/>
              <w:t>0:00–0:30</w:t>
            </w:r>
          </w:p>
        </w:tc>
        <w:tc>
          <w:tcPr>
            <w:tcW w:w="9161" w:type="dxa"/>
            <w:tcBorders/>
            <w:vAlign w:val="center"/>
          </w:tcPr>
          <w:p>
            <w:pPr>
              <w:pStyle w:val="TableContents"/>
              <w:bidi w:val="0"/>
              <w:spacing w:before="100" w:after="160"/>
              <w:jc w:val="start"/>
              <w:rPr/>
            </w:pPr>
            <w:r>
              <w:rPr>
                <w:rStyle w:val="Strong"/>
              </w:rPr>
              <w:t>Camera on; introduce the project.</w:t>
            </w:r>
            <w:r>
              <w:rPr/>
              <w:t xml:space="preserve"> “Hello, my name is Ronald Ongom, and this is my WDD 330 final project, Fieldnotes. It helps people check weather and outdoor conditions before visiting a place. I’ll demonstrate the live application and explain how its API integration, JavaScript, and CSS make it work.” </w:t>
            </w:r>
          </w:p>
        </w:tc>
      </w:tr>
      <w:tr>
        <w:trPr/>
        <w:tc>
          <w:tcPr>
            <w:tcW w:w="671" w:type="dxa"/>
            <w:tcBorders/>
            <w:vAlign w:val="center"/>
          </w:tcPr>
          <w:p>
            <w:pPr>
              <w:pStyle w:val="TableContents"/>
              <w:bidi w:val="0"/>
              <w:spacing w:before="100" w:after="160"/>
              <w:jc w:val="start"/>
              <w:rPr/>
            </w:pPr>
            <w:r>
              <w:rPr/>
              <w:t>0:30–1:50</w:t>
            </w:r>
          </w:p>
        </w:tc>
        <w:tc>
          <w:tcPr>
            <w:tcW w:w="9161" w:type="dxa"/>
            <w:tcBorders/>
            <w:vAlign w:val="center"/>
          </w:tcPr>
          <w:p>
            <w:pPr>
              <w:pStyle w:val="TableContents"/>
              <w:bidi w:val="0"/>
              <w:spacing w:before="100" w:after="160"/>
              <w:jc w:val="start"/>
              <w:rPr/>
            </w:pPr>
            <w:r>
              <w:rPr>
                <w:rStyle w:val="Strong"/>
              </w:rPr>
              <w:t>Show the live app; search for Zion National Park.</w:t>
            </w:r>
            <w:r>
              <w:rPr/>
              <w:t xml:space="preserve"> “I’ll search for Zion National Park and select the matching place. The current-conditions card and seven-day forecast now show data for this location. Each day includes its weather, high and low temperatures, and chance of rain. In ‘Know before you go,’ Fieldnotes also displays sunrise, air quality, UV index, and daylight duration. These values come from API responses, so searching for another place updates the forecast. If air quality is unavailable, the weather forecast can still load.” </w:t>
            </w:r>
          </w:p>
        </w:tc>
      </w:tr>
      <w:tr>
        <w:trPr/>
        <w:tc>
          <w:tcPr>
            <w:tcW w:w="671" w:type="dxa"/>
            <w:tcBorders/>
            <w:vAlign w:val="center"/>
          </w:tcPr>
          <w:p>
            <w:pPr>
              <w:pStyle w:val="TableContents"/>
              <w:bidi w:val="0"/>
              <w:spacing w:before="100" w:after="160"/>
              <w:jc w:val="start"/>
              <w:rPr/>
            </w:pPr>
            <w:r>
              <w:rPr/>
              <w:t>1:50–2:40</w:t>
            </w:r>
          </w:p>
        </w:tc>
        <w:tc>
          <w:tcPr>
            <w:tcW w:w="9161" w:type="dxa"/>
            <w:tcBorders/>
            <w:vAlign w:val="center"/>
          </w:tcPr>
          <w:p>
            <w:pPr>
              <w:pStyle w:val="TableContents"/>
              <w:bidi w:val="0"/>
              <w:spacing w:before="100" w:after="160"/>
              <w:jc w:val="start"/>
              <w:rPr/>
            </w:pPr>
            <w:r>
              <w:rPr>
                <w:rStyle w:val="Strong"/>
              </w:rPr>
              <w:t>Show the interactions and localStorage behavior.</w:t>
            </w:r>
            <w:r>
              <w:rPr/>
              <w:t xml:space="preserve"> “I can save this place with the star and return to it from my shortlist. I can switch from Celsius to Fahrenheit; the wind display changes from kilometres per hour to miles per hour along with the temperature display. I can also switch the color theme and refresh the forecast. The saved place, selected unit, theme, and last viewed place are stored in this browser. After reload, those preferences are restored.” </w:t>
            </w:r>
          </w:p>
        </w:tc>
      </w:tr>
      <w:tr>
        <w:trPr/>
        <w:tc>
          <w:tcPr>
            <w:tcW w:w="671" w:type="dxa"/>
            <w:tcBorders/>
            <w:vAlign w:val="center"/>
          </w:tcPr>
          <w:p>
            <w:pPr>
              <w:pStyle w:val="TableContents"/>
              <w:bidi w:val="0"/>
              <w:spacing w:before="100" w:after="160"/>
              <w:jc w:val="start"/>
              <w:rPr/>
            </w:pPr>
            <w:r>
              <w:rPr/>
              <w:t>2:40–3:30</w:t>
            </w:r>
          </w:p>
        </w:tc>
        <w:tc>
          <w:tcPr>
            <w:tcW w:w="9161" w:type="dxa"/>
            <w:tcBorders/>
            <w:vAlign w:val="center"/>
          </w:tcPr>
          <w:p>
            <w:pPr>
              <w:pStyle w:val="TableContents"/>
              <w:bidi w:val="0"/>
              <w:spacing w:before="100" w:after="160"/>
              <w:jc w:val="start"/>
              <w:rPr/>
            </w:pPr>
            <w:r>
              <w:rPr>
                <w:rStyle w:val="Strong"/>
              </w:rPr>
              <w:t xml:space="preserve">Show </w:t>
            </w:r>
            <w:r>
              <w:rPr>
                <w:rStyle w:val="SourceText"/>
              </w:rPr>
              <w:t>src/fieldnotes/api.js</w:t>
            </w:r>
            <w:r>
              <w:rPr>
                <w:rStyle w:val="Strong"/>
              </w:rPr>
              <w:t>.</w:t>
            </w:r>
            <w:r>
              <w:rPr/>
              <w:t xml:space="preserve"> “The API integration layer uses three Open-Meteo endpoints: Geocoding for place search, Forecast for current and daily weather, and Air Quality for AQI data. In </w:t>
            </w:r>
            <w:r>
              <w:rPr>
                <w:rStyle w:val="SourceText"/>
              </w:rPr>
              <w:t>getTripConditions</w:t>
            </w:r>
            <w:r>
              <w:rPr/>
              <w:t xml:space="preserve">, </w:t>
            </w:r>
            <w:r>
              <w:rPr>
                <w:rStyle w:val="SourceText"/>
              </w:rPr>
              <w:t>Promise.allSettled</w:t>
            </w:r>
            <w:r>
              <w:rPr/>
              <w:t xml:space="preserve"> starts the forecast and air-quality requests concurrently. I check the forecast result separately: if the forecast fails, the app reports an error; if only air quality fails, the forecast remains available and the AQI is treated as unavailable. The fetch helper also checks HTTP errors and applies a timeout.” </w:t>
            </w:r>
          </w:p>
        </w:tc>
      </w:tr>
      <w:tr>
        <w:trPr/>
        <w:tc>
          <w:tcPr>
            <w:tcW w:w="671" w:type="dxa"/>
            <w:tcBorders/>
            <w:vAlign w:val="center"/>
          </w:tcPr>
          <w:p>
            <w:pPr>
              <w:pStyle w:val="TableContents"/>
              <w:bidi w:val="0"/>
              <w:spacing w:before="100" w:after="160"/>
              <w:jc w:val="start"/>
              <w:rPr/>
            </w:pPr>
            <w:r>
              <w:rPr/>
              <w:t>3:30–4:20</w:t>
            </w:r>
          </w:p>
        </w:tc>
        <w:tc>
          <w:tcPr>
            <w:tcW w:w="9161" w:type="dxa"/>
            <w:tcBorders/>
            <w:vAlign w:val="center"/>
          </w:tcPr>
          <w:p>
            <w:pPr>
              <w:pStyle w:val="TableContents"/>
              <w:bidi w:val="0"/>
              <w:spacing w:before="100" w:after="160"/>
              <w:jc w:val="start"/>
              <w:rPr/>
            </w:pPr>
            <w:r>
              <w:rPr>
                <w:rStyle w:val="Strong"/>
              </w:rPr>
              <w:t xml:space="preserve">Show </w:t>
            </w:r>
            <w:r>
              <w:rPr>
                <w:rStyle w:val="SourceText"/>
              </w:rPr>
              <w:t>src/fieldnotes/app.js</w:t>
            </w:r>
            <w:r>
              <w:rPr>
                <w:rStyle w:val="Strong"/>
              </w:rPr>
              <w:t>.</w:t>
            </w:r>
            <w:r>
              <w:rPr/>
              <w:t xml:space="preserve"> “This file turns the returned JSON into the interface. The daily arrays are mapped into seven forecast cards, and current and daily data are used for the condition details. The </w:t>
            </w:r>
            <w:r>
              <w:rPr>
                <w:rStyle w:val="SourceText"/>
              </w:rPr>
              <w:t>requestId</w:t>
            </w:r>
            <w:r>
              <w:rPr/>
              <w:t xml:space="preserve"> protects the page when requests overlap: every new forecast request increments the ID, and after each asynchronous request the code compares its saved ID with the current one. If they differ, that response is stale and is ignored, so an older search cannot overwrite a newer result.” </w:t>
            </w:r>
          </w:p>
        </w:tc>
      </w:tr>
      <w:tr>
        <w:trPr/>
        <w:tc>
          <w:tcPr>
            <w:tcW w:w="671" w:type="dxa"/>
            <w:tcBorders/>
            <w:vAlign w:val="center"/>
          </w:tcPr>
          <w:p>
            <w:pPr>
              <w:pStyle w:val="TableContents"/>
              <w:bidi w:val="0"/>
              <w:spacing w:before="100" w:after="160"/>
              <w:jc w:val="start"/>
              <w:rPr/>
            </w:pPr>
            <w:r>
              <w:rPr/>
              <w:t>4:20–4:45</w:t>
            </w:r>
          </w:p>
        </w:tc>
        <w:tc>
          <w:tcPr>
            <w:tcW w:w="9161" w:type="dxa"/>
            <w:tcBorders/>
            <w:vAlign w:val="center"/>
          </w:tcPr>
          <w:p>
            <w:pPr>
              <w:pStyle w:val="TableContents"/>
              <w:bidi w:val="0"/>
              <w:spacing w:before="100" w:after="160"/>
              <w:jc w:val="start"/>
              <w:rPr/>
            </w:pPr>
            <w:r>
              <w:rPr>
                <w:rStyle w:val="Strong"/>
              </w:rPr>
              <w:t xml:space="preserve">Show </w:t>
            </w:r>
            <w:r>
              <w:rPr>
                <w:rStyle w:val="SourceText"/>
              </w:rPr>
              <w:t>src/fieldnotes/styles.css</w:t>
            </w:r>
            <w:r>
              <w:rPr>
                <w:rStyle w:val="Strong"/>
              </w:rPr>
              <w:t>.</w:t>
            </w:r>
            <w:r>
              <w:rPr/>
              <w:t xml:space="preserve"> “The CSS provides responsive layouts, light and dark themes, hover and focus feedback, and loading and entrance animations. Reduced-motion preferences are supported for visitors who prefer less animation.” </w:t>
            </w:r>
          </w:p>
        </w:tc>
      </w:tr>
      <w:tr>
        <w:trPr/>
        <w:tc>
          <w:tcPr>
            <w:tcW w:w="671" w:type="dxa"/>
            <w:tcBorders/>
            <w:vAlign w:val="center"/>
          </w:tcPr>
          <w:p>
            <w:pPr>
              <w:pStyle w:val="TableContents"/>
              <w:bidi w:val="0"/>
              <w:spacing w:before="100" w:after="160"/>
              <w:jc w:val="start"/>
              <w:rPr/>
            </w:pPr>
            <w:r>
              <w:rPr/>
              <w:t>4:45–5:00</w:t>
            </w:r>
          </w:p>
        </w:tc>
        <w:tc>
          <w:tcPr>
            <w:tcW w:w="9161" w:type="dxa"/>
            <w:tcBorders/>
            <w:vAlign w:val="center"/>
          </w:tcPr>
          <w:p>
            <w:pPr>
              <w:pStyle w:val="TableContents"/>
              <w:bidi w:val="0"/>
              <w:spacing w:before="100" w:after="160"/>
              <w:jc w:val="start"/>
              <w:rPr/>
            </w:pPr>
            <w:r>
              <w:rPr>
                <w:rStyle w:val="Strong"/>
              </w:rPr>
              <w:t>Show the public Trello board, then close.</w:t>
            </w:r>
            <w:r>
              <w:rPr/>
              <w:t xml:space="preserve"> “My public Fieldnotes Trello board records the project tasks and links to their evidence. Here are the live app, source repository, and board. Thank you for watching.” </w:t>
            </w:r>
          </w:p>
        </w:tc>
      </w:tr>
    </w:tbl>
    <w:p>
      <w:pPr>
        <w:pStyle w:val="BodyTextsmall"/>
        <w:bidi w:val="0"/>
        <w:spacing w:before="100" w:after="160"/>
        <w:jc w:val="start"/>
        <w:rPr/>
      </w:pPr>
      <w:r>
        <w:rPr/>
        <w:t xml:space="preserve">Before submitting: publish the recording with public access, test its URL in a private/incognito window, replace the pending-video note in this document with the direct URL to one video (not a folder), and upload the final document to Canvas. </w:t>
      </w:r>
    </w:p>
    <w:sectPr>
      <w:type w:val="nextPage"/>
      <w:pgSz w:w="11906" w:h="16838"/>
      <w:pgMar w:left="1037" w:right="1037" w:gutter="0" w:header="0" w:top="1037" w:footer="0" w:bottom="1037"/>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altName w:val="Arial"/>
    <w:charset w:val="01" w:characterSet="utf-8"/>
    <w:family w:val="auto"/>
    <w:pitch w:val="default"/>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1"/>
    </w:pPr>
    <w:rPr>
      <w:rFonts w:ascii="Aptos;Arial;sans-serif" w:hAnsi="Aptos;Arial;sans-serif" w:eastAsia="Aptos;Arial;sans-serif" w:cs="Aptos;Arial;sans-serif"/>
      <w:color w:val="23332D"/>
      <w:sz w:val="20"/>
      <w:szCs w:val="20"/>
      <w:lang w:val="en-US" w:eastAsia="zh-CN" w:bidi="hi-IN"/>
    </w:rPr>
  </w:style>
  <w:style w:type="paragraph" w:styleId="Heading1">
    <w:name w:val="heading 1"/>
    <w:basedOn w:val="Heading"/>
    <w:next w:val="BodyText"/>
    <w:qFormat/>
    <w:pPr>
      <w:spacing w:before="240" w:after="100"/>
    </w:pPr>
    <w:rPr>
      <w:b/>
      <w:bCs/>
      <w:color w:val="174D3A"/>
      <w:sz w:val="52"/>
      <w:szCs w:val="52"/>
    </w:rPr>
  </w:style>
  <w:style w:type="paragraph" w:styleId="Heading2">
    <w:name w:val="heading 2"/>
    <w:basedOn w:val="Heading"/>
    <w:next w:val="BodyText"/>
    <w:qFormat/>
    <w:pPr>
      <w:numPr>
        <w:ilvl w:val="0"/>
        <w:numId w:val="0"/>
      </w:numPr>
      <w:pBdr>
        <w:bottom w:val="single" w:sz="2" w:space="4" w:color="CAD9CF"/>
      </w:pBdr>
      <w:spacing w:before="460" w:after="160"/>
      <w:ind w:start="460" w:end="460"/>
      <w:outlineLvl w:val="1"/>
    </w:pPr>
    <w:rPr>
      <w:rFonts w:ascii="Liberation Serif" w:hAnsi="Liberation Serif" w:eastAsia="Noto Serif CJK SC" w:cs="Noto Sans Devanagari"/>
      <w:b/>
      <w:bCs/>
      <w:color w:val="174D3A"/>
      <w:sz w:val="32"/>
      <w:szCs w:val="32"/>
    </w:rPr>
  </w:style>
  <w:style w:type="paragraph" w:styleId="Heading3">
    <w:name w:val="heading 3"/>
    <w:basedOn w:val="Heading"/>
    <w:next w:val="BodyText"/>
    <w:qFormat/>
    <w:pPr>
      <w:numPr>
        <w:ilvl w:val="0"/>
        <w:numId w:val="0"/>
      </w:numPr>
      <w:spacing w:before="280" w:after="80"/>
      <w:ind w:start="280" w:end="280"/>
      <w:outlineLvl w:val="2"/>
    </w:pPr>
    <w:rPr>
      <w:rFonts w:ascii="Liberation Serif" w:hAnsi="Liberation Serif" w:eastAsia="Noto Serif CJK SC" w:cs="Noto Sans Devanagari"/>
      <w:b/>
      <w:bCs/>
      <w:color w:val="174D3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76B50"/>
      <w:u w:val="single"/>
    </w:rPr>
  </w:style>
  <w:style w:type="character" w:styleId="FollowedHyperlink">
    <w:name w:val="FollowedHyperlink"/>
    <w:rPr>
      <w:color w:val="176B5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00" w:after="160"/>
      <w:ind w:start="100" w:end="100"/>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eyebrow">
    <w:name w:val="Body Text.eyebrow"/>
    <w:basedOn w:val="BodyText"/>
    <w:qFormat/>
    <w:pPr/>
    <w:rPr>
      <w:b/>
      <w:bCs/>
      <w:caps/>
      <w:color w:val="A35E2C"/>
      <w:spacing w:val="30"/>
      <w:sz w:val="18"/>
      <w:szCs w:val="18"/>
    </w:rPr>
  </w:style>
  <w:style w:type="paragraph" w:styleId="BodyTextsubtitle">
    <w:name w:val="Body Text.subtitle"/>
    <w:basedOn w:val="BodyText"/>
    <w:qFormat/>
    <w:pPr/>
    <w:rPr>
      <w:color w:val="5C7066"/>
      <w:sz w:val="28"/>
      <w:szCs w:val="28"/>
    </w:rPr>
  </w:style>
  <w:style w:type="paragraph" w:styleId="TableHeading">
    <w:name w:val="Table Heading"/>
    <w:basedOn w:val="TableContents"/>
    <w:qFormat/>
    <w:pPr>
      <w:suppressLineNumbers/>
      <w:jc w:val="start"/>
    </w:pPr>
    <w:rPr>
      <w:b/>
      <w:bCs/>
      <w:color w:val="FFFFFF"/>
    </w:rPr>
  </w:style>
  <w:style w:type="paragraph" w:styleId="BodyTextsmall">
    <w:name w:val="Body Text.small"/>
    <w:basedOn w:val="BodyText"/>
    <w:qFormat/>
    <w:pPr/>
    <w:rPr>
      <w:color w:val="5C7066"/>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onaldongom.github.io/wdd330-sleepoutside-team11/fieldnotes/" TargetMode="External"/><Relationship Id="rId3" Type="http://schemas.openxmlformats.org/officeDocument/2006/relationships/hyperlink" Target="https://github.com/RonaldOngom/wdd330-sleepoutside-team11" TargetMode="External"/><Relationship Id="rId4" Type="http://schemas.openxmlformats.org/officeDocument/2006/relationships/hyperlink" Target="https://trello.com/b/v8NAFHeJ/fieldnotes-outdoor-trip-planner" TargetMode="External"/><Relationship Id="rId5" Type="http://schemas.openxmlformats.org/officeDocument/2006/relationships/hyperlink" Target="https://trello.com/c/TVrYRKtS/1-design-responsive-fieldnotes-dashboard-and-visual-system" TargetMode="External"/><Relationship Id="rId6" Type="http://schemas.openxmlformats.org/officeDocument/2006/relationships/hyperlink" Target="https://trello.com/c/zmOYEfML/2-integrate-open-meteo-location-search-and-seven-day-forecasts" TargetMode="External"/><Relationship Id="rId7" Type="http://schemas.openxmlformats.org/officeDocument/2006/relationships/hyperlink" Target="https://trello.com/c/y42AxHAI/3-add-air-quality-uv-sunrise-and-daylight-condition-cards" TargetMode="External"/><Relationship Id="rId8" Type="http://schemas.openxmlformats.org/officeDocument/2006/relationships/hyperlink" Target="https://trello.com/c/m0ZN7lHg/4-implement-saved-places-temperature-units-and-localstorage-preferences" TargetMode="External"/><Relationship Id="rId9" Type="http://schemas.openxmlformats.org/officeDocument/2006/relationships/hyperlink" Target="https://trello.com/c/jyiSafHh/5-validate-accessibility-responsive-layouts-error-handling-and-production-build" TargetMode="External"/><Relationship Id="rId10" Type="http://schemas.openxmlformats.org/officeDocument/2006/relationships/hyperlink" Target="https://trello.com/c/FGCdeC5N/6-publish-fieldnotes-to-github-pages-and-verify-the-public-url" TargetMode="External"/><Relationship Id="rId11" Type="http://schemas.openxmlformats.org/officeDocument/2006/relationships/hyperlink" Target="https://github.com/RonaldOngom/wdd330-sleepoutside-team11/blob/main/src/fieldnotes/api.js" TargetMode="External"/><Relationship Id="rId12" Type="http://schemas.openxmlformats.org/officeDocument/2006/relationships/hyperlink" Target="https://github.com/RonaldOngom/wdd330-sleepoutside-team11/blob/main/src/fieldnotes/app.js" TargetMode="External"/><Relationship Id="rId13" Type="http://schemas.openxmlformats.org/officeDocument/2006/relationships/hyperlink" Target="https://github.com/RonaldOngom/wdd330-sleepoutside-team11/blob/main/src/fieldnotes/styles.css" TargetMode="External"/><Relationship Id="rId14" Type="http://schemas.openxmlformats.org/officeDocument/2006/relationships/hyperlink" Target="https://github.com/RonaldOngom/wdd330-sleepoutside-team11/blob/main/src/fieldnotes/index.html" TargetMode="External"/><Relationship Id="rId15" Type="http://schemas.openxmlformats.org/officeDocument/2006/relationships/hyperlink" Target="https://github.com/RonaldOngom/wdd330-sleepoutside-team11/actions/runs/38540913900"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ages>1</Pages>
  <Words>1430</Words>
  <Characters>8434</Characters>
  <CharactersWithSpaces>9799</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Fieldnotes | WDD 330 Skills Development Assessment</dc:title>
</cp:coreProperties>
</file>

<file path=docProps/custom.xml><?xml version="1.0" encoding="utf-8"?>
<Properties xmlns="http://schemas.openxmlformats.org/officeDocument/2006/custom-properties" xmlns:vt="http://schemas.openxmlformats.org/officeDocument/2006/docPropsVTypes"/>
</file>