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2E74B5"/>
          <w:sz w:val="20"/>
        </w:rPr>
        <w:t>TURUNDUSKANALITE ANALÜÜS</w:t>
      </w:r>
    </w:p>
    <w:p>
      <w:pPr>
        <w:spacing w:after="120"/>
      </w:pPr>
      <w:r>
        <w:rPr>
          <w:rFonts w:ascii="Calibri" w:hAnsi="Calibri"/>
          <w:b/>
          <w:i w:val="0"/>
          <w:color w:val="0B2545"/>
          <w:sz w:val="48"/>
        </w:rPr>
        <w:t>SPS Grupp OÜ Google Ads konto audit</w:t>
      </w:r>
    </w:p>
    <w:p>
      <w:pPr>
        <w:spacing w:after="280"/>
      </w:pPr>
      <w:r>
        <w:rPr>
          <w:rFonts w:ascii="Calibri" w:hAnsi="Calibri"/>
          <w:b w:val="0"/>
          <w:i w:val="0"/>
          <w:color w:val="5F6976"/>
          <w:sz w:val="26"/>
        </w:rPr>
        <w:t>Kampaaniastrateegia, reklaamsõnumid ja kanalivaliku soovitused</w:t>
      </w:r>
    </w:p>
    <w:p>
      <w:pPr>
        <w:spacing w:after="40"/>
      </w:pPr>
      <w:r>
        <w:rPr>
          <w:rFonts w:ascii="Calibri" w:hAnsi="Calibri"/>
          <w:b/>
          <w:i w:val="0"/>
          <w:sz w:val="21"/>
        </w:rPr>
        <w:t xml:space="preserve">Analüüsitav konto: </w:t>
      </w:r>
      <w:r>
        <w:rPr>
          <w:rFonts w:ascii="Calibri" w:hAnsi="Calibri"/>
          <w:b w:val="0"/>
          <w:i w:val="0"/>
          <w:sz w:val="21"/>
        </w:rPr>
        <w:t>SPS Grupp OÜ - Search, 396-728-1610</w:t>
      </w:r>
    </w:p>
    <w:p>
      <w:pPr>
        <w:spacing w:after="40"/>
      </w:pPr>
      <w:r>
        <w:rPr>
          <w:rFonts w:ascii="Calibri" w:hAnsi="Calibri"/>
          <w:b/>
          <w:i w:val="0"/>
          <w:sz w:val="21"/>
        </w:rPr>
        <w:t xml:space="preserve">Andmeperiood: </w:t>
      </w:r>
      <w:r>
        <w:rPr>
          <w:rFonts w:ascii="Calibri" w:hAnsi="Calibri"/>
          <w:b w:val="0"/>
          <w:i w:val="0"/>
          <w:sz w:val="21"/>
        </w:rPr>
        <w:t>2. juuni - 1. juuli 2026</w:t>
      </w:r>
    </w:p>
    <w:p>
      <w:pPr>
        <w:spacing w:after="40"/>
      </w:pPr>
      <w:r>
        <w:rPr>
          <w:rFonts w:ascii="Calibri" w:hAnsi="Calibri"/>
          <w:b/>
          <w:i w:val="0"/>
          <w:sz w:val="21"/>
        </w:rPr>
        <w:t xml:space="preserve">Raporti kuupäev: </w:t>
      </w:r>
      <w:r>
        <w:rPr>
          <w:rFonts w:ascii="Calibri" w:hAnsi="Calibri"/>
          <w:b w:val="0"/>
          <w:i w:val="0"/>
          <w:sz w:val="21"/>
        </w:rPr>
        <w:t>2. juuli 2026</w:t>
      </w:r>
    </w:p>
    <w:p>
      <w:pPr>
        <w:spacing w:after="40"/>
      </w:pPr>
      <w:r>
        <w:rPr>
          <w:rFonts w:ascii="Calibri" w:hAnsi="Calibri"/>
          <w:b/>
          <w:i w:val="0"/>
          <w:sz w:val="21"/>
        </w:rPr>
        <w:t xml:space="preserve">Analüüsi tüüp: </w:t>
      </w:r>
      <w:r>
        <w:rPr>
          <w:rFonts w:ascii="Calibri" w:hAnsi="Calibri"/>
          <w:b w:val="0"/>
          <w:i w:val="0"/>
          <w:sz w:val="21"/>
        </w:rPr>
        <w:t>Google Ads konto kirjutuskaitstud audit; kontol muudatusi ei tehtud</w:t>
      </w:r>
    </w:p>
    <w:p>
      <w:pPr>
        <w:spacing w:before="80" w:after="200" w:line="264" w:lineRule="auto"/>
        <w:ind w:left="259" w:right="259"/>
        <w:shd w:fill="E8EEF5"/>
      </w:pPr>
      <w:r>
        <w:rPr>
          <w:rFonts w:ascii="Calibri" w:hAnsi="Calibri"/>
          <w:b/>
          <w:i w:val="0"/>
          <w:color w:val="0B2545"/>
          <w:sz w:val="22"/>
        </w:rPr>
        <w:t xml:space="preserve">Põhijäreldus. </w:t>
      </w:r>
      <w:r>
        <w:rPr>
          <w:rFonts w:ascii="Calibri" w:hAnsi="Calibri"/>
          <w:b w:val="0"/>
          <w:i w:val="0"/>
          <w:color w:val="0B2545"/>
          <w:sz w:val="22"/>
        </w:rPr>
        <w:t>Google Search peab jääma SPS Grupi peamiseks tasuliseks kanaliks. Enne suurema eelarve suunamist Metasse, raadiosse või välireklaami tuleb korrastada konversioonide mõõtmine, sest praegune 38,57 euro suurune raporteeritud konversioonikulu sisaldab lisaks vormidele ka e-posti ja telefoni klikke.</w:t>
      </w:r>
    </w:p>
    <w:p>
      <w:pPr>
        <w:pStyle w:val="Heading1"/>
        <w:keepNext/>
      </w:pPr>
      <w:r>
        <w:t>1. Juhtkokkuvõte</w:t>
      </w:r>
    </w:p>
    <w:p>
      <w:pPr/>
      <w:r>
        <w:rPr>
          <w:rFonts w:ascii="Calibri" w:hAnsi="Calibri"/>
          <w:b w:val="0"/>
          <w:i w:val="0"/>
          <w:sz w:val="22"/>
        </w:rPr>
        <w:t>Konto toob valdavalt asjakohast ja kõrge ostukavatsusega liiklust. Otsingureklaami ligikaudu 60% näitamiste osakaal tähendab, et Google'is on veel kasvuruumi ning laia katvusega meediakanalitele ei ole põhjust kiirustada.</w:t>
      </w:r>
    </w:p>
    <w:p>
      <w:pPr/>
      <w:r>
        <w:rPr>
          <w:rFonts w:ascii="Calibri" w:hAnsi="Calibri"/>
          <w:b w:val="0"/>
          <w:i w:val="0"/>
          <w:sz w:val="22"/>
        </w:rPr>
        <w:t>Samas ei kirjelda konto praegune 17,91 konversiooni tegelike müügivihjete arvu. Konto registreeris kuus vormi saatmist ning 11,91 e-posti või telefoninumbri klikki/kopeerimist. Klikk kontaktandmetel ei võrdu veel kvalifitseeritud päringu, hinnapakkumise ega lepinguga.</w:t>
      </w:r>
    </w:p>
    <w:p>
      <w:pPr/>
      <w:r>
        <w:rPr>
          <w:rFonts w:ascii="Calibri" w:hAnsi="Calibri"/>
          <w:b w:val="0"/>
          <w:i w:val="0"/>
          <w:sz w:val="22"/>
        </w:rPr>
        <w:t>Kõige mõistlikum tegevusjärjekord on: mõõtmine korda, kampaaniastruktuur ja reklaamide vastavus otsingukavatsusele paremaks, alles seejärel kontrollitud testid teistes kanalites.</w:t>
      </w:r>
    </w:p>
    <w:p>
      <w:pPr>
        <w:pStyle w:val="Heading1"/>
        <w:keepNext/>
      </w:pPr>
      <w:r>
        <w:t>2. Viimase 30 päeva tulemused</w:t>
      </w:r>
    </w:p>
    <w:tbl>
      <w:tblPr>
        <w:tblStyle w:val="TableGrid"/>
        <w:tblW w:type="dxa" w:w="9360"/>
        <w:jc w:val="left"/>
        <w:tblLayout w:type="fixed"/>
        <w:tblLook w:firstColumn="1" w:firstRow="1" w:lastColumn="0" w:lastRow="0" w:noHBand="0" w:noVBand="1" w:val="04A0"/>
        <w:tblInd w:type="dxa" w:w="120"/>
      </w:tblPr>
      <w:tblGrid>
        <w:gridCol w:w="3300"/>
        <w:gridCol w:w="1350"/>
        <w:gridCol w:w="1100"/>
        <w:gridCol w:w="1100"/>
        <w:gridCol w:w="2510"/>
      </w:tblGrid>
      <w:tr>
        <w:trPr>
          <w:tblHeader w:val="true"/>
        </w:trPr>
        <w:tc>
          <w:tcPr>
            <w:tcW w:type="dxa" w:w="3300"/>
            <w:vAlign w:val="center"/>
            <w:shd w:fill="2E74B5"/>
            <w:tcMar>
              <w:top w:w="80" w:type="dxa"/>
              <w:bottom w:w="80" w:type="dxa"/>
              <w:start w:w="120" w:type="dxa"/>
              <w:end w:w="120" w:type="dxa"/>
            </w:tcMar>
          </w:tcPr>
          <w:p>
            <w:pPr>
              <w:spacing w:before="0" w:after="0" w:line="252" w:lineRule="auto"/>
              <w:jc w:val="center"/>
            </w:pPr>
            <w:r/>
            <w:r>
              <w:rPr>
                <w:rFonts w:ascii="Calibri" w:hAnsi="Calibri"/>
                <w:b/>
                <w:i w:val="0"/>
                <w:color w:val="FFFFFF"/>
                <w:sz w:val="21"/>
              </w:rPr>
              <w:t>Kampaania</w:t>
            </w:r>
          </w:p>
        </w:tc>
        <w:tc>
          <w:tcPr>
            <w:tcW w:type="dxa" w:w="1350"/>
            <w:vAlign w:val="center"/>
            <w:shd w:fill="2E74B5"/>
            <w:tcMar>
              <w:top w:w="80" w:type="dxa"/>
              <w:bottom w:w="80" w:type="dxa"/>
              <w:start w:w="120" w:type="dxa"/>
              <w:end w:w="120" w:type="dxa"/>
            </w:tcMar>
          </w:tcPr>
          <w:p>
            <w:pPr>
              <w:spacing w:before="0" w:after="0" w:line="252" w:lineRule="auto"/>
              <w:jc w:val="center"/>
            </w:pPr>
            <w:r/>
            <w:r>
              <w:rPr>
                <w:rFonts w:ascii="Calibri" w:hAnsi="Calibri"/>
                <w:b/>
                <w:i w:val="0"/>
                <w:color w:val="FFFFFF"/>
                <w:sz w:val="21"/>
              </w:rPr>
              <w:t>Kulu</w:t>
            </w:r>
          </w:p>
        </w:tc>
        <w:tc>
          <w:tcPr>
            <w:tcW w:type="dxa" w:w="1100"/>
            <w:vAlign w:val="center"/>
            <w:shd w:fill="2E74B5"/>
            <w:tcMar>
              <w:top w:w="80" w:type="dxa"/>
              <w:bottom w:w="80" w:type="dxa"/>
              <w:start w:w="120" w:type="dxa"/>
              <w:end w:w="120" w:type="dxa"/>
            </w:tcMar>
          </w:tcPr>
          <w:p>
            <w:pPr>
              <w:spacing w:before="0" w:after="0" w:line="252" w:lineRule="auto"/>
              <w:jc w:val="center"/>
            </w:pPr>
            <w:r/>
            <w:r>
              <w:rPr>
                <w:rFonts w:ascii="Calibri" w:hAnsi="Calibri"/>
                <w:b/>
                <w:i w:val="0"/>
                <w:color w:val="FFFFFF"/>
                <w:sz w:val="21"/>
              </w:rPr>
              <w:t>Klikid</w:t>
            </w:r>
          </w:p>
        </w:tc>
        <w:tc>
          <w:tcPr>
            <w:tcW w:type="dxa" w:w="1100"/>
            <w:vAlign w:val="center"/>
            <w:shd w:fill="2E74B5"/>
            <w:tcMar>
              <w:top w:w="80" w:type="dxa"/>
              <w:bottom w:w="80" w:type="dxa"/>
              <w:start w:w="120" w:type="dxa"/>
              <w:end w:w="120" w:type="dxa"/>
            </w:tcMar>
          </w:tcPr>
          <w:p>
            <w:pPr>
              <w:spacing w:before="0" w:after="0" w:line="252" w:lineRule="auto"/>
              <w:jc w:val="center"/>
            </w:pPr>
            <w:r/>
            <w:r>
              <w:rPr>
                <w:rFonts w:ascii="Calibri" w:hAnsi="Calibri"/>
                <w:b/>
                <w:i w:val="0"/>
                <w:color w:val="FFFFFF"/>
                <w:sz w:val="21"/>
              </w:rPr>
              <w:t>CTR</w:t>
            </w:r>
          </w:p>
        </w:tc>
        <w:tc>
          <w:tcPr>
            <w:tcW w:type="dxa" w:w="2510"/>
            <w:vAlign w:val="center"/>
            <w:shd w:fill="2E74B5"/>
            <w:tcMar>
              <w:top w:w="80" w:type="dxa"/>
              <w:bottom w:w="80" w:type="dxa"/>
              <w:start w:w="120" w:type="dxa"/>
              <w:end w:w="120" w:type="dxa"/>
            </w:tcMar>
          </w:tcPr>
          <w:p>
            <w:pPr>
              <w:spacing w:before="0" w:after="0" w:line="252" w:lineRule="auto"/>
              <w:jc w:val="center"/>
            </w:pPr>
            <w:r/>
            <w:r>
              <w:rPr>
                <w:rFonts w:ascii="Calibri" w:hAnsi="Calibri"/>
                <w:b/>
                <w:i w:val="0"/>
                <w:color w:val="FFFFFF"/>
                <w:sz w:val="21"/>
              </w:rPr>
              <w:t>Konversioonid / CPA</w:t>
            </w:r>
          </w:p>
        </w:tc>
      </w:tr>
      <w:tr>
        <w:trPr/>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i w:val="0"/>
                <w:sz w:val="21"/>
              </w:rPr>
              <w:t>Otsing - Teenused - 2026</w:t>
            </w:r>
          </w:p>
        </w:tc>
        <w:tc>
          <w:tcPr>
            <w:tcW w:type="dxa" w:w="135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600,66 €</w:t>
            </w:r>
          </w:p>
        </w:tc>
        <w:tc>
          <w:tcPr>
            <w:tcW w:type="dxa" w:w="110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200</w:t>
            </w:r>
          </w:p>
        </w:tc>
        <w:tc>
          <w:tcPr>
            <w:tcW w:type="dxa" w:w="110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7,44%</w:t>
            </w:r>
          </w:p>
        </w:tc>
        <w:tc>
          <w:tcPr>
            <w:tcW w:type="dxa" w:w="251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16,91 / 35,52 €</w:t>
            </w:r>
          </w:p>
        </w:tc>
      </w:tr>
      <w:tr>
        <w:trPr/>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i w:val="0"/>
                <w:sz w:val="21"/>
              </w:rPr>
              <w:t>SPS B2B Cleaning Tallinn EN</w:t>
            </w:r>
          </w:p>
        </w:tc>
        <w:tc>
          <w:tcPr>
            <w:tcW w:type="dxa" w:w="135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90,24 €</w:t>
            </w:r>
          </w:p>
        </w:tc>
        <w:tc>
          <w:tcPr>
            <w:tcW w:type="dxa" w:w="110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39</w:t>
            </w:r>
          </w:p>
        </w:tc>
        <w:tc>
          <w:tcPr>
            <w:tcW w:type="dxa" w:w="110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12,19%</w:t>
            </w:r>
          </w:p>
        </w:tc>
        <w:tc>
          <w:tcPr>
            <w:tcW w:type="dxa" w:w="2510"/>
            <w:vAlign w:val="center"/>
            <w:tcMar>
              <w:top w:w="80" w:type="dxa"/>
              <w:bottom w:w="80" w:type="dxa"/>
              <w:start w:w="120" w:type="dxa"/>
              <w:end w:w="120" w:type="dxa"/>
            </w:tcMar>
          </w:tcPr>
          <w:p>
            <w:pPr>
              <w:spacing w:before="0" w:after="0" w:line="252" w:lineRule="auto"/>
              <w:jc w:val="center"/>
            </w:pPr>
            <w:r/>
            <w:r>
              <w:rPr>
                <w:rFonts w:ascii="Calibri" w:hAnsi="Calibri"/>
                <w:b w:val="0"/>
                <w:i w:val="0"/>
                <w:sz w:val="21"/>
              </w:rPr>
              <w:t>1,00 / 90,24 €</w:t>
            </w:r>
          </w:p>
        </w:tc>
      </w:tr>
      <w:tr>
        <w:trPr/>
        <w:tc>
          <w:tcPr>
            <w:tcW w:type="dxa" w:w="3300"/>
            <w:shd w:fill="F2F4F7"/>
            <w:vAlign w:val="center"/>
            <w:tcMar>
              <w:top w:w="80" w:type="dxa"/>
              <w:bottom w:w="80" w:type="dxa"/>
              <w:start w:w="120" w:type="dxa"/>
              <w:end w:w="120" w:type="dxa"/>
            </w:tcMar>
          </w:tcPr>
          <w:p>
            <w:pPr>
              <w:spacing w:before="0" w:after="0" w:line="252" w:lineRule="auto"/>
              <w:jc w:val="left"/>
            </w:pPr>
            <w:r/>
            <w:r>
              <w:rPr>
                <w:rFonts w:ascii="Calibri" w:hAnsi="Calibri"/>
                <w:b/>
                <w:i w:val="0"/>
                <w:sz w:val="21"/>
              </w:rPr>
              <w:t>Kokku</w:t>
            </w:r>
          </w:p>
        </w:tc>
        <w:tc>
          <w:tcPr>
            <w:tcW w:type="dxa" w:w="1350"/>
            <w:shd w:fill="F2F4F7"/>
            <w:vAlign w:val="center"/>
            <w:tcMar>
              <w:top w:w="80" w:type="dxa"/>
              <w:bottom w:w="80" w:type="dxa"/>
              <w:start w:w="120" w:type="dxa"/>
              <w:end w:w="120" w:type="dxa"/>
            </w:tcMar>
          </w:tcPr>
          <w:p>
            <w:pPr>
              <w:spacing w:before="0" w:after="0" w:line="252" w:lineRule="auto"/>
              <w:jc w:val="center"/>
            </w:pPr>
            <w:r/>
            <w:r>
              <w:rPr>
                <w:rFonts w:ascii="Calibri" w:hAnsi="Calibri"/>
                <w:b/>
                <w:i w:val="0"/>
                <w:sz w:val="21"/>
              </w:rPr>
              <w:t>690,90 €</w:t>
            </w:r>
          </w:p>
        </w:tc>
        <w:tc>
          <w:tcPr>
            <w:tcW w:type="dxa" w:w="1100"/>
            <w:shd w:fill="F2F4F7"/>
            <w:vAlign w:val="center"/>
            <w:tcMar>
              <w:top w:w="80" w:type="dxa"/>
              <w:bottom w:w="80" w:type="dxa"/>
              <w:start w:w="120" w:type="dxa"/>
              <w:end w:w="120" w:type="dxa"/>
            </w:tcMar>
          </w:tcPr>
          <w:p>
            <w:pPr>
              <w:spacing w:before="0" w:after="0" w:line="252" w:lineRule="auto"/>
              <w:jc w:val="center"/>
            </w:pPr>
            <w:r/>
            <w:r>
              <w:rPr>
                <w:rFonts w:ascii="Calibri" w:hAnsi="Calibri"/>
                <w:b/>
                <w:i w:val="0"/>
                <w:sz w:val="21"/>
              </w:rPr>
              <w:t>239</w:t>
            </w:r>
          </w:p>
        </w:tc>
        <w:tc>
          <w:tcPr>
            <w:tcW w:type="dxa" w:w="1100"/>
            <w:shd w:fill="F2F4F7"/>
            <w:vAlign w:val="center"/>
            <w:tcMar>
              <w:top w:w="80" w:type="dxa"/>
              <w:bottom w:w="80" w:type="dxa"/>
              <w:start w:w="120" w:type="dxa"/>
              <w:end w:w="120" w:type="dxa"/>
            </w:tcMar>
          </w:tcPr>
          <w:p>
            <w:pPr>
              <w:spacing w:before="0" w:after="0" w:line="252" w:lineRule="auto"/>
              <w:jc w:val="center"/>
            </w:pPr>
            <w:r/>
            <w:r>
              <w:rPr>
                <w:rFonts w:ascii="Calibri" w:hAnsi="Calibri"/>
                <w:b/>
                <w:i w:val="0"/>
                <w:sz w:val="21"/>
              </w:rPr>
              <w:t>7,95%</w:t>
            </w:r>
          </w:p>
        </w:tc>
        <w:tc>
          <w:tcPr>
            <w:tcW w:type="dxa" w:w="2510"/>
            <w:shd w:fill="F2F4F7"/>
            <w:vAlign w:val="center"/>
            <w:tcMar>
              <w:top w:w="80" w:type="dxa"/>
              <w:bottom w:w="80" w:type="dxa"/>
              <w:start w:w="120" w:type="dxa"/>
              <w:end w:w="120" w:type="dxa"/>
            </w:tcMar>
          </w:tcPr>
          <w:p>
            <w:pPr>
              <w:spacing w:before="0" w:after="0" w:line="252" w:lineRule="auto"/>
              <w:jc w:val="center"/>
            </w:pPr>
            <w:r/>
            <w:r>
              <w:rPr>
                <w:rFonts w:ascii="Calibri" w:hAnsi="Calibri"/>
                <w:b/>
                <w:i w:val="0"/>
                <w:sz w:val="21"/>
              </w:rPr>
              <w:t>17,91 / 38,57 €</w:t>
            </w:r>
          </w:p>
        </w:tc>
      </w:tr>
    </w:tbl>
    <w:p>
      <w:pPr>
        <w:pStyle w:val="Heading2"/>
        <w:keepNext/>
      </w:pPr>
      <w:r>
        <w:t>Mida konversiooninumbrid tegelikult tähendavad</w:t>
      </w:r>
    </w:p>
    <w:p>
      <w:pPr>
        <w:pStyle w:val="ListBullet"/>
        <w:keepLines/>
      </w:pPr>
      <w:r>
        <w:rPr>
          <w:rFonts w:ascii="Calibri" w:hAnsi="Calibri"/>
          <w:b w:val="0"/>
          <w:i w:val="0"/>
          <w:sz w:val="22"/>
        </w:rPr>
        <w:t>6 vormi saatmist, millele on määratud kokku 1500 eurot arvestuslikku väärtust.</w:t>
      </w:r>
    </w:p>
    <w:p>
      <w:pPr>
        <w:pStyle w:val="ListBullet"/>
        <w:keepLines/>
      </w:pPr>
      <w:r>
        <w:rPr>
          <w:rFonts w:ascii="Calibri" w:hAnsi="Calibri"/>
          <w:b w:val="0"/>
          <w:i w:val="0"/>
          <w:sz w:val="22"/>
        </w:rPr>
        <w:t>11,91 e-posti või telefoni klikki/kopeerimist, millele on määratud kokku 595,55 eurot väärtust.</w:t>
      </w:r>
    </w:p>
    <w:p>
      <w:pPr>
        <w:pStyle w:val="ListBullet"/>
        <w:keepLines/>
      </w:pPr>
      <w:r>
        <w:rPr>
          <w:rFonts w:ascii="Calibri" w:hAnsi="Calibri"/>
          <w:b w:val="0"/>
          <w:i w:val="0"/>
          <w:sz w:val="22"/>
        </w:rPr>
        <w:t>3 konversioonimärgendit on passiivsed või valesti ühendatud ning 9 tegevusel puuduvad hiljutised konversioonid.</w:t>
      </w:r>
    </w:p>
    <w:p>
      <w:pPr>
        <w:pStyle w:val="ListBullet"/>
        <w:keepLines/>
      </w:pPr>
      <w:r>
        <w:rPr>
          <w:rFonts w:ascii="Calibri" w:hAnsi="Calibri"/>
          <w:b w:val="0"/>
          <w:i w:val="0"/>
          <w:sz w:val="22"/>
        </w:rPr>
        <w:t>Ainult üks konversioonitegevus salvestab praegu stabiilselt andmeid.</w:t>
      </w:r>
    </w:p>
    <w:p>
      <w:pPr/>
      <w:r>
        <w:rPr>
          <w:rFonts w:ascii="Calibri" w:hAnsi="Calibri"/>
          <w:b w:val="0"/>
          <w:i w:val="0"/>
          <w:sz w:val="22"/>
        </w:rPr>
        <w:t>Seetõttu on 38,57 eurot segatüüpi kontakti maksumus, mitte usaldusväärne müügivihje hind. Kui vaadata ainult kuut vormi, on ühe vormi ligikaudne meediakulu juba üle 100 euro, enne päringu kvaliteedi hindamist.</w:t>
      </w:r>
    </w:p>
    <w:p>
      <w:pPr>
        <w:pStyle w:val="Heading1"/>
        <w:keepNext/>
      </w:pPr>
      <w:r>
        <w:t>3. Esmatähtsad parandused</w:t>
      </w:r>
    </w:p>
    <w:p>
      <w:pPr>
        <w:pStyle w:val="Heading2"/>
        <w:keepNext/>
      </w:pPr>
      <w:r>
        <w:t>3.1. Konversioonide mõõtmine</w:t>
      </w:r>
    </w:p>
    <w:p>
      <w:pPr>
        <w:pStyle w:val="ListNumber"/>
        <w:keepLines/>
      </w:pPr>
      <w:r>
        <w:rPr>
          <w:rFonts w:ascii="Calibri" w:hAnsi="Calibri"/>
          <w:b w:val="0"/>
          <w:i w:val="0"/>
          <w:sz w:val="22"/>
        </w:rPr>
        <w:t>Määrata põhikonversioonideks edukalt saadetud kontaktvormid ja sisulise kestusega telefonikõned.</w:t>
      </w:r>
    </w:p>
    <w:p>
      <w:pPr>
        <w:pStyle w:val="ListNumber"/>
        <w:keepLines/>
      </w:pPr>
      <w:r>
        <w:rPr>
          <w:rFonts w:ascii="Calibri" w:hAnsi="Calibri"/>
          <w:b w:val="0"/>
          <w:i w:val="0"/>
          <w:sz w:val="22"/>
        </w:rPr>
        <w:t>Muuta e-posti ja telefoninumbri klikk/kopeerimine sekundaarseks vaatlusnäitajaks, et automaatne pakkumine ei optimeeriks pelgalt klikkidele.</w:t>
      </w:r>
    </w:p>
    <w:p>
      <w:pPr>
        <w:pStyle w:val="ListNumber"/>
        <w:keepLines/>
      </w:pPr>
      <w:r>
        <w:rPr>
          <w:rFonts w:ascii="Calibri" w:hAnsi="Calibri"/>
          <w:b w:val="0"/>
          <w:i w:val="0"/>
          <w:sz w:val="22"/>
        </w:rPr>
        <w:t>Parandada passiivsed GA4 ja veebivormi sündmused ning eemaldada dubleerivad pärandtegevused.</w:t>
      </w:r>
    </w:p>
    <w:p>
      <w:pPr>
        <w:pStyle w:val="ListNumber"/>
        <w:keepLines/>
      </w:pPr>
      <w:r>
        <w:rPr>
          <w:rFonts w:ascii="Calibri" w:hAnsi="Calibri"/>
          <w:b w:val="0"/>
          <w:i w:val="0"/>
          <w:sz w:val="22"/>
        </w:rPr>
        <w:t>Salvestada iga päringuga kampaania, märksõna ja GCLID ning tuua Google Ads kontole tagasi etapid „kvalifitseeritud päring“, „pakkumine saadetud“ ja „leping võidetud“.</w:t>
      </w:r>
    </w:p>
    <w:p>
      <w:pPr>
        <w:pStyle w:val="ListNumber"/>
        <w:keepLines/>
      </w:pPr>
      <w:r>
        <w:rPr>
          <w:rFonts w:ascii="Calibri" w:hAnsi="Calibri"/>
          <w:b w:val="0"/>
          <w:i w:val="0"/>
          <w:sz w:val="22"/>
        </w:rPr>
        <w:t>Siduda konversiooniväärtused tegeliku müügipotentsiaaliga, mitte kontaktandmetel klikkimisega.</w:t>
      </w:r>
    </w:p>
    <w:p>
      <w:pPr/>
      <w:r>
        <w:rPr>
          <w:rFonts w:ascii="Calibri" w:hAnsi="Calibri"/>
          <w:b w:val="0"/>
          <w:i w:val="0"/>
          <w:sz w:val="22"/>
        </w:rPr>
        <w:t>Google soovitab müügivihjete puhul täiustatud konversioone (Enhanced Conversions for Leads). Täisfunktsionaalne CRM ei ole kohustuslik; alustuseks sobib ka korrektselt hallatud tabelipõhine protsess.</w:t>
      </w:r>
    </w:p>
    <w:p>
      <w:pPr>
        <w:pStyle w:val="Heading2"/>
        <w:keepNext/>
      </w:pPr>
      <w:r>
        <w:t>3.2. Pakkumisstrateegia</w:t>
      </w:r>
    </w:p>
    <w:p>
      <w:pPr>
        <w:pStyle w:val="ListBullet"/>
        <w:keepLines/>
      </w:pPr>
      <w:r>
        <w:rPr>
          <w:rFonts w:ascii="Calibri" w:hAnsi="Calibri"/>
          <w:b w:val="0"/>
          <w:i w:val="0"/>
          <w:sz w:val="22"/>
        </w:rPr>
        <w:t>Mitte rakendada veel automaatselt Google'i soovitust „Maximize conversion value“, sest väärtused ei kajasta kinnitatud müüki.</w:t>
      </w:r>
    </w:p>
    <w:p>
      <w:pPr>
        <w:pStyle w:val="ListBullet"/>
        <w:keepLines/>
      </w:pPr>
      <w:r>
        <w:rPr>
          <w:rFonts w:ascii="Calibri" w:hAnsi="Calibri"/>
          <w:b w:val="0"/>
          <w:i w:val="0"/>
          <w:sz w:val="22"/>
        </w:rPr>
        <w:t>Eesti kampaania „Maximize Conversions“ võib jääda ajutiselt tööle, kuid ainult pärast põhikonversioonide korrastamist. Kui puhaste konversioonide maht muutub liiga väikeseks, kasutada ajutiselt kontrollitud „Maximize Clicks“ strateegiat CPC ülempiiriga.</w:t>
      </w:r>
    </w:p>
    <w:p>
      <w:pPr>
        <w:pStyle w:val="ListBullet"/>
        <w:keepLines/>
      </w:pPr>
      <w:r>
        <w:rPr>
          <w:rFonts w:ascii="Calibri" w:hAnsi="Calibri"/>
          <w:b w:val="0"/>
          <w:i w:val="0"/>
          <w:sz w:val="22"/>
        </w:rPr>
        <w:t>Ingliskeelsel kampaanial on 39 klikki ja üks nõrk kontaktkonversioon. Hoida seal täpsemaid vasteid ja kontrollitud klikipakkumist, kuni tekib piisav hulk päris müügivihjeid.</w:t>
      </w:r>
    </w:p>
    <w:p>
      <w:pPr>
        <w:pStyle w:val="ListBullet"/>
        <w:keepLines/>
      </w:pPr>
      <w:r>
        <w:rPr>
          <w:rFonts w:ascii="Calibri" w:hAnsi="Calibri"/>
          <w:b w:val="0"/>
          <w:i w:val="0"/>
          <w:sz w:val="22"/>
        </w:rPr>
        <w:t>Siht-CPA kasutusele võtta alles siis, kui SPS teab aktsepteeritavat kvalifitseeritud müügivihje hinda.</w:t>
      </w:r>
    </w:p>
    <w:p>
      <w:pPr>
        <w:pStyle w:val="Heading1"/>
        <w:keepNext/>
      </w:pPr>
      <w:r>
        <w:t>4. Soovitatav kampaaniastruktuur</w:t>
      </w:r>
    </w:p>
    <w:p>
      <w:pPr>
        <w:pStyle w:val="ListNumber"/>
        <w:keepLines/>
      </w:pPr>
      <w:r>
        <w:rPr>
          <w:rFonts w:ascii="Calibri" w:hAnsi="Calibri"/>
          <w:b w:val="0"/>
          <w:i w:val="0"/>
          <w:sz w:val="22"/>
        </w:rPr>
        <w:t>Brändikampaania: SPS Grupp ja nime lähivariandid, täpne või fraasivaste ning väike kaitseeelarve.</w:t>
      </w:r>
    </w:p>
    <w:p>
      <w:pPr>
        <w:pStyle w:val="ListNumber"/>
        <w:keepLines/>
      </w:pPr>
      <w:r>
        <w:rPr>
          <w:rFonts w:ascii="Calibri" w:hAnsi="Calibri"/>
          <w:b w:val="0"/>
          <w:i w:val="0"/>
          <w:sz w:val="22"/>
        </w:rPr>
        <w:t>Püsiv B2B koristus: kontorikoristus, hoolduskoristus, büroo-, lao- ja kaubanduspindade puhastus. See peaks olema kõrgeim prioriteet, sest lepingu eluea väärtus võib olla suur.</w:t>
      </w:r>
    </w:p>
    <w:p>
      <w:pPr>
        <w:pStyle w:val="ListNumber"/>
        <w:keepLines/>
      </w:pPr>
      <w:r>
        <w:rPr>
          <w:rFonts w:ascii="Calibri" w:hAnsi="Calibri"/>
          <w:b w:val="0"/>
          <w:i w:val="0"/>
          <w:sz w:val="22"/>
        </w:rPr>
        <w:t>Projektipõhine koristus: ehitusjärgne ja remondijärgne koristus ning suurpuhastus, eraldi eelarve ja sihtlehtedega.</w:t>
      </w:r>
    </w:p>
    <w:p>
      <w:pPr>
        <w:pStyle w:val="ListNumber"/>
        <w:keepLines/>
      </w:pPr>
      <w:r>
        <w:rPr>
          <w:rFonts w:ascii="Calibri" w:hAnsi="Calibri"/>
          <w:b w:val="0"/>
          <w:i w:val="0"/>
          <w:sz w:val="22"/>
        </w:rPr>
        <w:t>Eriteenused: põrandahooldus, aknapesu ja muud teenused, millel on piisavalt otsingumahtu ning sobiv marginaal.</w:t>
      </w:r>
    </w:p>
    <w:p>
      <w:pPr>
        <w:pStyle w:val="ListNumber"/>
        <w:keepLines/>
      </w:pPr>
      <w:r>
        <w:rPr>
          <w:rFonts w:ascii="Calibri" w:hAnsi="Calibri"/>
          <w:b w:val="0"/>
          <w:i w:val="0"/>
          <w:sz w:val="22"/>
        </w:rPr>
        <w:t>Ingliskeelne B2B: eraldi kampaania Tallinna nõudlusele, esialgu täpse ja fraasivastega.</w:t>
      </w:r>
    </w:p>
    <w:p>
      <w:pPr>
        <w:spacing w:before="80" w:after="200" w:line="264" w:lineRule="auto"/>
        <w:ind w:left="259" w:right="259"/>
        <w:shd w:fill="E8EEF5"/>
      </w:pPr>
      <w:r>
        <w:rPr>
          <w:rFonts w:ascii="Calibri" w:hAnsi="Calibri"/>
          <w:b/>
          <w:i w:val="0"/>
          <w:color w:val="0B2545"/>
          <w:sz w:val="22"/>
        </w:rPr>
        <w:t xml:space="preserve">Eelarvepõhimõte. </w:t>
      </w:r>
      <w:r>
        <w:rPr>
          <w:rFonts w:ascii="Calibri" w:hAnsi="Calibri"/>
          <w:b w:val="0"/>
          <w:i w:val="0"/>
          <w:color w:val="0B2545"/>
          <w:sz w:val="22"/>
        </w:rPr>
        <w:t>Praegust ligikaudu 14 euro suurust päevast eelarvet ei tasu killustada liiga paljude kampaaniate vahel. Alustada kahest-kolmest kampaaniast ja kasutada nende sees tugeva temaatikaga reklaamirühmi.</w:t>
      </w:r>
    </w:p>
    <w:p>
      <w:pPr>
        <w:pStyle w:val="Heading1"/>
        <w:keepNext/>
      </w:pPr>
      <w:r>
        <w:t>5. Märksõnad ja otsinguterminid</w:t>
      </w:r>
    </w:p>
    <w:p>
      <w:pPr/>
      <w:r>
        <w:rPr>
          <w:rFonts w:ascii="Calibri" w:hAnsi="Calibri"/>
          <w:b w:val="0"/>
          <w:i w:val="0"/>
          <w:sz w:val="22"/>
        </w:rPr>
        <w:t>Otsinguliiklus on üldiselt asjakohane, kuid laia vaste tõttu jõuab kontole konkurentide ja ebaselge kavatsusega päringuid. Näiteks esinesid „eesti haldus“, „euroclean arsenal“, „andivest grupp“, „insil puhastus“, „m&amp;r cleaning services“ ja „koristaja tallinnas“.</w:t>
      </w:r>
    </w:p>
    <w:p>
      <w:pPr/>
      <w:r>
        <w:rPr>
          <w:rFonts w:ascii="Calibri" w:hAnsi="Calibri"/>
          <w:b w:val="0"/>
          <w:i w:val="0"/>
          <w:sz w:val="22"/>
        </w:rPr>
        <w:t>Kui konkurentide sihilik püüd või värbamine ei ole eraldi eesmärk, lisada konkurendinimed, tööotsinguterminid ning tarbija/isetegemise päringud jagatud negatiivsete märksõnade nimekirjadesse.</w:t>
      </w:r>
    </w:p>
    <w:p>
      <w:pPr>
        <w:pStyle w:val="Heading2"/>
        <w:keepNext/>
      </w:pPr>
      <w:r>
        <w:t>Suurima kuluga märksõnad</w:t>
      </w:r>
    </w:p>
    <w:p>
      <w:pPr>
        <w:pStyle w:val="ListBullet"/>
        <w:keepLines/>
      </w:pPr>
      <w:r>
        <w:rPr>
          <w:rFonts w:ascii="Calibri" w:hAnsi="Calibri"/>
          <w:b w:val="0"/>
          <w:i w:val="0"/>
          <w:sz w:val="22"/>
        </w:rPr>
        <w:t>„puhastusteenused tallinnas“: 136,87 eurot ja 55 klikki.</w:t>
      </w:r>
    </w:p>
    <w:p>
      <w:pPr>
        <w:pStyle w:val="ListBullet"/>
        <w:keepLines/>
      </w:pPr>
      <w:r>
        <w:rPr>
          <w:rFonts w:ascii="Calibri" w:hAnsi="Calibri"/>
          <w:b w:val="0"/>
          <w:i w:val="0"/>
          <w:sz w:val="22"/>
        </w:rPr>
        <w:t>„koristustööd“: 72,57 eurot ja 24 klikki.</w:t>
      </w:r>
    </w:p>
    <w:p>
      <w:pPr>
        <w:pStyle w:val="ListBullet"/>
        <w:keepLines/>
      </w:pPr>
      <w:r>
        <w:rPr>
          <w:rFonts w:ascii="Calibri" w:hAnsi="Calibri"/>
          <w:b w:val="0"/>
          <w:i w:val="0"/>
          <w:sz w:val="22"/>
        </w:rPr>
        <w:t>„puhastus teenused“: 64,85 eurot ja 20 klikki.</w:t>
      </w:r>
    </w:p>
    <w:p>
      <w:pPr/>
      <w:r>
        <w:rPr>
          <w:rFonts w:ascii="Calibri" w:hAnsi="Calibri"/>
          <w:b w:val="0"/>
          <w:i w:val="0"/>
          <w:sz w:val="22"/>
        </w:rPr>
        <w:t>Neid märksõnu ei tule automaatselt peatada, kuid nende tulemuslikkust tuleb hinnata kvalifitseeritud päringute, mitte kontaktiklikkide järgi. Ligikaudu 60% näitamiste osakaal annab võimaluse kasvatada Google'i eelarvet just nendel otsingutel, mis toovad päris müügivihjeid.</w:t>
      </w:r>
    </w:p>
    <w:p>
      <w:pPr>
        <w:pStyle w:val="Heading1"/>
        <w:keepNext/>
      </w:pPr>
      <w:r>
        <w:t>6. Reklaamide sisu ja sihtlehed</w:t>
      </w:r>
    </w:p>
    <w:p>
      <w:pPr/>
      <w:r>
        <w:rPr>
          <w:rFonts w:ascii="Calibri" w:hAnsi="Calibri"/>
          <w:b w:val="0"/>
          <w:i w:val="0"/>
          <w:sz w:val="22"/>
        </w:rPr>
        <w:t>Ühes aktiivses „Kontori koristus“ reklaamirühmas kasutati põrandahoolduse pealkirju. Otsingukavatsuse, reklaamsõnumi ja sihtlehe vahel peab olema üks-ühele vastavus.</w:t>
      </w:r>
    </w:p>
    <w:p>
      <w:pPr>
        <w:pStyle w:val="Heading2"/>
        <w:keepNext/>
      </w:pPr>
      <w:r>
        <w:t>Soovitatavad sõnumisuunad</w:t>
      </w:r>
    </w:p>
    <w:p>
      <w:pPr>
        <w:pStyle w:val="ListBullet"/>
        <w:keepLines/>
      </w:pPr>
      <w:r>
        <w:rPr>
          <w:rFonts w:ascii="Calibri" w:hAnsi="Calibri"/>
          <w:b w:val="0"/>
          <w:i w:val="0"/>
          <w:sz w:val="22"/>
        </w:rPr>
        <w:t>Kontorikoristus Tallinnas</w:t>
      </w:r>
    </w:p>
    <w:p>
      <w:pPr>
        <w:pStyle w:val="ListBullet"/>
        <w:keepLines/>
      </w:pPr>
      <w:r>
        <w:rPr>
          <w:rFonts w:ascii="Calibri" w:hAnsi="Calibri"/>
          <w:b w:val="0"/>
          <w:i w:val="0"/>
          <w:sz w:val="22"/>
        </w:rPr>
        <w:t>Kindel kvaliteedikontroll</w:t>
      </w:r>
    </w:p>
    <w:p>
      <w:pPr>
        <w:pStyle w:val="ListBullet"/>
        <w:keepLines/>
      </w:pPr>
      <w:r>
        <w:rPr>
          <w:rFonts w:ascii="Calibri" w:hAnsi="Calibri"/>
          <w:b w:val="0"/>
          <w:i w:val="0"/>
          <w:sz w:val="22"/>
        </w:rPr>
        <w:t>Personaalne koristusplaan</w:t>
      </w:r>
    </w:p>
    <w:p>
      <w:pPr>
        <w:pStyle w:val="ListBullet"/>
        <w:keepLines/>
      </w:pPr>
      <w:r>
        <w:rPr>
          <w:rFonts w:ascii="Calibri" w:hAnsi="Calibri"/>
          <w:b w:val="0"/>
          <w:i w:val="0"/>
          <w:sz w:val="22"/>
        </w:rPr>
        <w:t>Küsi objekti ülevaatust</w:t>
      </w:r>
    </w:p>
    <w:p>
      <w:pPr>
        <w:pStyle w:val="ListBullet"/>
        <w:keepLines/>
      </w:pPr>
      <w:r>
        <w:rPr>
          <w:rFonts w:ascii="Calibri" w:hAnsi="Calibri"/>
          <w:b w:val="0"/>
          <w:i w:val="0"/>
          <w:sz w:val="22"/>
        </w:rPr>
        <w:t>Ehitusjärgne koristus</w:t>
      </w:r>
    </w:p>
    <w:p>
      <w:pPr>
        <w:pStyle w:val="ListBullet"/>
        <w:keepLines/>
      </w:pPr>
      <w:r>
        <w:rPr>
          <w:rFonts w:ascii="Calibri" w:hAnsi="Calibri"/>
          <w:b w:val="0"/>
          <w:i w:val="0"/>
          <w:sz w:val="22"/>
        </w:rPr>
        <w:t>Tallinn ja Harjumaa</w:t>
      </w:r>
    </w:p>
    <w:p>
      <w:pPr>
        <w:pStyle w:val="ListBullet"/>
        <w:keepLines/>
      </w:pPr>
      <w:r>
        <w:rPr>
          <w:rFonts w:ascii="Calibri" w:hAnsi="Calibri"/>
          <w:b w:val="0"/>
          <w:i w:val="0"/>
          <w:sz w:val="22"/>
        </w:rPr>
        <w:t>Kogenud ja koolitatud meeskond</w:t>
      </w:r>
    </w:p>
    <w:p>
      <w:pPr>
        <w:pStyle w:val="ListBullet"/>
        <w:keepLines/>
      </w:pPr>
      <w:r>
        <w:rPr>
          <w:rFonts w:ascii="Calibri" w:hAnsi="Calibri"/>
          <w:b w:val="0"/>
          <w:i w:val="0"/>
          <w:sz w:val="22"/>
        </w:rPr>
        <w:t>Pakkumine ühe tööpäeva jooksul - ainult juhul, kui SPS suudab seda lubadust järjepidevalt täita.</w:t>
      </w:r>
    </w:p>
    <w:p>
      <w:pPr/>
      <w:r>
        <w:rPr>
          <w:rFonts w:ascii="Calibri" w:hAnsi="Calibri"/>
          <w:b w:val="0"/>
          <w:i w:val="0"/>
          <w:sz w:val="22"/>
        </w:rPr>
        <w:t>Üldiste väidete „kiire ja tõhus“ asemel kasutada kontrollitavaid tõendeid: kogemus, sertifikaadid, teeninduspiirkond, kvaliteediprotsess, reageerimisaeg, juhtumiuuringud, lepingupaindlikkus ja klienditüübid.</w:t>
      </w:r>
    </w:p>
    <w:p>
      <w:pPr/>
      <w:r>
        <w:rPr>
          <w:rFonts w:ascii="Calibri" w:hAnsi="Calibri"/>
          <w:b w:val="0"/>
          <w:i w:val="0"/>
          <w:sz w:val="22"/>
        </w:rPr>
        <w:t>Lisada pildivarad, kõnevara, saidilingid, tähelepanulaiendid ja struktureeritud väljavõtted. Google märgib kontol juba puuduvad pildid paranduskohana. Kõikides aktiivsetes reklaamides tuleb ühtlustada ka võimalikud erinevad kogemusväited.</w:t>
      </w:r>
    </w:p>
    <w:p>
      <w:pPr>
        <w:pStyle w:val="Heading1"/>
        <w:keepNext/>
      </w:pPr>
      <w:r>
        <w:t>7. Teiste kanalite soovitused</w:t>
      </w:r>
    </w:p>
    <w:p>
      <w:pPr>
        <w:pStyle w:val="Heading2"/>
        <w:keepNext/>
      </w:pPr>
      <w:r>
        <w:t>7.1. SEO ja Google Business Profile - alustada kohe</w:t>
      </w:r>
    </w:p>
    <w:p>
      <w:pPr/>
      <w:r>
        <w:rPr>
          <w:rFonts w:ascii="Calibri" w:hAnsi="Calibri"/>
          <w:b w:val="0"/>
          <w:i w:val="0"/>
          <w:sz w:val="22"/>
        </w:rPr>
        <w:t>See on tugevaim täiendav kanal, sest toetab sama kõrge kavatsusega nõudlust nagu Google Ads ning parandab ka reklaamide sihtlehtede kvaliteeti.</w:t>
      </w:r>
    </w:p>
    <w:p>
      <w:pPr>
        <w:pStyle w:val="ListBullet"/>
        <w:keepLines/>
      </w:pPr>
      <w:r>
        <w:rPr>
          <w:rFonts w:ascii="Calibri" w:hAnsi="Calibri"/>
          <w:b w:val="0"/>
          <w:i w:val="0"/>
          <w:sz w:val="22"/>
        </w:rPr>
        <w:t>Eraldi teenuselehed kontori-, ehitusjärgsele, põranda- ja aknapuhastusele.</w:t>
      </w:r>
    </w:p>
    <w:p>
      <w:pPr>
        <w:pStyle w:val="ListBullet"/>
        <w:keepLines/>
      </w:pPr>
      <w:r>
        <w:rPr>
          <w:rFonts w:ascii="Calibri" w:hAnsi="Calibri"/>
          <w:b w:val="0"/>
          <w:i w:val="0"/>
          <w:sz w:val="22"/>
        </w:rPr>
        <w:t>Tallinna ja Harjumaa asukohasisu.</w:t>
      </w:r>
    </w:p>
    <w:p>
      <w:pPr>
        <w:pStyle w:val="ListBullet"/>
        <w:keepLines/>
      </w:pPr>
      <w:r>
        <w:rPr>
          <w:rFonts w:ascii="Calibri" w:hAnsi="Calibri"/>
          <w:b w:val="0"/>
          <w:i w:val="0"/>
          <w:sz w:val="22"/>
        </w:rPr>
        <w:t>Kliendilood, enne-pärast näited, KKK ja hinnastamisprotsessi selgitused.</w:t>
      </w:r>
    </w:p>
    <w:p>
      <w:pPr>
        <w:pStyle w:val="ListBullet"/>
        <w:keepLines/>
      </w:pPr>
      <w:r>
        <w:rPr>
          <w:rFonts w:ascii="Calibri" w:hAnsi="Calibri"/>
          <w:b w:val="0"/>
          <w:i w:val="0"/>
          <w:sz w:val="22"/>
        </w:rPr>
        <w:t>Google'i arvustuste süsteemne kogumine.</w:t>
      </w:r>
    </w:p>
    <w:p>
      <w:pPr>
        <w:pStyle w:val="Heading2"/>
        <w:keepNext/>
      </w:pPr>
      <w:r>
        <w:t>7.2. Meta - hiljem kontrollitud testina</w:t>
      </w:r>
    </w:p>
    <w:p>
      <w:pPr/>
      <w:r>
        <w:rPr>
          <w:rFonts w:ascii="Calibri" w:hAnsi="Calibri"/>
          <w:b w:val="0"/>
          <w:i w:val="0"/>
          <w:sz w:val="22"/>
        </w:rPr>
        <w:t>Meta sobib nõudluse tekitamiseks, uuesti sihtimiseks ja kliendilugude levitamiseks, kuid mitte praegu Google Searchi asendajaks. Testi pakkumine võiks olla tasuta objekti audit, koristusplaani ülevaatus või praktiline kinnisvarahoolduse kontrollnimekiri.</w:t>
      </w:r>
    </w:p>
    <w:p>
      <w:pPr/>
      <w:r>
        <w:rPr>
          <w:rFonts w:ascii="Calibri" w:hAnsi="Calibri"/>
          <w:b w:val="0"/>
          <w:i w:val="0"/>
          <w:sz w:val="22"/>
        </w:rPr>
        <w:t>Lead-vormis küsida vähemalt ettevõtet, asukohta, objekti tüüpi, ligikaudset pindala, soovitud teenust ja algusaega. Tulemust hinnata kvalifitseeritud müügivihje hinna, mitte odava vormitäitmise järgi.</w:t>
      </w:r>
    </w:p>
    <w:p>
      <w:pPr>
        <w:pStyle w:val="Heading2"/>
        <w:keepNext/>
      </w:pPr>
      <w:r>
        <w:t>7.3. Otsene B2B müük ja partnerlused - soovitatav</w:t>
      </w:r>
    </w:p>
    <w:p>
      <w:pPr/>
      <w:r>
        <w:rPr>
          <w:rFonts w:ascii="Calibri" w:hAnsi="Calibri"/>
          <w:b w:val="0"/>
          <w:i w:val="0"/>
          <w:sz w:val="22"/>
        </w:rPr>
        <w:t>Sihitud koostöö kinnisvara- ja haldusjuhtide, ehitusettevõtete, ärikinnisvara omanike, büroojuhtide ja haldusfirmadega võib anda parema tulemuse kui lai tasuline sotsiaalmeedia. Kasutada kliendilugusid, objekti auditit ja selget teenindusprotsessi müügimaterjalina.</w:t>
      </w:r>
    </w:p>
    <w:p>
      <w:pPr>
        <w:pStyle w:val="Heading2"/>
        <w:keepNext/>
      </w:pPr>
      <w:r>
        <w:t>7.4. LinkedIn - esmalt orgaaniline ja müügitöö</w:t>
      </w:r>
    </w:p>
    <w:p>
      <w:pPr/>
      <w:r>
        <w:rPr>
          <w:rFonts w:ascii="Calibri" w:hAnsi="Calibri"/>
          <w:b w:val="0"/>
          <w:i w:val="0"/>
          <w:sz w:val="22"/>
        </w:rPr>
        <w:t>Tasuline LinkedIn ei ole praeguse eelarve juures esimene valik. Mõistlikum on kasutada juhtide ekspertpostitusi, kliendilugusid ja sihitud otsekontakti. Reklaami kaaluda alles väikese nimekirja kõrge väärtusega ettevõtete kontopõhise sihtimise korral.</w:t>
      </w:r>
    </w:p>
    <w:p>
      <w:pPr>
        <w:pStyle w:val="Heading2"/>
        <w:keepNext/>
      </w:pPr>
      <w:r>
        <w:t>7.5. Raadio ja välireklaam - praegu mitte</w:t>
      </w:r>
    </w:p>
    <w:p>
      <w:pPr/>
      <w:r>
        <w:rPr>
          <w:rFonts w:ascii="Calibri" w:hAnsi="Calibri"/>
          <w:b w:val="0"/>
          <w:i w:val="0"/>
          <w:sz w:val="22"/>
        </w:rPr>
        <w:t>Need kanalid sobivad paremini laia tuntuse, värbamise või konkreetse geograafilise kampaania jaoks. B2B koristuspäringute puhul on ostukavatsus nõrgem ja tulemuse omistamine keerulisem. Neid tuleks kaaluda alles pärast Google'i mõõtmise korrastamist ja otsingunõudluse kasumlikku ärakasutamist.</w:t>
      </w:r>
    </w:p>
    <w:p>
      <w:pPr>
        <w:pStyle w:val="Heading1"/>
        <w:keepNext/>
      </w:pPr>
      <w:r>
        <w:t>8. Soovitatav kanalite järjekord</w:t>
      </w:r>
    </w:p>
    <w:p>
      <w:pPr>
        <w:pStyle w:val="ListNumber"/>
        <w:keepLines/>
      </w:pPr>
      <w:r>
        <w:rPr>
          <w:rFonts w:ascii="Calibri" w:hAnsi="Calibri"/>
          <w:b w:val="0"/>
          <w:i w:val="0"/>
          <w:sz w:val="22"/>
        </w:rPr>
        <w:t>Google Search ja konversioonide mõõtmise parandamine.</w:t>
      </w:r>
    </w:p>
    <w:p>
      <w:pPr>
        <w:pStyle w:val="ListNumber"/>
        <w:keepLines/>
      </w:pPr>
      <w:r>
        <w:rPr>
          <w:rFonts w:ascii="Calibri" w:hAnsi="Calibri"/>
          <w:b w:val="0"/>
          <w:i w:val="0"/>
          <w:sz w:val="22"/>
        </w:rPr>
        <w:t>Teenusepõhised sihtlehed, SEO ja Google Business Profile.</w:t>
      </w:r>
    </w:p>
    <w:p>
      <w:pPr>
        <w:pStyle w:val="ListNumber"/>
        <w:keepLines/>
      </w:pPr>
      <w:r>
        <w:rPr>
          <w:rFonts w:ascii="Calibri" w:hAnsi="Calibri"/>
          <w:b w:val="0"/>
          <w:i w:val="0"/>
          <w:sz w:val="22"/>
        </w:rPr>
        <w:t>Otsene B2B müük, soovitused ja partnerlused.</w:t>
      </w:r>
    </w:p>
    <w:p>
      <w:pPr>
        <w:pStyle w:val="ListNumber"/>
        <w:keepLines/>
      </w:pPr>
      <w:r>
        <w:rPr>
          <w:rFonts w:ascii="Calibri" w:hAnsi="Calibri"/>
          <w:b w:val="0"/>
          <w:i w:val="0"/>
          <w:sz w:val="22"/>
        </w:rPr>
        <w:t>Väike Meta test alles pärast usaldusväärse müügivihje mõõtmise käivitamist.</w:t>
      </w:r>
    </w:p>
    <w:p>
      <w:pPr>
        <w:pStyle w:val="ListNumber"/>
        <w:keepLines/>
      </w:pPr>
      <w:r>
        <w:rPr>
          <w:rFonts w:ascii="Calibri" w:hAnsi="Calibri"/>
          <w:b w:val="0"/>
          <w:i w:val="0"/>
          <w:sz w:val="22"/>
        </w:rPr>
        <w:t>LinkedIn Ads, raadio ja välireklaam alles suurema eelarve ning selge tuntuseesmärgi korral.</w:t>
      </w:r>
    </w:p>
    <w:p>
      <w:pPr>
        <w:spacing w:before="80" w:after="200" w:line="264" w:lineRule="auto"/>
        <w:ind w:left="259" w:right="259"/>
        <w:shd w:fill="E8EEF5"/>
      </w:pPr>
      <w:r>
        <w:rPr>
          <w:rFonts w:ascii="Calibri" w:hAnsi="Calibri"/>
          <w:b/>
          <w:i w:val="0"/>
          <w:color w:val="0B2545"/>
          <w:sz w:val="22"/>
        </w:rPr>
        <w:t xml:space="preserve">Eelarvesoovitus. </w:t>
      </w:r>
      <w:r>
        <w:rPr>
          <w:rFonts w:ascii="Calibri" w:hAnsi="Calibri"/>
          <w:b w:val="0"/>
          <w:i w:val="0"/>
          <w:color w:val="0B2545"/>
          <w:sz w:val="22"/>
        </w:rPr>
        <w:t>Kui tasulise meedia eelarve jääb alla umbes 1500 euro kuus, ei tasu seda mitme kanali vahel killustada. Põhiosa peaks jääma Google Searchi; lisaraha suunata esmalt mõõtmisse, sisusse ja sihtlehtedesse.</w:t>
      </w:r>
    </w:p>
    <w:p>
      <w:pPr>
        <w:pStyle w:val="Heading1"/>
        <w:keepNext/>
      </w:pPr>
      <w:r>
        <w:t>9. 90 päeva tegevusplaan</w:t>
      </w:r>
    </w:p>
    <w:p>
      <w:pPr>
        <w:pStyle w:val="Heading2"/>
        <w:keepNext/>
      </w:pPr>
      <w:r>
        <w:t>Nädalad 1-2</w:t>
      </w:r>
    </w:p>
    <w:p>
      <w:pPr>
        <w:pStyle w:val="ListBullet"/>
        <w:keepLines/>
      </w:pPr>
      <w:r>
        <w:rPr>
          <w:rFonts w:ascii="Calibri" w:hAnsi="Calibri"/>
          <w:b w:val="0"/>
          <w:i w:val="0"/>
          <w:sz w:val="22"/>
        </w:rPr>
        <w:t>Konversioonide audit ja parandamine; põhi- ja sekundaarsete eesmärkide eristamine.</w:t>
      </w:r>
    </w:p>
    <w:p>
      <w:pPr>
        <w:pStyle w:val="ListBullet"/>
        <w:keepLines/>
      </w:pPr>
      <w:r>
        <w:rPr>
          <w:rFonts w:ascii="Calibri" w:hAnsi="Calibri"/>
          <w:b w:val="0"/>
          <w:i w:val="0"/>
          <w:sz w:val="22"/>
        </w:rPr>
        <w:t>Kõnede, vormide, GCLID ja müügivihje kvaliteedi protsessi paika panemine.</w:t>
      </w:r>
    </w:p>
    <w:p>
      <w:pPr>
        <w:pStyle w:val="ListBullet"/>
        <w:keepLines/>
      </w:pPr>
      <w:r>
        <w:rPr>
          <w:rFonts w:ascii="Calibri" w:hAnsi="Calibri"/>
          <w:b w:val="0"/>
          <w:i w:val="0"/>
          <w:sz w:val="22"/>
        </w:rPr>
        <w:t>Negatiivsete märksõnade esimene puhastus.</w:t>
      </w:r>
    </w:p>
    <w:p>
      <w:pPr>
        <w:pStyle w:val="Heading2"/>
        <w:keepNext/>
      </w:pPr>
      <w:r>
        <w:t>Nädalad 3-6</w:t>
      </w:r>
    </w:p>
    <w:p>
      <w:pPr>
        <w:pStyle w:val="ListBullet"/>
        <w:keepLines/>
      </w:pPr>
      <w:r>
        <w:rPr>
          <w:rFonts w:ascii="Calibri" w:hAnsi="Calibri"/>
          <w:b w:val="0"/>
          <w:i w:val="0"/>
          <w:sz w:val="22"/>
        </w:rPr>
        <w:t>Kampaaniate koondamine soovitatud struktuuri ning reklaami-sihtlehe vastavuse parandamine.</w:t>
      </w:r>
    </w:p>
    <w:p>
      <w:pPr>
        <w:pStyle w:val="ListBullet"/>
        <w:keepLines/>
      </w:pPr>
      <w:r>
        <w:rPr>
          <w:rFonts w:ascii="Calibri" w:hAnsi="Calibri"/>
          <w:b w:val="0"/>
          <w:i w:val="0"/>
          <w:sz w:val="22"/>
        </w:rPr>
        <w:t>Uute reklaamsõnumite ja varade käivitamine.</w:t>
      </w:r>
    </w:p>
    <w:p>
      <w:pPr>
        <w:pStyle w:val="ListBullet"/>
        <w:keepLines/>
      </w:pPr>
      <w:r>
        <w:rPr>
          <w:rFonts w:ascii="Calibri" w:hAnsi="Calibri"/>
          <w:b w:val="0"/>
          <w:i w:val="0"/>
          <w:sz w:val="22"/>
        </w:rPr>
        <w:t>Esimeste kvalifitseeritud müügivihjete tagasisidestamine Google Adsile.</w:t>
      </w:r>
    </w:p>
    <w:p>
      <w:pPr>
        <w:pStyle w:val="Heading2"/>
        <w:keepNext/>
      </w:pPr>
      <w:r>
        <w:t>Nädalad 7-12</w:t>
      </w:r>
    </w:p>
    <w:p>
      <w:pPr>
        <w:pStyle w:val="ListBullet"/>
        <w:keepLines/>
      </w:pPr>
      <w:r>
        <w:rPr>
          <w:rFonts w:ascii="Calibri" w:hAnsi="Calibri"/>
          <w:b w:val="0"/>
          <w:i w:val="0"/>
          <w:sz w:val="22"/>
        </w:rPr>
        <w:t>Eelarve ümberjagamine kvalifitseeritud müügivihje hinna alusel.</w:t>
      </w:r>
    </w:p>
    <w:p>
      <w:pPr>
        <w:pStyle w:val="ListBullet"/>
        <w:keepLines/>
      </w:pPr>
      <w:r>
        <w:rPr>
          <w:rFonts w:ascii="Calibri" w:hAnsi="Calibri"/>
          <w:b w:val="0"/>
          <w:i w:val="0"/>
          <w:sz w:val="22"/>
        </w:rPr>
        <w:t>SEO teenuselehtede ja kliendilugude avaldamine.</w:t>
      </w:r>
    </w:p>
    <w:p>
      <w:pPr>
        <w:pStyle w:val="ListBullet"/>
        <w:keepLines/>
      </w:pPr>
      <w:r>
        <w:rPr>
          <w:rFonts w:ascii="Calibri" w:hAnsi="Calibri"/>
          <w:b w:val="0"/>
          <w:i w:val="0"/>
          <w:sz w:val="22"/>
        </w:rPr>
        <w:t>Kui mõõtmine töötab ja müügiprotsess suudab päringuid töödelda, käivitada piiratud Meta test.</w:t>
      </w:r>
    </w:p>
    <w:p>
      <w:pPr>
        <w:pStyle w:val="Heading1"/>
        <w:keepNext/>
      </w:pPr>
      <w:r>
        <w:t>10. Lõppjäreldus</w:t>
      </w:r>
    </w:p>
    <w:p>
      <w:pPr/>
      <w:r>
        <w:rPr>
          <w:rFonts w:ascii="Calibri" w:hAnsi="Calibri"/>
          <w:b w:val="0"/>
          <w:i w:val="0"/>
          <w:sz w:val="22"/>
        </w:rPr>
        <w:t>SPS Grupp ei vaja praegu tingimata rohkem reklaamikanaleid; ettevõte vajab kõigepealt täpsemat teadmist sellest, millised Google'i klikid muutuvad kvalifitseeritud päringuteks ja lepinguteks. Searchi liiklus on piisavalt relevantne ning näitamiste osakaal jätab kasvuruumi. Seetõttu on kõige kasumlikum järgmine samm mõõtmise, kampaaniastruktuuri, reklaamide ja sihtlehtede parandamine.</w:t>
      </w:r>
    </w:p>
    <w:p>
      <w:pPr/>
      <w:r>
        <w:rPr>
          <w:rFonts w:ascii="Calibri" w:hAnsi="Calibri"/>
          <w:b w:val="0"/>
          <w:i w:val="0"/>
          <w:sz w:val="22"/>
        </w:rPr>
        <w:t>Meta võib olla järgmine kontrollitud test. SEO, Google Business Profile ja otsene B2B partnerlus tasub käivitada paralleelselt. Raadio ja välireklaam ei ole praeguses etapis prioriteetsed.</w:t>
      </w:r>
    </w:p>
    <w:p>
      <w:pPr>
        <w:pStyle w:val="Heading1"/>
        <w:keepNext/>
      </w:pPr>
      <w:r>
        <w:t>Allikad</w:t>
      </w:r>
    </w:p>
    <w:p>
      <w:pPr/>
      <w:r>
        <w:rPr>
          <w:rFonts w:ascii="Calibri" w:hAnsi="Calibri"/>
          <w:b w:val="0"/>
          <w:i w:val="0"/>
          <w:sz w:val="21"/>
        </w:rPr>
        <w:t xml:space="preserve">Google Ads: täiustatud konversioonid müügivihjetele ja offline-konversioonid - </w:t>
      </w:r>
      <w:hyperlink r:id="rId11">
        <w:r>
          <w:rPr>
            <w:color w:val="2E74B5"/>
            <w:u w:val="single"/>
          </w:rPr>
          <w:t>Google Ads Help</w:t>
        </w:r>
      </w:hyperlink>
    </w:p>
    <w:p>
      <w:pPr/>
      <w:r>
        <w:rPr>
          <w:rFonts w:ascii="Calibri" w:hAnsi="Calibri"/>
          <w:b w:val="0"/>
          <w:i w:val="0"/>
          <w:sz w:val="21"/>
        </w:rPr>
        <w:t xml:space="preserve">Meta: müügivihjereklaamid ja vormid - </w:t>
      </w:r>
      <w:hyperlink r:id="rId12">
        <w:r>
          <w:rPr>
            <w:color w:val="2E74B5"/>
            <w:u w:val="single"/>
          </w:rPr>
          <w:t>Meta for Business</w:t>
        </w:r>
      </w:hyperlink>
    </w:p>
    <w:p>
      <w:pPr/>
      <w:r>
        <w:rPr>
          <w:rFonts w:ascii="Calibri" w:hAnsi="Calibri"/>
          <w:b w:val="0"/>
          <w:i w:val="0"/>
          <w:sz w:val="22"/>
        </w:rPr>
        <w:t>Kontoandmed pärinevad SPS Grupp OÜ Google Ads konto kirjutuskaitstud vaatest. Raporti koostamisel kontol muudatusi ei tehtud.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976"/>
        <w:sz w:val="18"/>
      </w:rPr>
      <w:t xml:space="preserve">Lk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976"/>
        <w:sz w:val="18"/>
      </w:rPr>
      <w:t>SPS GRUPP OÜ  |  GOOGLE ADS KONTO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oogle-ads/answer/10029210?hl=en" TargetMode="External"/><Relationship Id="rId12" Type="http://schemas.openxmlformats.org/officeDocument/2006/relationships/hyperlink" Target="https://www.facebook.com/business/ads/ad-objectives/lead-generation/lead-ads-with-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SPS Grupp OÜ Google Ads konto audit</dc:title>
  <dc:subject>Kampaaniastrateegia, reklaamsõnumid ja kanalivaliku soovitused</dc:subject>
  <dc:creator>Outline / Codex</dc:creator>
  <cp:keywords>SPS Grupp, Google Ads, turundus, audit, Eesti</cp:keywords>
  <dc:description>generated by python-docx</dc:description>
  <cp:lastModifiedBy/>
  <cp:revision>1</cp:revision>
  <dcterms:created xsi:type="dcterms:W3CDTF">2013-12-23T23:15:00Z</dcterms:created>
  <dcterms:modified xsi:type="dcterms:W3CDTF">2013-12-23T23:15:00Z</dcterms:modified>
  <cp:category/>
</cp:coreProperties>
</file>