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Coleta de requisitos do sistema de laudos médicos</w:t>
      </w:r>
    </w:p>
    <w:p>
      <w:r>
        <w:t>Policlínica Regional de Santo Antônio de Jesus</w:t>
        <w:br/>
        <w:t>Data de consolidação: 23/09/2026 | Versão: 1.0 para validação</w:t>
      </w:r>
    </w:p>
    <w:p>
      <w:r>
        <w:t>Este documento reúne o escopo de elaboração e gerenciamento de laudos com imagens, assinatura individual e acesso pela rede local. Orienta o desenvolvimento e a homologação. Itens identificados como proposta ou pendência dependem de validação da policlínica; as funcionalidades do protótipo não equivalem à entrega do sistema de produção.</w:t>
      </w:r>
    </w:p>
    <w:p>
      <w:pPr>
        <w:pStyle w:val="Heading1"/>
      </w:pPr>
      <w:r>
        <w:t>1 Identificação do projeto</w:t>
      </w:r>
    </w:p>
    <w:p>
      <w:r>
        <w:t>Nome do projeto: Sistema de elaboração e gerenciamento de laudos médicos (nome comercial a definir).</w:t>
        <w:br/>
        <w:t>Cliente / organização: Policlínica Regional de Santo Antônio de Jesus.</w:t>
        <w:br/>
        <w:t>Responsável pelo levantamento: Ronaldo Correia Couto.</w:t>
        <w:br/>
        <w:t>Responsável pela aprovação: Ronaldo Correia Couto.</w:t>
      </w:r>
    </w:p>
    <w:p>
      <w:pPr>
        <w:pStyle w:val="Heading1"/>
      </w:pPr>
      <w:r>
        <w:t>2 Objetivo e contexto</w:t>
      </w:r>
    </w:p>
    <w:p>
      <w:r>
        <w:t>Problema ou necessidade: os médicos precisam elaborar laudos de colonoscopia, endoscopia, ecocardiograma e ultrassonografia a partir dos modelos já utilizados, preencher informações clínicas, incluir imagens e assinar individualmente os documentos.</w:t>
      </w:r>
    </w:p>
    <w:p>
      <w:r>
        <w:t>Objetivo do sistema: centralizar a elaboração, consulta e gestão dos laudos e imagens, com acesso por usuário e senha, permissões por perfil, emissão em PDF e impressão. O foco evoluiu do gerenciamento de pastas para o fluxo completo de laudos; a importação de pastas permanece para incorporar imagens dos exames.</w:t>
      </w:r>
    </w:p>
    <w:p>
      <w:pPr>
        <w:pStyle w:val="Heading1"/>
      </w:pPr>
      <w:r>
        <w:t>3 Escopo</w:t>
      </w:r>
    </w:p>
    <w:p>
      <w:pPr>
        <w:pStyle w:val="Heading2"/>
      </w:pPr>
      <w:r>
        <w:t>3.1 Dentro do escopo</w:t>
      </w:r>
    </w:p>
    <w:p>
      <w:r>
        <w:t>Login; gestão de usuários pelo administrador; edição do próprio perfil; modelos predefinidos por exame; identificação de paciente e atendimento; preenchimento clínico pelo médico; importação e seleção de imagens; laudo com anexos; assinatura individual; PDF, impressão, consulta e gerenciamento de documentos; operação em vários computadores da rede local.</w:t>
      </w:r>
    </w:p>
    <w:p>
      <w:pPr>
        <w:pStyle w:val="Heading2"/>
      </w:pPr>
      <w:r>
        <w:t>3.2 Fora do escopo</w:t>
      </w:r>
    </w:p>
    <w:p>
      <w:r>
        <w:t>Proposta para esta versão: agendamento de consultas, estoque de medicamentos, faturamento, telemedicina, diagnóstico automatizado e portal externo do paciente. Integrações com equipamentos, PACS, DICOM e outros sistemas não estão confirmadas e exigem levantamento específico. A assinatura real pertence ao escopo final, mas não está implementada no protótipo de telas.</w:t>
      </w:r>
    </w:p>
    <w:p>
      <w:pPr>
        <w:pStyle w:val="Heading1"/>
      </w:pPr>
      <w:r>
        <w:t>4 Usuários e permissões</w:t>
      </w:r>
    </w:p>
    <w:p>
      <w:r>
        <w:t>Administrador: cadastrar, editar e excluir usuários; gerenciar documentos e o cadastro relacionado às assinaturas dos médicos. Não alterar conteúdo clínico nem assinar em nome de outro profissional. Critérios de consulta, arquivamento e exclusão de documentos devem ser homologados.</w:t>
      </w:r>
    </w:p>
    <w:p>
      <w:r>
        <w:t>Médico: preencher laudos nos modelos disponíveis, incluir e organizar imagens e assinar os documentos sob sua responsabilidade. Pode editar o próprio perfil e senha. O acesso a laudos de outros médicos ainda precisa ser definido; proposta inicial: somente os próprios.</w:t>
      </w:r>
    </w:p>
    <w:p>
      <w:r>
        <w:t>Restrições propostas: impedir exclusão da conta em uso e remoção do último administrador; preservar documentos ao excluir usuários. A aprovação de acesso e a distribuição de responsabilidades precisam ser confirmadas.</w:t>
      </w:r>
    </w:p>
    <w:p>
      <w:pPr>
        <w:pStyle w:val="Heading1"/>
        <w:pageBreakBefore/>
      </w:pPr>
      <w:r>
        <w:t>5 Requisitos funcionais</w:t>
      </w:r>
    </w:p>
    <w:p>
      <w:pPr>
        <w:pStyle w:val="Heading2"/>
      </w:pPr>
      <w:r>
        <w:t>RF 001 Autenticação</w:t>
      </w:r>
    </w:p>
    <w:p>
      <w:r>
        <w:t>Descrição: Permitir acesso por identificador e senha, sem cadastro público. Proposta: utilizar e-mail como identificador.</w:t>
      </w:r>
    </w:p>
    <w:p>
      <w:r>
        <w:t>Critério de aceite: Credenciais válidas abrem a área permitida; credenciais inválidas são recusadas; sair encerra a sessão.</w:t>
      </w:r>
    </w:p>
    <w:p>
      <w:pPr>
        <w:pStyle w:val="Heading2"/>
      </w:pPr>
      <w:r>
        <w:t>RF 002 Gerenciamento de usuários</w:t>
      </w:r>
    </w:p>
    <w:p>
      <w:r>
        <w:t>Descrição: Permitir que somente o administrador cadastre, edite e exclua usuários e atribua perfis.</w:t>
      </w:r>
    </w:p>
    <w:p>
      <w:r>
        <w:t>Critério de aceite: Médico não consegue executar operações administrativas, inclusive por requisição direta. Exclusão não elimina laudos vinculados.</w:t>
      </w:r>
    </w:p>
    <w:p>
      <w:pPr>
        <w:pStyle w:val="Heading2"/>
      </w:pPr>
      <w:r>
        <w:t>RF 003 Perfil do profissional</w:t>
      </w:r>
    </w:p>
    <w:p>
      <w:r>
        <w:t>Descrição: Permitir edição do próprio perfil e senha, incluindo nome, identificação profissional e CRM/UF.</w:t>
      </w:r>
    </w:p>
    <w:p>
      <w:r>
        <w:t>Critério de aceite: Alterações autorizadas persistem; médico não consegue elevar seu perfil para administrador.</w:t>
      </w:r>
    </w:p>
    <w:p>
      <w:pPr>
        <w:pStyle w:val="Heading2"/>
      </w:pPr>
      <w:r>
        <w:t>RF 004 Modelos de laudo</w:t>
      </w:r>
    </w:p>
    <w:p>
      <w:r>
        <w:t>Descrição: Disponibilizar modelos predefinidos da policlínica para os quatro tipos de exame. O médico preenche os campos sem alterar a estrutura institucional.</w:t>
      </w:r>
    </w:p>
    <w:p>
      <w:r>
        <w:t>Critério de aceite: Campos e saída impressa correspondem ao modelo aprovado de cada exame. A referência recebida cobre a estrutura de ultrassonografia; demais modelos são pendentes.</w:t>
      </w:r>
    </w:p>
    <w:p>
      <w:pPr>
        <w:pStyle w:val="Heading2"/>
      </w:pPr>
      <w:r>
        <w:t>RF 005 Identificação do laudo</w:t>
      </w:r>
    </w:p>
    <w:p>
      <w:r>
        <w:t>Descrição: Vincular paciente, CNS, atendimento, número do laudo, médico solicitante e executante ao documento.</w:t>
      </w:r>
    </w:p>
    <w:p>
      <w:r>
        <w:t>Critério de aceite: O PDF apresenta os dados do registro correto; não mistura pacientes ou exames. Regra de numeração e identificadores obrigatórios serão homologados.</w:t>
      </w:r>
    </w:p>
    <w:p>
      <w:pPr>
        <w:pStyle w:val="Heading2"/>
      </w:pPr>
      <w:r>
        <w:t>RF 006 Preenchimento clínico</w:t>
      </w:r>
    </w:p>
    <w:p>
      <w:r>
        <w:t>Descrição: Registrar procedimento, tipo de laudo, especificação, equipamento, descrição, impressão diagnóstica, avaliação do pedido e justificativa.</w:t>
      </w:r>
    </w:p>
    <w:p>
      <w:r>
        <w:t>Critério de aceite: Médico responsável salva e recupera o preenchimento; administrador não altera conteúdo clínico. Obrigatoriedade por exame deve seguir o modelo aprovado.</w:t>
      </w:r>
    </w:p>
    <w:p>
      <w:pPr>
        <w:pStyle w:val="Heading2"/>
      </w:pPr>
      <w:r>
        <w:t>RF 007 Importação e organização de imagens</w:t>
      </w:r>
    </w:p>
    <w:p>
      <w:r>
        <w:t>Descrição: Importar imagens de pastas ou arquivos, selecionar quais comporão o documento e ordenar os anexos. Legendas são uma proposta de apoio.</w:t>
      </w:r>
    </w:p>
    <w:p>
      <w:r>
        <w:t>Critério de aceite: Somente imagens selecionadas aparecem no laudo correspondente, na ordem escolhida; arquivos incompatíveis produzem aviso.</w:t>
      </w:r>
    </w:p>
    <w:p>
      <w:pPr>
        <w:pStyle w:val="Heading2"/>
      </w:pPr>
      <w:r>
        <w:t>RF 008 Prévia e emissão do documento</w:t>
      </w:r>
    </w:p>
    <w:p>
      <w:r>
        <w:t>Descrição: Exibir prévia, gerar PDF e imprimir laudo seguido das páginas anexas de imagens.</w:t>
      </w:r>
    </w:p>
    <w:p>
      <w:r>
        <w:t>Critério de aceite: Conteúdo não é cortado; imagens preservam proporção; anexos começam após o texto do laudo. O bloco visual de assinatura aparece somente no laudo.</w:t>
      </w:r>
    </w:p>
    <w:p>
      <w:pPr>
        <w:pStyle w:val="Heading1"/>
        <w:pageBreakBefore/>
      </w:pPr>
      <w:r>
        <w:t>5 Requisitos funcionais continuação</w:t>
      </w:r>
    </w:p>
    <w:p>
      <w:pPr>
        <w:pStyle w:val="Heading2"/>
      </w:pPr>
      <w:r>
        <w:t>RF 009 Assinatura individual</w:t>
      </w:r>
    </w:p>
    <w:p>
      <w:r>
        <w:t>Descrição: Vincular a assinatura ao médico responsável e exigir sua autorização para assinar. A tecnologia, o provedor e a forma de guarda das credenciais ainda serão definidos.</w:t>
      </w:r>
    </w:p>
    <w:p>
      <w:r>
        <w:t>Critério de aceite: Somente o médico responsável realiza a assinatura; o sistema só informa sucesso após confirmação do mecanismo integrado. A assinatura visual não aparece nas páginas anexas.</w:t>
      </w:r>
    </w:p>
    <w:p>
      <w:pPr>
        <w:pStyle w:val="Heading2"/>
      </w:pPr>
      <w:r>
        <w:t>RF 010 Consulta e gerenciamento</w:t>
      </w:r>
    </w:p>
    <w:p>
      <w:r>
        <w:t>Descrição: Localizar laudos e imagens autorizados. Proposta de filtros: paciente, número, tipo de exame, data, médico e situação.</w:t>
      </w:r>
    </w:p>
    <w:p>
      <w:r>
        <w:t>Critério de aceite: Busca retorna apenas registros permitidos; documentos arquivados continuam preservados conforme política aprovada.</w:t>
      </w:r>
    </w:p>
    <w:p>
      <w:pPr>
        <w:pStyle w:val="Heading2"/>
      </w:pPr>
      <w:r>
        <w:t>RF 011 Rascunhos e revisão</w:t>
      </w:r>
    </w:p>
    <w:p>
      <w:r>
        <w:t>Descrição: Proposta: salvar rascunhos, revisar antes da assinatura e preservar versões de documentos assinados.</w:t>
      </w:r>
    </w:p>
    <w:p>
      <w:r>
        <w:t>Critério de aceite: Rascunho pode ser retomado; alterações posteriores à assinatura não sobrescrevem o original. Fluxo de correção e cancelamento depende de validação.</w:t>
      </w:r>
    </w:p>
    <w:p>
      <w:pPr>
        <w:pStyle w:val="Heading2"/>
      </w:pPr>
      <w:r>
        <w:t>Campos identificados no material de referência</w:t>
      </w:r>
    </w:p>
    <w:p>
      <w:r>
        <w:t>Formulário: médico solicitante, UF e número do conselho; procedimento agendado; tipo de laudo; especificação; equipamento; descrição; impressão diagnóstica; avaliação do pedido (adequado, inadequado ou questionável); justificativa.</w:t>
      </w:r>
    </w:p>
    <w:p>
      <w:r>
        <w:t>Na tela fornecida aparecem asteriscos em tipo de laudo, equipamento, descrição, impressão e avaliação do pedido. Confirmar se a mesma obrigatoriedade se aplica aos quatro exames.</w:t>
      </w:r>
    </w:p>
    <w:p>
      <w:r>
        <w:t>Documento impresso: cabeçalho institucional, executante, solicitante, paciente, CNS, número do laudo, data do atendimento, título do exame, equipamento, descrição, impressão diagnóstica, identificação e CRM do médico. Avaliação do pedido e justificativa não aparecem no exemplo; proposta: manter esses dados apenas internamente.</w:t>
      </w:r>
    </w:p>
    <w:p>
      <w:pPr>
        <w:pStyle w:val="Heading1"/>
      </w:pPr>
      <w:r>
        <w:t>6 Requisitos não funcionais</w:t>
      </w:r>
    </w:p>
    <w:p>
      <w:pPr>
        <w:pStyle w:val="Heading2"/>
      </w:pPr>
      <w:r>
        <w:t>RNF 001 Segurança e autenticação</w:t>
      </w:r>
    </w:p>
    <w:p>
      <w:r>
        <w:t>Requisito proposto: proteger credenciais com hash apropriado, validar permissões no servidor e encerrar sessões conforme política aprovada. O exemplo original de bloqueio após cinco erros não constitui decisão confirmada; quantidade, duração e desbloqueio estão pendentes.</w:t>
        <w:br/>
        <w:t>Verificação: testes de login, sessão, acesso direto e elevação indevida de privilégio.</w:t>
      </w:r>
    </w:p>
    <w:p>
      <w:pPr>
        <w:pStyle w:val="Heading2"/>
      </w:pPr>
      <w:r>
        <w:t>RNF 002 Operação em rede local</w:t>
      </w:r>
    </w:p>
    <w:p>
      <w:r>
        <w:t>Requisito confirmado: disponibilizar dados centralizados para vários computadores da policlínica.</w:t>
        <w:br/>
        <w:t>Verificação: um registro salvo em uma estação é consultado em outra, com conta autorizada. Quantidade de estações e usuários simultâneos ainda será levantada.</w:t>
      </w:r>
    </w:p>
    <w:p>
      <w:pPr>
        <w:pStyle w:val="Heading2"/>
      </w:pPr>
      <w:r>
        <w:t>RNF 003 Integridade e concorrência</w:t>
      </w:r>
    </w:p>
    <w:p>
      <w:r>
        <w:t>Requisito proposto: impedir gravações parciais e sobrescrita silenciosa quando dois usuários alteram o mesmo registro.</w:t>
        <w:br/>
        <w:t>Verificação: simular falha na importação e edição simultânea; preservar os dados consistentes ou informar o conflito.</w:t>
      </w:r>
    </w:p>
    <w:p>
      <w:pPr>
        <w:pStyle w:val="Heading1"/>
        <w:pageBreakBefore/>
      </w:pPr>
      <w:r>
        <w:t>6 Requisitos não funcionais continuação</w:t>
      </w:r>
    </w:p>
    <w:p>
      <w:pPr>
        <w:pStyle w:val="Heading2"/>
      </w:pPr>
      <w:r>
        <w:t>RNF 004 Desempenho e compatibilidade</w:t>
      </w:r>
    </w:p>
    <w:p>
      <w:r>
        <w:t>Requisito a dimensionar: estabelecer tempos máximos de busca, abertura e geração de PDF com volume representativo.</w:t>
        <w:br/>
        <w:t>Verificação: medir nos computadores e navegadores homologados; metas, volume e navegadores permanecem pendentes, sem valores arbitrários.</w:t>
      </w:r>
    </w:p>
    <w:p>
      <w:pPr>
        <w:pStyle w:val="Heading2"/>
      </w:pPr>
      <w:r>
        <w:t>RNF 005 Recuperação e legibilidade</w:t>
      </w:r>
    </w:p>
    <w:p>
      <w:r>
        <w:t>Requisito proposto: permitir restauração de banco e arquivos e produzir documentos legíveis, sem cortes de texto ou distorção das imagens.</w:t>
        <w:br/>
        <w:t>Verificação: restaurar uma cópia de teste e conferir vínculos; imprimir textos extensos e anexos em múltiplas páginas. Periodicidade de backup e prazos de recuperação serão definidos.</w:t>
      </w:r>
    </w:p>
    <w:p>
      <w:pPr>
        <w:pStyle w:val="Heading1"/>
      </w:pPr>
      <w:r>
        <w:t>7 Regras de negócio</w:t>
      </w:r>
    </w:p>
    <w:p>
      <w:r>
        <w:t>RN 001 — Somente o administrador cadastra novos usuários. Exceção: definição técnica do primeiro administrador, a validar.</w:t>
        <w:br/>
        <w:t>RN 002 — O administrador não altera conteúdo clínico nem assina pelo médico. Exceção: nenhuma confirmada.</w:t>
        <w:br/>
        <w:t>RN 003 — Cada médico possui identificação de assinatura individual. A guarda e utilização de certificados ou outros mecanismos dependem da solução escolhida. Exceção: nenhuma confirmada.</w:t>
        <w:br/>
        <w:t>RN 004 — As imagens ficam em páginas anexas após o laudo, sem assinatura visível nos anexos. Exceção: nenhuma confirmada.</w:t>
        <w:br/>
        <w:t>RN 005 — Os modelos seguem os documentos institucionais existentes. A responsabilidade por aprovar mudanças no modelo ainda será definida.</w:t>
        <w:br/>
        <w:t>RN 006 — Proposta: preservar a versão assinada e registrar correções em nova versão. Política de retificação, cancelamento e exclusão ainda será homologada.</w:t>
      </w:r>
    </w:p>
    <w:p>
      <w:pPr>
        <w:pStyle w:val="Heading1"/>
      </w:pPr>
      <w:r>
        <w:t>8 Segurança privacidade e LGPD</w:t>
      </w:r>
    </w:p>
    <w:p>
      <w:pPr>
        <w:pStyle w:val="Heading2"/>
      </w:pPr>
      <w:r>
        <w:t>Perfis de acesso e menor privilégio</w:t>
      </w:r>
    </w:p>
    <w:p>
      <w:r>
        <w:t>Aplicar permissões no servidor para leitura, edição, armazenamento, download e administração. Acesso local à rede não substitui autenticação. Definir quais médicos podem consultar documentos de outros profissionais.</w:t>
      </w:r>
    </w:p>
    <w:p>
      <w:pPr>
        <w:pStyle w:val="Heading2"/>
      </w:pPr>
      <w:r>
        <w:t>Proteção de senhas e autenticação</w:t>
      </w:r>
    </w:p>
    <w:p>
      <w:r>
        <w:t>Não armazenar senhas em texto legível. Definir política de senha, recuperação, bloqueio e expiração de sessão. Evitar o compartilhamento de contas. A solução de assinatura deve preservar o controle individual do médico sobre o ato de assinar.</w:t>
      </w:r>
    </w:p>
    <w:p>
      <w:pPr>
        <w:pStyle w:val="Heading2"/>
      </w:pPr>
      <w:r>
        <w:t>Registro de acessos alterações e exclusões</w:t>
      </w:r>
    </w:p>
    <w:p>
      <w:r>
        <w:t>Proposta: registrar usuário, data, hora, documento e ação nos eventos de consulta, criação, alteração, download, assinatura, arquivamento e exclusão. Definir quem consulta os registros e por quanto tempo serão preservados.</w:t>
      </w:r>
    </w:p>
    <w:p>
      <w:pPr>
        <w:pStyle w:val="Heading2"/>
      </w:pPr>
      <w:r>
        <w:t>Dados tratados e governança</w:t>
      </w:r>
    </w:p>
    <w:p>
      <w:r>
        <w:t>Dados previstos: identificação do paciente, CNS, informações do atendimento, conteúdo clínico e imagens; identificação e registro profissional dos médicos; contas e registros de acesso. Os dados clínicos requerem tratamento restrito. A policlínica deverá definir responsáveis, finalidades, fundamento jurídico aplicável, retenção, descarte e canal para direitos dos titulares. Esta coleta não constitui avaliação jurídica ou comprovação de conformidade.</w:t>
      </w:r>
    </w:p>
    <w:p>
      <w:pPr>
        <w:pStyle w:val="Heading1"/>
        <w:pageBreakBefore/>
      </w:pPr>
      <w:r>
        <w:t>9 Arquivos armazenamento e recuperação</w:t>
      </w:r>
    </w:p>
    <w:p>
      <w:r>
        <w:t>Tipos e formatos: imagens dos exames e PDF dos laudos. JPG, PNG e WebP estão no protótipo, mas precisam de homologação; DICOM e outros formatos não estão confirmados.</w:t>
        <w:br/>
        <w:t>Tamanho máximo: a definir por arquivo, pasta e laudo.</w:t>
        <w:br/>
        <w:t>Estrutura: vincular arquivos ao paciente, atendimento e laudo por identificadores internos; nomenclatura física e organização final serão definidas.</w:t>
        <w:br/>
        <w:t>Inclusão e alteração: médico autorizado importa e seleciona imagens; administrador gerencia os documentos sem alterar conteúdo clínico.</w:t>
        <w:br/>
        <w:t>Exclusão: distinguir remoção de imagem de rascunho, exclusão de conta e descarte de laudo. Política de descarte ainda não aprovada.</w:t>
        <w:br/>
        <w:t>Backup e recuperação: contemplar banco de dados e arquivos em conjunto, com teste de restauração. Responsável, frequência, local da cópia e objetivos de recuperação estão pendentes.</w:t>
        <w:br/>
        <w:t>Prazo de armazenamento: a definir pela policlínica com os responsáveis competentes.</w:t>
        <w:br/>
        <w:t>Ambiente: servidor central na rede local; o armazenamento isolado no navegador não atende à operação final em várias estações.</w:t>
      </w:r>
    </w:p>
    <w:p>
      <w:pPr>
        <w:pStyle w:val="Heading1"/>
      </w:pPr>
      <w:r>
        <w:t>10 Critérios de aceite e homologação</w:t>
      </w:r>
    </w:p>
    <w:p>
      <w:r>
        <w:t>Responsável pela validação: a definir pela policlínica. Evidências propostas: registros de teste, capturas de tela, PDFs de teste e resultados de restauração, usando dados fictícios.</w:t>
      </w:r>
    </w:p>
    <w:p>
      <w:pPr>
        <w:pStyle w:val="Heading2"/>
      </w:pPr>
      <w:r>
        <w:t>HA 01 Acesso e usuários</w:t>
      </w:r>
    </w:p>
    <w:p>
      <w:r>
        <w:t>Relacionados: RF 001 a RF 003. Testar login válido/inválido, cadastro administrativo e tentativa de acesso de médico à gestão. Esperado: operações permitidas por perfil e ausência de elevação indevida de acesso.</w:t>
      </w:r>
    </w:p>
    <w:p>
      <w:pPr>
        <w:pStyle w:val="Heading2"/>
      </w:pPr>
      <w:r>
        <w:t>HA 02 Conteúdo e modelos</w:t>
      </w:r>
    </w:p>
    <w:p>
      <w:r>
        <w:t>Relacionados: RF 004 a RF 006. Elaborar um laudo de cada exame com modelos aprovados. Esperado: campos e documento correspondentes; administrador impedido de alterar informações clínicas.</w:t>
      </w:r>
    </w:p>
    <w:p>
      <w:pPr>
        <w:pStyle w:val="Heading2"/>
      </w:pPr>
      <w:r>
        <w:t>HA 03 Imagens e impressão</w:t>
      </w:r>
    </w:p>
    <w:p>
      <w:r>
        <w:t>Relacionados: RF 007 e RF 008. Importar pasta, selecionar e reordenar imagens e gerar documento com texto extenso. Esperado: texto íntegro e imagens somente nas páginas anexas, sem bloco de assinatura nos anexos.</w:t>
      </w:r>
    </w:p>
    <w:p>
      <w:pPr>
        <w:pStyle w:val="Heading2"/>
      </w:pPr>
      <w:r>
        <w:t>HA 04 Assinatura e versões</w:t>
      </w:r>
    </w:p>
    <w:p>
      <w:r>
        <w:t>Relacionados: RF 009 e RF 011. Executar após definição e integração do mecanismo de assinatura. Esperado: identificação correta do signatário, confirmação verificável de assinatura e preservação do original conforme solução homologada.</w:t>
      </w:r>
    </w:p>
    <w:p>
      <w:pPr>
        <w:pStyle w:val="Heading2"/>
      </w:pPr>
      <w:r>
        <w:t>HA 05 Rede e recuperação</w:t>
      </w:r>
    </w:p>
    <w:p>
      <w:r>
        <w:t>Relacionados: RF 010 e RNF 002, 003 e 005. Consultar em duas estações, testar edição simultânea e restaurar uma cópia. Esperado: dados compartilhados, ausência de sobrescrita silenciosa e recuperação de banco e arquivos vinculados.</w:t>
      </w:r>
    </w:p>
    <w:p>
      <w:pPr>
        <w:pStyle w:val="Heading1"/>
        <w:pageBreakBefore/>
      </w:pPr>
      <w:r>
        <w:t>11 Pendências riscos e observações</w:t>
      </w:r>
    </w:p>
    <w:p>
      <w:pPr>
        <w:pStyle w:val="Heading2"/>
      </w:pPr>
      <w:r>
        <w:t>P 01 Responsáveis e homologação</w:t>
      </w:r>
    </w:p>
    <w:p>
      <w:r>
        <w:t>Levantamento e aprovação: Ronaldo Correia Couto. Definir os responsáveis pela administração técnica e validação clínica.</w:t>
      </w:r>
    </w:p>
    <w:p>
      <w:pPr>
        <w:pStyle w:val="Heading2"/>
      </w:pPr>
      <w:r>
        <w:t>P 02 Assinatura e alcance do arquivo</w:t>
      </w:r>
    </w:p>
    <w:p>
      <w:r>
        <w:t>Está confirmado que a assinatura deve aparecer apenas no laudo, sem bloco visível nas imagens. Ainda é necessário confirmar se o objetivo também é excluir os anexos da proteção criptográfica. Em PDF único assinado, a proteção alcança o arquivo; caso o laudo seja assinado separadamente, definir como anexos e documento permanecerão vinculados. Tecnologia e integração de assinatura ainda não foram escolhidas.</w:t>
      </w:r>
    </w:p>
    <w:p>
      <w:pPr>
        <w:pStyle w:val="Heading2"/>
      </w:pPr>
      <w:r>
        <w:t>P 03 Modelos institucionais</w:t>
      </w:r>
    </w:p>
    <w:p>
      <w:r>
        <w:t>Receber os modelos completos dos quatro exames, preferencialmente em arquivo editável, e as marcas oficiais. As fotografias recebidas permitem identificar campos e estrutura de ultrassonografia, mas não confirmam todas as variações clínicas ou o padrão gráfico final.</w:t>
      </w:r>
    </w:p>
    <w:p>
      <w:pPr>
        <w:pStyle w:val="Heading2"/>
      </w:pPr>
      <w:r>
        <w:t>P 04 Permissões e ciclo do documento</w:t>
      </w:r>
    </w:p>
    <w:p>
      <w:r>
        <w:t>Definir consulta entre médicos, responsabilidade por modelos, alterações após revisão, retificação, cancelamento, arquivamento e descarte. O bloqueio de revisão do protótipo não deve ser tratado como regra definitiva aprovada.</w:t>
      </w:r>
    </w:p>
    <w:p>
      <w:pPr>
        <w:pStyle w:val="Heading2"/>
      </w:pPr>
      <w:r>
        <w:t>P 05 Infraestrutura e capacidade</w:t>
      </w:r>
    </w:p>
    <w:p>
      <w:r>
        <w:t>Levantar estações, usuários simultâneos, servidor, rede, impressoras, navegadores, volume de exames, resolução das imagens e necessidade de funcionamento sem internet. Confirmar compatibilidade do mecanismo de assinatura com essa infraestrutura.</w:t>
      </w:r>
    </w:p>
    <w:p>
      <w:pPr>
        <w:pStyle w:val="Heading2"/>
      </w:pPr>
      <w:r>
        <w:t>P 06 Políticas operacionais</w:t>
      </w:r>
    </w:p>
    <w:p>
      <w:r>
        <w:t>Aprovar formatos, limites de arquivo, backup, restauração, retenção, acesso a logs, política de senha e recuperação. O bloqueio após cinco erros presente como exemplo no documento original precisa ser validado antes de virar requisito obrigatório.</w:t>
      </w:r>
    </w:p>
    <w:p>
      <w:pPr>
        <w:pStyle w:val="Heading2"/>
      </w:pPr>
      <w:r>
        <w:t>P 07 Situação do protótipo</w:t>
      </w:r>
    </w:p>
    <w:p>
      <w:r>
        <w:t>As telas React usam armazenamento local no navegador. Login local, permissões de interface e prévia não representam autenticação de produção, assinatura digital, auditoria ou operação centralizada em rede. A opção de salvar PDF utiliza a impressão do navegador.</w:t>
      </w:r>
    </w:p>
    <w:p>
      <w:pPr>
        <w:pStyle w:val="Heading2"/>
      </w:pPr>
      <w:r>
        <w:t>P 08 Riscos para o desenvolvimento</w:t>
      </w:r>
    </w:p>
    <w:p>
      <w:r>
        <w:t>A falta dos modelos específicos pode causar retrabalho nos campos e na impressão; escolha tardia da assinatura pode alterar infraestrutura e custos; ausência de limites e de políticas de backup impede dimensionamento confiável.</w:t>
      </w:r>
    </w:p>
    <w:p>
      <w:r>
        <w:t>Validação do documento: pendente. A aprovação deverá registrar os responsáveis, a data e as decisões sobre os itens acima, antes de consolidar a linha de base dos requisitos.</w:t>
      </w:r>
    </w:p>
    <w:sectPr>
      <w:headerReference r:id="rId6" w:type="default"/>
      <w:pgSz w:h="16838" w:w="11906" w:orient="portrait"/>
      <w:pgMar w:bottom="1134" w:top="1134" w:left="1247" w:right="124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  <w:rtl w:val="0"/>
      </w:rPr>
      <w:t xml:space="preserve">LEVANTAMENTO DE REQUISITOS  |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Next w:val="0"/>
      <w:pageBreakBefore w:val="0"/>
      <w:spacing w:after="80" w:line="259" w:lineRule="auto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200" w:before="360" w:lineRule="auto"/>
    </w:pPr>
    <w:rPr>
      <w:rFonts w:ascii="Arial" w:cs="Calibri" w:eastAsia="Calibri" w:hAnsi="Arial"/>
      <w:b w:val="1"/>
      <w:bCs w:val="1"/>
      <w:color w:val="000000"/>
      <w:sz w:val="28"/>
      <w:szCs w:val="32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140" w:before="280" w:lineRule="auto"/>
    </w:pPr>
    <w:rPr>
      <w:rFonts w:ascii="Arial" w:cs="Calibri" w:eastAsia="Calibri" w:hAnsi="Arial"/>
      <w:b w:val="1"/>
      <w:bCs w:val="1"/>
      <w:color w:val="000000"/>
      <w:sz w:val="22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200" w:lineRule="auto"/>
    </w:pPr>
    <w:rPr>
      <w:rFonts w:ascii="Arial" w:cs="Calibri" w:eastAsia="Calibri" w:hAnsi="Arial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1"/>
      <w:pageBreakBefore w:val="0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0"/>
      <w:keepLines w:val="1"/>
      <w:pageBreakBefore w:val="0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0"/>
      <w:keepLines w:val="1"/>
      <w:pageBreakBefore w:val="0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/>
      <w:pageBreakBefore w:val="0"/>
      <w:spacing w:after="120" w:before="0" w:line="240" w:lineRule="auto"/>
    </w:pPr>
    <w:rPr>
      <w:rFonts w:ascii="Arial" w:cs="Calibri" w:eastAsia="Calibri" w:hAnsi="Arial"/>
      <w:b w:val="1"/>
      <w:bCs w:val="1"/>
      <w:color w:val="000000"/>
      <w:sz w:val="40"/>
      <w:szCs w:val="52"/>
    </w:rPr>
  </w:style>
  <w:style w:type="paragraph" w:styleId="Subtitle">
    <w:name w:val="Subtitle"/>
    <w:basedOn w:val="Normal"/>
    <w:next w:val="Normal"/>
    <w:pPr>
      <w:keepNext w:val="0"/>
      <w:pageBreakBefore w:val="0"/>
      <w:spacing w:after="360" w:before="0" w:lineRule="auto"/>
    </w:pPr>
    <w:rPr>
      <w:rFonts w:ascii="Calibri" w:cs="Calibri" w:eastAsia="Calibri" w:hAnsi="Calibri"/>
      <w:b w:val="0"/>
      <w:bCs w:val="0"/>
      <w:i w:val="1"/>
      <w:iCs w:val="1"/>
      <w:color w:val="66708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