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3300"/>
        <w:tblGridChange w:id="0">
          <w:tblGrid>
            <w:gridCol w:w="7470"/>
            <w:gridCol w:w="3300"/>
          </w:tblGrid>
        </w:tblGridChange>
      </w:tblGrid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Romario Haddad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19051</wp:posOffset>
                  </wp:positionV>
                  <wp:extent cx="913447" cy="937306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47" cy="937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15"/>
                <w:szCs w:val="15"/>
                <w:highlight w:val="whit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sz w:val="15"/>
                <w:szCs w:val="15"/>
                <w:highlight w:val="white"/>
                <w:rtl w:val="0"/>
              </w:rPr>
              <w:t xml:space="preserve">Motivated and customer-focused professional. Passionate  for building relationships, seeking a challenging role in brokerage that allows for utilizing excellent communication and negotiation skills.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bookmarkStart w:colFirst="0" w:colLast="0" w:name="_c7jjf2nzhijh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yhtxopqa6d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Bsalim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Lebanon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+961 81 288 351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Monte Libano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Jal el dib— Property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Successfully facilitated property transactions.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connecting buyers and sellers and negotiating favorable terms.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Managed client relationships, addressing concerns, and providing tailored solutions to meet their real estate needs.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Collaborated with legal teams to ensure smooth and compliant property transfers.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Fidelity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Jal el dib—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 Insurance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Advised clients on suitable car insurance coverage based on individual needs, driving history, and budget.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 Processed insurance claims efficiently, providing exceptional customer service and resolving issues promptly.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 Developed strong product knowledge and stayed up-to-date with industry trends</w:t>
            </w:r>
            <w:r w:rsidDel="00000000" w:rsidR="00000000" w:rsidRPr="00000000">
              <w:rPr>
                <w:color w:val="ffffff"/>
                <w:sz w:val="19"/>
                <w:szCs w:val="19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Brazil Trucking LLC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Fresno,CA — Freight Broker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Coordinated transportation services for clients, managing shipments, tracking, and ensuring timely deliveries. -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Negotiated contracts with carriers to secure competitive rates while maintaining quality service.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000000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highlight w:val="white"/>
                <w:rtl w:val="0"/>
              </w:rPr>
              <w:t xml:space="preserve"> Effectively communicated with clients, carriers, and internal teams to address inquiries and resolve challenges.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5"/>
            <w:bookmarkEnd w:id="15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7"/>
            <w:bookmarkEnd w:id="1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Accounting principles and financial analysis.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Strong interpersonal skills.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Excellent verbal and written communication skills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Negotiation and problem-solving Skills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Detail-oriented.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Adaptability to dynamic and fast-paced environments. 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highlight w:val="white"/>
                <w:rtl w:val="0"/>
              </w:rPr>
              <w:t xml:space="preserve">Familiarity with industry-specific tools and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Armenian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