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5DE84D" w14:textId="7AEAD47D" w:rsidR="00D67E1E" w:rsidRPr="00B72FE1" w:rsidRDefault="00EB4D26" w:rsidP="00B72FE1">
      <w:pPr>
        <w:pStyle w:val="Title"/>
        <w:jc w:val="center"/>
      </w:pPr>
      <w:r w:rsidRPr="00B72FE1">
        <w:t>Proposal</w:t>
      </w:r>
    </w:p>
    <w:p w14:paraId="5D7A727C" w14:textId="77777777" w:rsidR="00EB4D26" w:rsidRDefault="00EB4D26" w:rsidP="00B72FE1"/>
    <w:p w14:paraId="2EEAE29F" w14:textId="63CF53C7" w:rsidR="009925CC" w:rsidRDefault="00EB4D26" w:rsidP="009925CC">
      <w:pPr>
        <w:pStyle w:val="ListParagraph"/>
        <w:numPr>
          <w:ilvl w:val="0"/>
          <w:numId w:val="2"/>
        </w:numPr>
      </w:pPr>
      <w:r>
        <w:t>Introduction:</w:t>
      </w:r>
    </w:p>
    <w:p w14:paraId="7C738458" w14:textId="3A0BEC3C" w:rsidR="009925CC" w:rsidRDefault="00B72FE1" w:rsidP="009925CC">
      <w:pPr>
        <w:pStyle w:val="ListParagraph"/>
        <w:numPr>
          <w:ilvl w:val="1"/>
          <w:numId w:val="2"/>
        </w:numPr>
      </w:pPr>
      <w:r>
        <w:t xml:space="preserve">Background Information: </w:t>
      </w:r>
      <w:r w:rsidR="009925CC">
        <w:t>This project</w:t>
      </w:r>
      <w:r w:rsidR="009925CC" w:rsidRPr="009925CC">
        <w:t xml:space="preserve"> is</w:t>
      </w:r>
      <w:r w:rsidR="009925CC">
        <w:t xml:space="preserve"> about</w:t>
      </w:r>
      <w:r w:rsidR="009925CC" w:rsidRPr="009925CC">
        <w:t xml:space="preserve"> a comparative analysis of </w:t>
      </w:r>
      <w:r w:rsidR="009925CC">
        <w:t>the 3</w:t>
      </w:r>
      <w:r w:rsidR="009925CC" w:rsidRPr="009925CC">
        <w:t xml:space="preserve"> datasets, examining the relationship between life expectancy, health expenditure, positive </w:t>
      </w:r>
      <w:r w:rsidR="009925CC">
        <w:t>affect</w:t>
      </w:r>
      <w:r w:rsidR="009925CC" w:rsidRPr="009925CC">
        <w:t xml:space="preserve">, and </w:t>
      </w:r>
      <w:r w:rsidR="009925CC">
        <w:t xml:space="preserve">total health issues </w:t>
      </w:r>
      <w:r w:rsidR="009925CC" w:rsidRPr="009925CC">
        <w:t>such as depression. The results indicate that many social, economic, and health factors are associated with depression, but further research is required to draw definitive conclusions.</w:t>
      </w:r>
    </w:p>
    <w:p w14:paraId="7C212C1A" w14:textId="28BE06E7" w:rsidR="00EB4D26" w:rsidRDefault="009925CC" w:rsidP="00B72FE1">
      <w:pPr>
        <w:pStyle w:val="ListParagraph"/>
        <w:numPr>
          <w:ilvl w:val="1"/>
          <w:numId w:val="2"/>
        </w:numPr>
      </w:pPr>
      <w:r>
        <w:t xml:space="preserve">Motivation: </w:t>
      </w:r>
      <w:r w:rsidR="00754100">
        <w:rPr>
          <w:rFonts w:hint="eastAsia"/>
        </w:rPr>
        <w:t>This</w:t>
      </w:r>
      <w:r w:rsidR="00754100">
        <w:t xml:space="preserve"> </w:t>
      </w:r>
      <w:r w:rsidR="00754100" w:rsidRPr="00754100">
        <w:t xml:space="preserve">project lies in understanding the intricate relationship between life expectancy, health </w:t>
      </w:r>
      <w:r w:rsidR="005C0E2A" w:rsidRPr="009925CC">
        <w:t>expenditure</w:t>
      </w:r>
      <w:r w:rsidR="00754100" w:rsidRPr="00754100">
        <w:t xml:space="preserve">, positive </w:t>
      </w:r>
      <w:r w:rsidR="005C0E2A">
        <w:t>affect</w:t>
      </w:r>
      <w:r w:rsidR="00754100" w:rsidRPr="00754100">
        <w:t xml:space="preserve">, and </w:t>
      </w:r>
      <w:r w:rsidR="005C0E2A">
        <w:t>total health issues</w:t>
      </w:r>
      <w:r w:rsidR="00754100" w:rsidRPr="00754100">
        <w:t xml:space="preserve">, particularly depression. By examining these factors collectively, the study aims to shed light on potential causative or correlational relationships among them. Given the increasing global burden of mental health disorders, especially depression, it is crucial to investigate its potential determinants and their interplay. Additionally, by discerning the influence of health expenditures on life expectancy and mental well-being, </w:t>
      </w:r>
      <w:proofErr w:type="gramStart"/>
      <w:r w:rsidR="00754100" w:rsidRPr="00754100">
        <w:t>policy-makers</w:t>
      </w:r>
      <w:proofErr w:type="gramEnd"/>
      <w:r w:rsidR="00754100" w:rsidRPr="00754100">
        <w:t xml:space="preserve"> can make informed decisions regarding healthcare budgets and strategies. </w:t>
      </w:r>
      <w:r w:rsidR="00D548BC" w:rsidRPr="00D548BC">
        <w:t xml:space="preserve">This analysis, therefore, has significant implications for public health, economics, and social policy, making it an important </w:t>
      </w:r>
      <w:r w:rsidR="004E0B2E" w:rsidRPr="00D548BC">
        <w:t>endeavour</w:t>
      </w:r>
      <w:r w:rsidR="00D548BC" w:rsidRPr="00D548BC">
        <w:t>.</w:t>
      </w:r>
    </w:p>
    <w:p w14:paraId="7ACD17E8" w14:textId="36E04A2C" w:rsidR="00F1452B" w:rsidRDefault="00831739" w:rsidP="00F63A3E">
      <w:pPr>
        <w:pStyle w:val="ListParagraph"/>
        <w:numPr>
          <w:ilvl w:val="1"/>
          <w:numId w:val="2"/>
        </w:numPr>
      </w:pPr>
      <w:r>
        <w:t xml:space="preserve">Overall Objective and Features: </w:t>
      </w:r>
      <w:r w:rsidR="00F63A3E" w:rsidRPr="00F63A3E">
        <w:t xml:space="preserve">This project aims to conduct a comparative analysis of </w:t>
      </w:r>
      <w:r w:rsidR="00F63A3E">
        <w:t>the 3</w:t>
      </w:r>
      <w:r w:rsidR="00F63A3E" w:rsidRPr="00F63A3E">
        <w:t xml:space="preserve"> datasets, investigating the relationships between diverse indicators such as socio-economic, health, and political factors in different countries or regions with depression and other mental health issues. Using multidimensional data visuali</w:t>
      </w:r>
      <w:r w:rsidR="00C82FF9">
        <w:t>s</w:t>
      </w:r>
      <w:r w:rsidR="00F63A3E" w:rsidRPr="00F63A3E">
        <w:t>ation and geographical analysis techniques, these relationships are illustrated. Additionally, the project will undergo temporal analysis and correlation studies. Furthermore, considerations are made for data reliability within the analysis, and interpretations and conclusions are provided for the data obtained.</w:t>
      </w:r>
    </w:p>
    <w:p w14:paraId="5938A3CB" w14:textId="1662D102" w:rsidR="00831739" w:rsidRDefault="009D523A" w:rsidP="00F63A3E">
      <w:pPr>
        <w:pStyle w:val="ListParagraph"/>
        <w:numPr>
          <w:ilvl w:val="1"/>
          <w:numId w:val="2"/>
        </w:numPr>
      </w:pPr>
      <w:r>
        <w:t>Limitations of Traditional Computing Solutions:</w:t>
      </w:r>
      <w:r w:rsidR="00E43794">
        <w:t xml:space="preserve"> </w:t>
      </w:r>
      <w:r w:rsidR="002143FD">
        <w:t>The</w:t>
      </w:r>
      <w:r w:rsidR="002143FD">
        <w:rPr>
          <w:rFonts w:hint="eastAsia"/>
        </w:rPr>
        <w:t xml:space="preserve"> </w:t>
      </w:r>
      <w:r w:rsidR="002143FD" w:rsidRPr="002143FD">
        <w:t xml:space="preserve">traditional computing solutions often lack the scalability, </w:t>
      </w:r>
      <w:r w:rsidR="004C2560">
        <w:t xml:space="preserve">the </w:t>
      </w:r>
      <w:r w:rsidR="002143FD" w:rsidRPr="002143FD">
        <w:t xml:space="preserve">flexibility, and </w:t>
      </w:r>
      <w:r w:rsidR="004C2560">
        <w:t xml:space="preserve">the </w:t>
      </w:r>
      <w:r w:rsidR="002143FD" w:rsidRPr="002143FD">
        <w:t>cost-efficiency needed for</w:t>
      </w:r>
      <w:r w:rsidR="00BF169D">
        <w:t xml:space="preserve"> the</w:t>
      </w:r>
      <w:r w:rsidR="002143FD" w:rsidRPr="002143FD">
        <w:t xml:space="preserve"> large-scale data projects, struggling with </w:t>
      </w:r>
      <w:r w:rsidR="00BF169D">
        <w:t xml:space="preserve">the </w:t>
      </w:r>
      <w:r w:rsidR="002143FD" w:rsidRPr="002143FD">
        <w:t xml:space="preserve">limited storage, </w:t>
      </w:r>
      <w:r w:rsidR="00BF169D">
        <w:t xml:space="preserve">the </w:t>
      </w:r>
      <w:r w:rsidR="002143FD" w:rsidRPr="002143FD">
        <w:t xml:space="preserve">collaboration challenges, and </w:t>
      </w:r>
      <w:r w:rsidR="00BF169D">
        <w:t xml:space="preserve">the </w:t>
      </w:r>
      <w:r w:rsidR="002143FD" w:rsidRPr="002143FD">
        <w:t xml:space="preserve">manual maintenance, making them less suited for </w:t>
      </w:r>
      <w:r w:rsidR="00BF169D">
        <w:t xml:space="preserve">the </w:t>
      </w:r>
      <w:r w:rsidR="002143FD" w:rsidRPr="002143FD">
        <w:t xml:space="preserve">complex analyses like </w:t>
      </w:r>
      <w:r w:rsidR="00BF169D">
        <w:t xml:space="preserve">the </w:t>
      </w:r>
      <w:r w:rsidR="002143FD" w:rsidRPr="002143FD">
        <w:t xml:space="preserve">multidimensional visualization and </w:t>
      </w:r>
      <w:r w:rsidR="00BF169D">
        <w:t xml:space="preserve">the </w:t>
      </w:r>
      <w:r w:rsidR="002143FD" w:rsidRPr="002143FD">
        <w:t xml:space="preserve">geographical studies. </w:t>
      </w:r>
      <w:r w:rsidR="00BF169D">
        <w:t>The t</w:t>
      </w:r>
      <w:r w:rsidR="002143FD" w:rsidRPr="002143FD">
        <w:t>raditional computing solutions often exhibit limitations when handling such complex projects.</w:t>
      </w:r>
    </w:p>
    <w:p w14:paraId="5ACED5E8" w14:textId="4FF02F73" w:rsidR="00E43794" w:rsidRDefault="00E43794" w:rsidP="00080F3E">
      <w:pPr>
        <w:pStyle w:val="ListParagraph"/>
        <w:numPr>
          <w:ilvl w:val="1"/>
          <w:numId w:val="2"/>
        </w:numPr>
      </w:pPr>
      <w:r>
        <w:rPr>
          <w:rFonts w:hint="eastAsia"/>
        </w:rPr>
        <w:t>Benefits</w:t>
      </w:r>
      <w:r>
        <w:t>:</w:t>
      </w:r>
      <w:r w:rsidR="002C0F98">
        <w:t xml:space="preserve"> The c</w:t>
      </w:r>
      <w:r w:rsidR="002C0F98" w:rsidRPr="002C0F98">
        <w:t xml:space="preserve">loud computing offers </w:t>
      </w:r>
      <w:r w:rsidR="002C0F98">
        <w:t xml:space="preserve">the </w:t>
      </w:r>
      <w:r w:rsidR="002C0F98" w:rsidRPr="002C0F98">
        <w:t xml:space="preserve">scalability, </w:t>
      </w:r>
      <w:r w:rsidR="002C0F98">
        <w:t xml:space="preserve">the </w:t>
      </w:r>
      <w:r w:rsidR="002C0F98" w:rsidRPr="002C0F98">
        <w:t xml:space="preserve">cost-effectiveness, and </w:t>
      </w:r>
      <w:r w:rsidR="002C0F98">
        <w:t xml:space="preserve">the </w:t>
      </w:r>
      <w:r w:rsidR="002C0F98" w:rsidRPr="002C0F98">
        <w:t xml:space="preserve">real-time collaboration, making it ideal for this project. Its vast storage capabilities and processing power support </w:t>
      </w:r>
      <w:r w:rsidR="002C0F98">
        <w:t xml:space="preserve">the </w:t>
      </w:r>
      <w:r w:rsidR="002C0F98" w:rsidRPr="002C0F98">
        <w:t>multidimensional data visuali</w:t>
      </w:r>
      <w:r w:rsidR="002C0F98">
        <w:t>s</w:t>
      </w:r>
      <w:r w:rsidR="002C0F98" w:rsidRPr="002C0F98">
        <w:t xml:space="preserve">ation, </w:t>
      </w:r>
      <w:r w:rsidR="002C0F98">
        <w:t xml:space="preserve">the </w:t>
      </w:r>
      <w:r w:rsidR="002C0F98" w:rsidRPr="002C0F98">
        <w:t xml:space="preserve">geographical analysis, and </w:t>
      </w:r>
      <w:r w:rsidR="002C0F98">
        <w:t xml:space="preserve">the </w:t>
      </w:r>
      <w:r w:rsidR="002C0F98" w:rsidRPr="002C0F98">
        <w:t xml:space="preserve">diverse indicators assessment. Furthermore, </w:t>
      </w:r>
      <w:r w:rsidR="002C0F98">
        <w:t xml:space="preserve">the </w:t>
      </w:r>
      <w:r w:rsidR="002C0F98" w:rsidRPr="002C0F98">
        <w:t xml:space="preserve">cloud platforms ensure </w:t>
      </w:r>
      <w:r w:rsidR="002C0F98">
        <w:t xml:space="preserve">the </w:t>
      </w:r>
      <w:r w:rsidR="002C0F98" w:rsidRPr="002C0F98">
        <w:t xml:space="preserve">data reliability, facilitate </w:t>
      </w:r>
      <w:r w:rsidR="002C0F98">
        <w:t xml:space="preserve">the </w:t>
      </w:r>
      <w:r w:rsidR="002C0F98" w:rsidRPr="002C0F98">
        <w:t xml:space="preserve">temporal and </w:t>
      </w:r>
      <w:r w:rsidR="002C0F98">
        <w:t xml:space="preserve">the </w:t>
      </w:r>
      <w:r w:rsidR="002C0F98" w:rsidRPr="002C0F98">
        <w:t xml:space="preserve">correlation studies, and streamline </w:t>
      </w:r>
      <w:r w:rsidR="002C0F98">
        <w:t xml:space="preserve">the </w:t>
      </w:r>
      <w:r w:rsidR="002C0F98" w:rsidRPr="002C0F98">
        <w:t>interpretation</w:t>
      </w:r>
      <w:r w:rsidR="003D34A6">
        <w:t>s</w:t>
      </w:r>
      <w:r w:rsidR="002C0F98" w:rsidRPr="002C0F98">
        <w:t xml:space="preserve"> and </w:t>
      </w:r>
      <w:r w:rsidR="00800455">
        <w:t xml:space="preserve">the </w:t>
      </w:r>
      <w:r w:rsidR="002C0F98" w:rsidRPr="002C0F98">
        <w:t xml:space="preserve">conclusions, enhancing the overall efficiency and </w:t>
      </w:r>
      <w:r w:rsidR="008738BB">
        <w:t xml:space="preserve">the </w:t>
      </w:r>
      <w:r w:rsidR="002C0F98" w:rsidRPr="002C0F98">
        <w:t>depth of the analysis.</w:t>
      </w:r>
    </w:p>
    <w:p w14:paraId="27AEBAAF" w14:textId="19D9274C" w:rsidR="00EB4D26" w:rsidRDefault="00EB4D26" w:rsidP="00E43794">
      <w:pPr>
        <w:pStyle w:val="ListParagraph"/>
        <w:numPr>
          <w:ilvl w:val="0"/>
          <w:numId w:val="2"/>
        </w:numPr>
      </w:pPr>
      <w:r>
        <w:lastRenderedPageBreak/>
        <w:t>Technical Solutions:</w:t>
      </w:r>
    </w:p>
    <w:p w14:paraId="0C9F2612" w14:textId="33DCBD95" w:rsidR="006F0167" w:rsidRDefault="00375CA9" w:rsidP="00080F3E">
      <w:pPr>
        <w:pStyle w:val="ListParagraph"/>
        <w:numPr>
          <w:ilvl w:val="1"/>
          <w:numId w:val="2"/>
        </w:numPr>
      </w:pPr>
      <w:r>
        <w:t>Cloud Computing Technologies:</w:t>
      </w:r>
      <w:r w:rsidR="00B23EFD">
        <w:t xml:space="preserve"> The</w:t>
      </w:r>
      <w:r w:rsidR="00B23EFD" w:rsidRPr="00B23EFD">
        <w:t xml:space="preserve"> Google Cloud Compute Engine</w:t>
      </w:r>
      <w:r w:rsidR="00B23EFD">
        <w:t xml:space="preserve"> was utilised</w:t>
      </w:r>
      <w:r w:rsidR="00B23EFD" w:rsidRPr="00B23EFD">
        <w:t xml:space="preserve">, which is an Infrastructure as a Service (IaaS) offering, to provide </w:t>
      </w:r>
      <w:r w:rsidR="00B23EFD">
        <w:t xml:space="preserve">the </w:t>
      </w:r>
      <w:r w:rsidR="00B23EFD" w:rsidRPr="00B23EFD">
        <w:t xml:space="preserve">scalable virtual machine instances. These instances were then integrated with </w:t>
      </w:r>
      <w:r w:rsidR="00C0506E">
        <w:t xml:space="preserve">the </w:t>
      </w:r>
      <w:r w:rsidR="00B23EFD" w:rsidRPr="00B23EFD">
        <w:t>Hadoop</w:t>
      </w:r>
      <w:r w:rsidR="00C0506E">
        <w:t xml:space="preserve"> (</w:t>
      </w:r>
      <w:r w:rsidR="00B23EFD" w:rsidRPr="00B23EFD">
        <w:t>HDFS</w:t>
      </w:r>
      <w:r w:rsidR="00C0506E">
        <w:t>)</w:t>
      </w:r>
      <w:r w:rsidR="00B23EFD" w:rsidRPr="00B23EFD">
        <w:t xml:space="preserve">, a distributed file system designed to hold </w:t>
      </w:r>
      <w:r w:rsidR="00B15B68">
        <w:t xml:space="preserve">the </w:t>
      </w:r>
      <w:r w:rsidR="00B23EFD" w:rsidRPr="00B23EFD">
        <w:t xml:space="preserve">very large amounts of data and provide </w:t>
      </w:r>
      <w:r w:rsidR="00B15B68">
        <w:t xml:space="preserve">the </w:t>
      </w:r>
      <w:r w:rsidR="00B23EFD" w:rsidRPr="00B23EFD">
        <w:t xml:space="preserve">high-throughput access to this information. Additionally, Apache Spark was employed as </w:t>
      </w:r>
      <w:r w:rsidR="00B27586">
        <w:t>the</w:t>
      </w:r>
      <w:r w:rsidR="00B23EFD" w:rsidRPr="00B23EFD">
        <w:t xml:space="preserve"> core tool for </w:t>
      </w:r>
      <w:r w:rsidR="00B27586">
        <w:t xml:space="preserve">the </w:t>
      </w:r>
      <w:r w:rsidR="00B23EFD" w:rsidRPr="00B23EFD">
        <w:t xml:space="preserve">big data processing and analytics. </w:t>
      </w:r>
      <w:r w:rsidR="00F01A29">
        <w:t xml:space="preserve">The </w:t>
      </w:r>
      <w:r w:rsidR="00B23EFD" w:rsidRPr="00B23EFD">
        <w:t>Docker container technology was also utili</w:t>
      </w:r>
      <w:r w:rsidR="00665449">
        <w:t>s</w:t>
      </w:r>
      <w:r w:rsidR="00B23EFD" w:rsidRPr="00B23EFD">
        <w:t>ed for</w:t>
      </w:r>
      <w:r w:rsidR="00665449">
        <w:t xml:space="preserve"> the</w:t>
      </w:r>
      <w:r w:rsidR="00B23EFD" w:rsidRPr="00B23EFD">
        <w:t xml:space="preserve"> component and </w:t>
      </w:r>
      <w:r w:rsidR="00665449">
        <w:t xml:space="preserve">the </w:t>
      </w:r>
      <w:r w:rsidR="00B23EFD" w:rsidRPr="00B23EFD">
        <w:t xml:space="preserve">application management within the project. The synergy of these technologies and tools enabled </w:t>
      </w:r>
      <w:r w:rsidR="007717EC">
        <w:t xml:space="preserve">the </w:t>
      </w:r>
      <w:r w:rsidR="00B23EFD" w:rsidRPr="00B23EFD">
        <w:t xml:space="preserve">efficient data storage, </w:t>
      </w:r>
      <w:r w:rsidR="00216FD2">
        <w:t xml:space="preserve">the </w:t>
      </w:r>
      <w:r w:rsidR="00B23EFD" w:rsidRPr="00B23EFD">
        <w:t xml:space="preserve">processing, </w:t>
      </w:r>
      <w:r w:rsidR="00216FD2">
        <w:t xml:space="preserve">the </w:t>
      </w:r>
      <w:r w:rsidR="00B23EFD" w:rsidRPr="00B23EFD">
        <w:t xml:space="preserve">complex data analysis, and </w:t>
      </w:r>
      <w:r w:rsidR="00216FD2">
        <w:t xml:space="preserve">the </w:t>
      </w:r>
      <w:r w:rsidR="00B23EFD" w:rsidRPr="00B23EFD">
        <w:t xml:space="preserve">streamlined application deployment and management, providing </w:t>
      </w:r>
      <w:r w:rsidR="00216FD2">
        <w:t xml:space="preserve">the </w:t>
      </w:r>
      <w:r w:rsidR="00B23EFD" w:rsidRPr="00B23EFD">
        <w:t>robust support and</w:t>
      </w:r>
      <w:r w:rsidR="00216FD2">
        <w:t xml:space="preserve"> the</w:t>
      </w:r>
      <w:r w:rsidR="00B23EFD" w:rsidRPr="00B23EFD">
        <w:t xml:space="preserve"> flexibility for </w:t>
      </w:r>
      <w:r w:rsidR="00216FD2">
        <w:t xml:space="preserve">this </w:t>
      </w:r>
      <w:r w:rsidR="00B23EFD" w:rsidRPr="00B23EFD">
        <w:t>complex data project.</w:t>
      </w:r>
    </w:p>
    <w:p w14:paraId="2E591EF5" w14:textId="62E2BE29" w:rsidR="005D2363" w:rsidRDefault="00375CA9" w:rsidP="00375CA9">
      <w:pPr>
        <w:pStyle w:val="ListParagraph"/>
        <w:numPr>
          <w:ilvl w:val="1"/>
          <w:numId w:val="2"/>
        </w:numPr>
      </w:pPr>
      <w:r>
        <w:t>Monthly Cost Estimation:</w:t>
      </w:r>
      <w:r w:rsidR="005D2363">
        <w:t xml:space="preserve"> </w:t>
      </w:r>
      <w:r w:rsidR="005D2363" w:rsidRPr="005D2363">
        <w:t xml:space="preserve">The VM instance is the primary source of </w:t>
      </w:r>
      <w:r w:rsidR="005D2363">
        <w:t>the cost</w:t>
      </w:r>
      <w:r w:rsidR="005D2363" w:rsidRPr="005D2363">
        <w:t xml:space="preserve"> </w:t>
      </w:r>
      <w:r w:rsidR="005D2363">
        <w:t>in</w:t>
      </w:r>
      <w:r w:rsidR="005D2363" w:rsidRPr="005D2363">
        <w:t xml:space="preserve"> this project.</w:t>
      </w:r>
    </w:p>
    <w:p w14:paraId="2C056F80" w14:textId="77777777" w:rsidR="005D2363" w:rsidRDefault="005D2363" w:rsidP="005D2363">
      <w:pPr>
        <w:pStyle w:val="ListParagraph"/>
      </w:pPr>
    </w:p>
    <w:p w14:paraId="0B2C3C64" w14:textId="29319434" w:rsidR="00375CA9" w:rsidRDefault="005D2363" w:rsidP="00871493">
      <w:pPr>
        <w:pStyle w:val="ListParagraph"/>
        <w:ind w:left="1440"/>
        <w:jc w:val="center"/>
      </w:pPr>
      <w:r>
        <w:rPr>
          <w:noProof/>
        </w:rPr>
        <w:drawing>
          <wp:inline distT="0" distB="0" distL="0" distR="0" wp14:anchorId="08DAA6EF" wp14:editId="4A508C87">
            <wp:extent cx="1736332" cy="2257785"/>
            <wp:effectExtent l="0" t="0" r="3810" b="3175"/>
            <wp:docPr id="231677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677685" name="Picture 23167768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84356" cy="2320232"/>
                    </a:xfrm>
                    <a:prstGeom prst="rect">
                      <a:avLst/>
                    </a:prstGeom>
                  </pic:spPr>
                </pic:pic>
              </a:graphicData>
            </a:graphic>
          </wp:inline>
        </w:drawing>
      </w:r>
    </w:p>
    <w:p w14:paraId="074427E3" w14:textId="77777777" w:rsidR="00E62C1E" w:rsidRPr="00E62C1E" w:rsidRDefault="00E62C1E" w:rsidP="00B72FE1"/>
    <w:p w14:paraId="58691112" w14:textId="2D588EE0" w:rsidR="00E62C1E" w:rsidRPr="00EB4D26" w:rsidRDefault="00E43794" w:rsidP="00E43794">
      <w:pPr>
        <w:pStyle w:val="ListParagraph"/>
        <w:numPr>
          <w:ilvl w:val="0"/>
          <w:numId w:val="2"/>
        </w:numPr>
      </w:pPr>
      <w:r>
        <w:t>Architecture Design (</w:t>
      </w:r>
      <w:r w:rsidR="006F0167">
        <w:t>w</w:t>
      </w:r>
      <w:r w:rsidR="00E62C1E">
        <w:t>orkflow/framework</w:t>
      </w:r>
      <w:r>
        <w:t>)</w:t>
      </w:r>
      <w:r w:rsidR="00E62C1E">
        <w:t>:</w:t>
      </w:r>
    </w:p>
    <w:p w14:paraId="6D171842" w14:textId="769FAB26" w:rsidR="00F2275D" w:rsidRPr="00E62C1E" w:rsidRDefault="00F2275D" w:rsidP="00DC323A"/>
    <w:p w14:paraId="3647D7A9" w14:textId="2115EADD" w:rsidR="00EB4D26" w:rsidRDefault="00DC323A" w:rsidP="00DC323A">
      <w:pPr>
        <w:jc w:val="center"/>
        <w:rPr>
          <w:b/>
          <w:bCs/>
        </w:rPr>
      </w:pPr>
      <w:r>
        <w:rPr>
          <w:b/>
          <w:bCs/>
          <w:noProof/>
        </w:rPr>
        <w:drawing>
          <wp:inline distT="0" distB="0" distL="0" distR="0" wp14:anchorId="60DFE5BE" wp14:editId="3C623CA6">
            <wp:extent cx="5298831" cy="1488881"/>
            <wp:effectExtent l="0" t="0" r="0" b="0"/>
            <wp:docPr id="1441228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28616" name="Picture 1441228616"/>
                    <pic:cNvPicPr/>
                  </pic:nvPicPr>
                  <pic:blipFill>
                    <a:blip r:embed="rId9">
                      <a:extLst>
                        <a:ext uri="{28A0092B-C50C-407E-A947-70E740481C1C}">
                          <a14:useLocalDpi xmlns:a14="http://schemas.microsoft.com/office/drawing/2010/main" val="0"/>
                        </a:ext>
                      </a:extLst>
                    </a:blip>
                    <a:stretch>
                      <a:fillRect/>
                    </a:stretch>
                  </pic:blipFill>
                  <pic:spPr>
                    <a:xfrm>
                      <a:off x="0" y="0"/>
                      <a:ext cx="5316652" cy="1493888"/>
                    </a:xfrm>
                    <a:prstGeom prst="rect">
                      <a:avLst/>
                    </a:prstGeom>
                  </pic:spPr>
                </pic:pic>
              </a:graphicData>
            </a:graphic>
          </wp:inline>
        </w:drawing>
      </w:r>
    </w:p>
    <w:p w14:paraId="259BAC06" w14:textId="77777777" w:rsidR="00DC323A" w:rsidRPr="00B329B6" w:rsidRDefault="00DC323A" w:rsidP="00DC323A"/>
    <w:p w14:paraId="1AE4D0A2" w14:textId="73A200A7" w:rsidR="00B329B6" w:rsidRPr="00B329B6" w:rsidRDefault="00B329B6" w:rsidP="00B329B6">
      <w:r w:rsidRPr="00B329B6">
        <w:t xml:space="preserve">This architecture design illustrates </w:t>
      </w:r>
      <w:r w:rsidRPr="00B329B6">
        <w:t>the</w:t>
      </w:r>
      <w:r w:rsidRPr="00B329B6">
        <w:t xml:space="preserve"> complete workflow of obtaining data from </w:t>
      </w:r>
      <w:r w:rsidRPr="00B329B6">
        <w:t>the 3</w:t>
      </w:r>
      <w:r w:rsidRPr="00B329B6">
        <w:t xml:space="preserve"> data sources, ingesting it through VM (running Docker containers) and </w:t>
      </w:r>
      <w:proofErr w:type="spellStart"/>
      <w:r w:rsidRPr="00B329B6">
        <w:t>NameNode</w:t>
      </w:r>
      <w:proofErr w:type="spellEnd"/>
      <w:r w:rsidRPr="00B329B6">
        <w:t xml:space="preserve"> (Hadoop/HDFS), processing it on the Google Cloud Compute Engine, using Spark for </w:t>
      </w:r>
      <w:r w:rsidRPr="00B329B6">
        <w:t xml:space="preserve">the </w:t>
      </w:r>
      <w:r w:rsidRPr="00B329B6">
        <w:t xml:space="preserve">data preparation, cleaning, querying, and joining, culminating in </w:t>
      </w:r>
      <w:r w:rsidRPr="00B329B6">
        <w:t xml:space="preserve">the </w:t>
      </w:r>
      <w:r w:rsidRPr="00B329B6">
        <w:t>results aggregation and analysis.</w:t>
      </w:r>
    </w:p>
    <w:sectPr w:rsidR="00B329B6" w:rsidRPr="00B329B6">
      <w:footerReference w:type="even" r:id="rId10"/>
      <w:foot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592866" w14:textId="77777777" w:rsidR="0013735C" w:rsidRDefault="0013735C" w:rsidP="00E911D1">
      <w:r>
        <w:separator/>
      </w:r>
    </w:p>
  </w:endnote>
  <w:endnote w:type="continuationSeparator" w:id="0">
    <w:p w14:paraId="1D4AB1F2" w14:textId="77777777" w:rsidR="0013735C" w:rsidRDefault="0013735C" w:rsidP="00E91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61623575"/>
      <w:docPartObj>
        <w:docPartGallery w:val="Page Numbers (Bottom of Page)"/>
        <w:docPartUnique/>
      </w:docPartObj>
    </w:sdtPr>
    <w:sdtContent>
      <w:p w14:paraId="459C53AA" w14:textId="249D05D2" w:rsidR="00E911D1" w:rsidRDefault="00E911D1" w:rsidP="009F089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4BCAF42" w14:textId="77777777" w:rsidR="00E911D1" w:rsidRDefault="00E911D1" w:rsidP="00E911D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Calibri" w:hAnsi="Calibri" w:cs="Calibri"/>
      </w:rPr>
      <w:id w:val="-2048587285"/>
      <w:docPartObj>
        <w:docPartGallery w:val="Page Numbers (Bottom of Page)"/>
        <w:docPartUnique/>
      </w:docPartObj>
    </w:sdtPr>
    <w:sdtContent>
      <w:p w14:paraId="25EBB506" w14:textId="73D87E94" w:rsidR="00E911D1" w:rsidRPr="00CF7F47" w:rsidRDefault="00E911D1" w:rsidP="009F089E">
        <w:pPr>
          <w:pStyle w:val="Footer"/>
          <w:framePr w:wrap="none" w:vAnchor="text" w:hAnchor="margin" w:xAlign="right" w:y="1"/>
          <w:rPr>
            <w:rStyle w:val="PageNumber"/>
            <w:rFonts w:ascii="Calibri" w:hAnsi="Calibri" w:cs="Calibri"/>
          </w:rPr>
        </w:pPr>
        <w:r w:rsidRPr="00CF7F47">
          <w:rPr>
            <w:rStyle w:val="PageNumber"/>
            <w:rFonts w:ascii="Calibri" w:hAnsi="Calibri" w:cs="Calibri"/>
          </w:rPr>
          <w:fldChar w:fldCharType="begin"/>
        </w:r>
        <w:r w:rsidRPr="00CF7F47">
          <w:rPr>
            <w:rStyle w:val="PageNumber"/>
            <w:rFonts w:ascii="Calibri" w:hAnsi="Calibri" w:cs="Calibri"/>
          </w:rPr>
          <w:instrText xml:space="preserve"> PAGE </w:instrText>
        </w:r>
        <w:r w:rsidRPr="00CF7F47">
          <w:rPr>
            <w:rStyle w:val="PageNumber"/>
            <w:rFonts w:ascii="Calibri" w:hAnsi="Calibri" w:cs="Calibri"/>
          </w:rPr>
          <w:fldChar w:fldCharType="separate"/>
        </w:r>
        <w:r w:rsidRPr="00CF7F47">
          <w:rPr>
            <w:rStyle w:val="PageNumber"/>
            <w:rFonts w:ascii="Calibri" w:hAnsi="Calibri" w:cs="Calibri"/>
            <w:noProof/>
          </w:rPr>
          <w:t>1</w:t>
        </w:r>
        <w:r w:rsidRPr="00CF7F47">
          <w:rPr>
            <w:rStyle w:val="PageNumber"/>
            <w:rFonts w:ascii="Calibri" w:hAnsi="Calibri" w:cs="Calibri"/>
          </w:rPr>
          <w:fldChar w:fldCharType="end"/>
        </w:r>
      </w:p>
    </w:sdtContent>
  </w:sdt>
  <w:p w14:paraId="127ECF84" w14:textId="77777777" w:rsidR="00E911D1" w:rsidRPr="00CF7F47" w:rsidRDefault="00E911D1" w:rsidP="00E911D1">
    <w:pPr>
      <w:pStyle w:val="Footer"/>
      <w:ind w:right="360"/>
      <w:rPr>
        <w:rFonts w:ascii="Calibri" w:hAnsi="Calibri" w:cs="Calibr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D00658" w14:textId="77777777" w:rsidR="0013735C" w:rsidRDefault="0013735C" w:rsidP="00E911D1">
      <w:r>
        <w:separator/>
      </w:r>
    </w:p>
  </w:footnote>
  <w:footnote w:type="continuationSeparator" w:id="0">
    <w:p w14:paraId="0B633EBC" w14:textId="77777777" w:rsidR="0013735C" w:rsidRDefault="0013735C" w:rsidP="00E911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7B69C2"/>
    <w:multiLevelType w:val="hybridMultilevel"/>
    <w:tmpl w:val="A84CFE2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C852433"/>
    <w:multiLevelType w:val="hybridMultilevel"/>
    <w:tmpl w:val="17CE91C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5240012">
    <w:abstractNumId w:val="1"/>
  </w:num>
  <w:num w:numId="2" w16cid:durableId="733116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D26"/>
    <w:rsid w:val="00080F3E"/>
    <w:rsid w:val="0013735C"/>
    <w:rsid w:val="00140A94"/>
    <w:rsid w:val="001C3D5F"/>
    <w:rsid w:val="002143FD"/>
    <w:rsid w:val="00216FD2"/>
    <w:rsid w:val="002C0F98"/>
    <w:rsid w:val="00375CA9"/>
    <w:rsid w:val="003D34A6"/>
    <w:rsid w:val="004C2560"/>
    <w:rsid w:val="004E0B2E"/>
    <w:rsid w:val="005C0E2A"/>
    <w:rsid w:val="005D2363"/>
    <w:rsid w:val="00665449"/>
    <w:rsid w:val="006F0167"/>
    <w:rsid w:val="00754100"/>
    <w:rsid w:val="007717EC"/>
    <w:rsid w:val="007B6C6B"/>
    <w:rsid w:val="00800455"/>
    <w:rsid w:val="008031C4"/>
    <w:rsid w:val="00831739"/>
    <w:rsid w:val="00871493"/>
    <w:rsid w:val="008738BB"/>
    <w:rsid w:val="009925CC"/>
    <w:rsid w:val="00996A0A"/>
    <w:rsid w:val="009D523A"/>
    <w:rsid w:val="00B15B68"/>
    <w:rsid w:val="00B23EFD"/>
    <w:rsid w:val="00B27586"/>
    <w:rsid w:val="00B329B6"/>
    <w:rsid w:val="00B72FE1"/>
    <w:rsid w:val="00BF169D"/>
    <w:rsid w:val="00C0506E"/>
    <w:rsid w:val="00C82FF9"/>
    <w:rsid w:val="00CF7F47"/>
    <w:rsid w:val="00D548BC"/>
    <w:rsid w:val="00D67E1E"/>
    <w:rsid w:val="00DC323A"/>
    <w:rsid w:val="00E43794"/>
    <w:rsid w:val="00E62C1E"/>
    <w:rsid w:val="00E911D1"/>
    <w:rsid w:val="00EB4D26"/>
    <w:rsid w:val="00F01A29"/>
    <w:rsid w:val="00F1452B"/>
    <w:rsid w:val="00F2275D"/>
    <w:rsid w:val="00F35C3F"/>
    <w:rsid w:val="00F46B9D"/>
    <w:rsid w:val="00F63A3E"/>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7A736"/>
  <w15:chartTrackingRefBased/>
  <w15:docId w15:val="{EA912E63-CB56-AF4A-A99B-F98B3A7A0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4D26"/>
    <w:pPr>
      <w:ind w:left="720"/>
      <w:contextualSpacing/>
    </w:pPr>
  </w:style>
  <w:style w:type="paragraph" w:styleId="Title">
    <w:name w:val="Title"/>
    <w:basedOn w:val="Normal"/>
    <w:next w:val="Normal"/>
    <w:link w:val="TitleChar"/>
    <w:uiPriority w:val="10"/>
    <w:qFormat/>
    <w:rsid w:val="00EB4D26"/>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D26"/>
    <w:rPr>
      <w:rFonts w:asciiTheme="majorHAnsi" w:eastAsiaTheme="majorEastAsia" w:hAnsiTheme="majorHAnsi" w:cstheme="majorBidi"/>
      <w:spacing w:val="-10"/>
      <w:kern w:val="28"/>
      <w:sz w:val="56"/>
      <w:szCs w:val="56"/>
      <w:lang w:val="en-AU"/>
    </w:rPr>
  </w:style>
  <w:style w:type="paragraph" w:styleId="Subtitle">
    <w:name w:val="Subtitle"/>
    <w:basedOn w:val="Normal"/>
    <w:next w:val="Normal"/>
    <w:link w:val="SubtitleChar"/>
    <w:uiPriority w:val="11"/>
    <w:qFormat/>
    <w:rsid w:val="00E62C1E"/>
    <w:pPr>
      <w:numPr>
        <w:ilvl w:val="1"/>
      </w:numPr>
      <w:spacing w:after="160"/>
    </w:pPr>
    <w:rPr>
      <w:color w:val="5A5A5A" w:themeColor="text1" w:themeTint="A5"/>
      <w:spacing w:val="15"/>
      <w:sz w:val="22"/>
      <w:szCs w:val="22"/>
    </w:rPr>
  </w:style>
  <w:style w:type="character" w:customStyle="1" w:styleId="SubtitleChar">
    <w:name w:val="Subtitle Char"/>
    <w:basedOn w:val="DefaultParagraphFont"/>
    <w:link w:val="Subtitle"/>
    <w:uiPriority w:val="11"/>
    <w:rsid w:val="00E62C1E"/>
    <w:rPr>
      <w:color w:val="5A5A5A" w:themeColor="text1" w:themeTint="A5"/>
      <w:spacing w:val="15"/>
      <w:sz w:val="22"/>
      <w:szCs w:val="22"/>
      <w:lang w:val="en-AU"/>
    </w:rPr>
  </w:style>
  <w:style w:type="character" w:styleId="SubtleEmphasis">
    <w:name w:val="Subtle Emphasis"/>
    <w:basedOn w:val="DefaultParagraphFont"/>
    <w:uiPriority w:val="19"/>
    <w:qFormat/>
    <w:rsid w:val="00B72FE1"/>
    <w:rPr>
      <w:i/>
      <w:iCs/>
      <w:color w:val="404040" w:themeColor="text1" w:themeTint="BF"/>
    </w:rPr>
  </w:style>
  <w:style w:type="paragraph" w:styleId="Footer">
    <w:name w:val="footer"/>
    <w:basedOn w:val="Normal"/>
    <w:link w:val="FooterChar"/>
    <w:uiPriority w:val="99"/>
    <w:unhideWhenUsed/>
    <w:rsid w:val="00E911D1"/>
    <w:pPr>
      <w:tabs>
        <w:tab w:val="center" w:pos="4680"/>
        <w:tab w:val="right" w:pos="9360"/>
      </w:tabs>
    </w:pPr>
  </w:style>
  <w:style w:type="character" w:customStyle="1" w:styleId="FooterChar">
    <w:name w:val="Footer Char"/>
    <w:basedOn w:val="DefaultParagraphFont"/>
    <w:link w:val="Footer"/>
    <w:uiPriority w:val="99"/>
    <w:rsid w:val="00E911D1"/>
    <w:rPr>
      <w:lang w:val="en-AU"/>
    </w:rPr>
  </w:style>
  <w:style w:type="character" w:styleId="PageNumber">
    <w:name w:val="page number"/>
    <w:basedOn w:val="DefaultParagraphFont"/>
    <w:uiPriority w:val="99"/>
    <w:semiHidden/>
    <w:unhideWhenUsed/>
    <w:rsid w:val="00E911D1"/>
  </w:style>
  <w:style w:type="paragraph" w:styleId="Header">
    <w:name w:val="header"/>
    <w:basedOn w:val="Normal"/>
    <w:link w:val="HeaderChar"/>
    <w:uiPriority w:val="99"/>
    <w:unhideWhenUsed/>
    <w:rsid w:val="00CF7F47"/>
    <w:pPr>
      <w:tabs>
        <w:tab w:val="center" w:pos="4680"/>
        <w:tab w:val="right" w:pos="9360"/>
      </w:tabs>
    </w:pPr>
  </w:style>
  <w:style w:type="character" w:customStyle="1" w:styleId="HeaderChar">
    <w:name w:val="Header Char"/>
    <w:basedOn w:val="DefaultParagraphFont"/>
    <w:link w:val="Header"/>
    <w:uiPriority w:val="99"/>
    <w:rsid w:val="00CF7F47"/>
    <w:rPr>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17D01C-9DAA-A340-8ED9-82F37D4946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2</Pages>
  <Words>642</Words>
  <Characters>3666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Ronaldo Lin</dc:creator>
  <cp:keywords/>
  <dc:description/>
  <cp:lastModifiedBy>Ronaldo Lin</cp:lastModifiedBy>
  <cp:revision>41</cp:revision>
  <dcterms:created xsi:type="dcterms:W3CDTF">2023-10-12T02:49:00Z</dcterms:created>
  <dcterms:modified xsi:type="dcterms:W3CDTF">2023-10-19T00:14:00Z</dcterms:modified>
</cp:coreProperties>
</file>