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4F76CB55" w:rsidR="00CA372F" w:rsidRDefault="00774237">
      <w:pPr>
        <w:spacing w:line="276" w:lineRule="auto"/>
        <w:jc w:val="center"/>
        <w:rPr>
          <w:rFonts w:ascii="Arial" w:eastAsia="Arial" w:hAnsi="Arial" w:cs="Arial"/>
          <w:b/>
          <w:color w:val="000000"/>
          <w:sz w:val="24"/>
          <w:szCs w:val="24"/>
        </w:rPr>
      </w:pPr>
      <w:bookmarkStart w:id="0" w:name="OLE_LINK2"/>
      <w:r>
        <w:rPr>
          <w:rFonts w:ascii="Arial" w:eastAsia="Arial" w:hAnsi="Arial" w:cs="Arial"/>
          <w:b/>
          <w:color w:val="000000"/>
          <w:sz w:val="24"/>
          <w:szCs w:val="24"/>
        </w:rPr>
        <w:t>ECON</w:t>
      </w:r>
      <w:r w:rsidR="007E4163">
        <w:rPr>
          <w:rFonts w:ascii="Arial" w:eastAsia="Arial" w:hAnsi="Arial" w:cs="Arial"/>
          <w:b/>
          <w:color w:val="000000"/>
          <w:sz w:val="24"/>
          <w:szCs w:val="24"/>
        </w:rPr>
        <w:t>1020</w:t>
      </w:r>
      <w:r>
        <w:rPr>
          <w:rFonts w:ascii="Arial" w:eastAsia="Arial" w:hAnsi="Arial" w:cs="Arial"/>
          <w:b/>
          <w:color w:val="000000"/>
          <w:sz w:val="24"/>
          <w:szCs w:val="24"/>
        </w:rPr>
        <w:t xml:space="preserve"> </w:t>
      </w:r>
    </w:p>
    <w:p w14:paraId="00000002" w14:textId="77777777" w:rsidR="00CA372F" w:rsidRDefault="00774237">
      <w:pPr>
        <w:spacing w:line="276" w:lineRule="auto"/>
        <w:jc w:val="center"/>
        <w:rPr>
          <w:rFonts w:ascii="Arial" w:eastAsia="Arial" w:hAnsi="Arial" w:cs="Arial"/>
          <w:sz w:val="24"/>
          <w:szCs w:val="24"/>
        </w:rPr>
      </w:pPr>
      <w:r>
        <w:rPr>
          <w:rFonts w:ascii="Arial" w:eastAsia="Arial" w:hAnsi="Arial" w:cs="Arial"/>
          <w:b/>
          <w:color w:val="000000"/>
          <w:sz w:val="24"/>
          <w:szCs w:val="24"/>
        </w:rPr>
        <w:t>Country Report</w:t>
      </w:r>
    </w:p>
    <w:p w14:paraId="00000003" w14:textId="39FF6C81" w:rsidR="00CA372F" w:rsidRDefault="00774237">
      <w:pPr>
        <w:spacing w:line="276" w:lineRule="auto"/>
        <w:jc w:val="center"/>
        <w:rPr>
          <w:rFonts w:ascii="Arial" w:eastAsia="Arial" w:hAnsi="Arial" w:cs="Arial"/>
          <w:b/>
        </w:rPr>
      </w:pPr>
      <w:r>
        <w:rPr>
          <w:rFonts w:ascii="Arial" w:eastAsia="Arial" w:hAnsi="Arial" w:cs="Arial"/>
          <w:b/>
        </w:rPr>
        <w:t>COVER</w:t>
      </w:r>
      <w:r w:rsidR="00140FD6">
        <w:rPr>
          <w:rFonts w:ascii="Arial" w:eastAsia="Arial" w:hAnsi="Arial" w:cs="Arial"/>
          <w:b/>
        </w:rPr>
        <w:t xml:space="preserve"> </w:t>
      </w:r>
      <w:r>
        <w:rPr>
          <w:rFonts w:ascii="Arial" w:eastAsia="Arial" w:hAnsi="Arial" w:cs="Arial"/>
          <w:b/>
        </w:rPr>
        <w:t>SHEET</w:t>
      </w:r>
    </w:p>
    <w:p w14:paraId="00000004" w14:textId="77777777" w:rsidR="00CA372F" w:rsidRDefault="00CA372F">
      <w:pPr>
        <w:spacing w:line="276" w:lineRule="auto"/>
        <w:rPr>
          <w:rFonts w:ascii="Arial" w:eastAsia="Arial" w:hAnsi="Arial" w:cs="Arial"/>
        </w:rPr>
      </w:pPr>
      <w:bookmarkStart w:id="1" w:name="_heading=h.gjdgxs" w:colFirst="0" w:colLast="0"/>
      <w:bookmarkEnd w:id="1"/>
    </w:p>
    <w:p w14:paraId="00000005" w14:textId="77777777" w:rsidR="00CA372F" w:rsidRDefault="00CA372F">
      <w:pPr>
        <w:spacing w:line="276" w:lineRule="auto"/>
        <w:rPr>
          <w:rFonts w:ascii="Arial" w:eastAsia="Arial" w:hAnsi="Arial" w:cs="Arial"/>
        </w:rPr>
      </w:pPr>
    </w:p>
    <w:p w14:paraId="00000006" w14:textId="0B473C5B" w:rsidR="00CA372F" w:rsidRDefault="00774237">
      <w:pPr>
        <w:numPr>
          <w:ilvl w:val="0"/>
          <w:numId w:val="1"/>
        </w:numPr>
        <w:spacing w:line="276" w:lineRule="auto"/>
        <w:rPr>
          <w:rFonts w:ascii="Arial" w:eastAsia="Arial" w:hAnsi="Arial" w:cs="Arial"/>
          <w:b/>
        </w:rPr>
      </w:pPr>
      <w:r>
        <w:rPr>
          <w:rFonts w:ascii="Arial" w:eastAsia="Arial" w:hAnsi="Arial" w:cs="Arial"/>
          <w:b/>
        </w:rPr>
        <w:t>Name:</w:t>
      </w:r>
      <w:r w:rsidR="00807841">
        <w:rPr>
          <w:rFonts w:ascii="Arial" w:eastAsia="Arial" w:hAnsi="Arial" w:cs="Arial" w:hint="eastAsia"/>
          <w:b/>
          <w:lang w:eastAsia="zh-CN"/>
        </w:rPr>
        <w:t xml:space="preserve"> </w:t>
      </w:r>
      <w:proofErr w:type="spellStart"/>
      <w:r w:rsidR="00807841">
        <w:rPr>
          <w:rFonts w:ascii="Arial" w:eastAsia="Arial" w:hAnsi="Arial" w:cs="Arial" w:hint="eastAsia"/>
          <w:b/>
          <w:lang w:eastAsia="zh-CN"/>
        </w:rPr>
        <w:t>Xianglong</w:t>
      </w:r>
      <w:proofErr w:type="spellEnd"/>
      <w:r w:rsidR="00807841">
        <w:rPr>
          <w:rFonts w:ascii="Arial" w:eastAsia="Arial" w:hAnsi="Arial" w:cs="Arial" w:hint="eastAsia"/>
          <w:b/>
          <w:lang w:eastAsia="zh-CN"/>
        </w:rPr>
        <w:t xml:space="preserve"> Lin</w:t>
      </w:r>
    </w:p>
    <w:p w14:paraId="00000007" w14:textId="77777777" w:rsidR="00CA372F" w:rsidRDefault="00CA372F">
      <w:pPr>
        <w:spacing w:line="276" w:lineRule="auto"/>
        <w:ind w:left="720"/>
        <w:rPr>
          <w:rFonts w:ascii="Arial" w:eastAsia="Arial" w:hAnsi="Arial" w:cs="Arial"/>
        </w:rPr>
      </w:pPr>
    </w:p>
    <w:p w14:paraId="00000008" w14:textId="7DF7A8C9" w:rsidR="00CA372F" w:rsidRDefault="00774237">
      <w:pPr>
        <w:numPr>
          <w:ilvl w:val="0"/>
          <w:numId w:val="1"/>
        </w:numPr>
        <w:spacing w:line="276" w:lineRule="auto"/>
        <w:rPr>
          <w:rFonts w:ascii="Arial" w:eastAsia="Arial" w:hAnsi="Arial" w:cs="Arial"/>
          <w:b/>
        </w:rPr>
      </w:pPr>
      <w:r>
        <w:rPr>
          <w:rFonts w:ascii="Arial" w:eastAsia="Arial" w:hAnsi="Arial" w:cs="Arial"/>
          <w:b/>
        </w:rPr>
        <w:t>Student number (8 digits):</w:t>
      </w:r>
      <w:r w:rsidR="00807841">
        <w:rPr>
          <w:rFonts w:ascii="Arial" w:eastAsia="Arial" w:hAnsi="Arial" w:cs="Arial" w:hint="eastAsia"/>
          <w:b/>
          <w:lang w:eastAsia="zh-CN"/>
        </w:rPr>
        <w:t xml:space="preserve"> 45791439</w:t>
      </w:r>
    </w:p>
    <w:p w14:paraId="00000009" w14:textId="77777777" w:rsidR="00CA372F" w:rsidRDefault="00CA372F">
      <w:pPr>
        <w:spacing w:line="276" w:lineRule="auto"/>
        <w:rPr>
          <w:rFonts w:ascii="Arial" w:eastAsia="Arial" w:hAnsi="Arial" w:cs="Arial"/>
        </w:rPr>
      </w:pPr>
    </w:p>
    <w:p w14:paraId="0000000A" w14:textId="4E602C44" w:rsidR="00CA372F" w:rsidRDefault="00774237">
      <w:pPr>
        <w:numPr>
          <w:ilvl w:val="0"/>
          <w:numId w:val="1"/>
        </w:numPr>
        <w:spacing w:line="276" w:lineRule="auto"/>
        <w:rPr>
          <w:rFonts w:ascii="Arial" w:eastAsia="Arial" w:hAnsi="Arial" w:cs="Arial"/>
          <w:b/>
          <w:color w:val="000000"/>
        </w:rPr>
      </w:pPr>
      <w:r>
        <w:rPr>
          <w:rFonts w:ascii="Arial" w:eastAsia="Arial" w:hAnsi="Arial" w:cs="Arial"/>
          <w:b/>
          <w:color w:val="000000"/>
        </w:rPr>
        <w:t>Allocated country:</w:t>
      </w:r>
      <w:r w:rsidR="00807841">
        <w:rPr>
          <w:rFonts w:ascii="Arial" w:eastAsia="Arial" w:hAnsi="Arial" w:cs="Arial" w:hint="eastAsia"/>
          <w:b/>
          <w:color w:val="000000"/>
          <w:lang w:eastAsia="zh-CN"/>
        </w:rPr>
        <w:t xml:space="preserve"> Singapore</w:t>
      </w:r>
    </w:p>
    <w:p w14:paraId="165CB604" w14:textId="77777777" w:rsidR="00E32D25" w:rsidRDefault="00E32D25" w:rsidP="00E32D25">
      <w:pPr>
        <w:pStyle w:val="ListParagraph"/>
        <w:rPr>
          <w:rFonts w:ascii="Arial" w:eastAsia="Arial" w:hAnsi="Arial" w:cs="Arial"/>
          <w:b/>
          <w:color w:val="000000"/>
        </w:rPr>
      </w:pPr>
    </w:p>
    <w:p w14:paraId="6EDFAF80" w14:textId="0A111024" w:rsidR="00E32D25" w:rsidRPr="00604EDA" w:rsidRDefault="00E32D25">
      <w:pPr>
        <w:numPr>
          <w:ilvl w:val="0"/>
          <w:numId w:val="1"/>
        </w:numPr>
        <w:spacing w:line="276" w:lineRule="auto"/>
        <w:rPr>
          <w:rFonts w:ascii="Arial" w:eastAsia="Arial" w:hAnsi="Arial" w:cs="Arial"/>
          <w:b/>
        </w:rPr>
      </w:pPr>
      <w:r w:rsidRPr="00604EDA">
        <w:rPr>
          <w:rFonts w:ascii="Arial" w:eastAsia="Arial" w:hAnsi="Arial" w:cs="Arial"/>
          <w:b/>
        </w:rPr>
        <w:t>Wordcount:</w:t>
      </w:r>
      <w:r w:rsidR="00604EDA" w:rsidRPr="00604EDA">
        <w:rPr>
          <w:rFonts w:ascii="Arial" w:eastAsia="Arial" w:hAnsi="Arial" w:cs="Arial" w:hint="eastAsia"/>
          <w:b/>
          <w:lang w:eastAsia="zh-CN"/>
        </w:rPr>
        <w:t xml:space="preserve"> 128</w:t>
      </w:r>
      <w:r w:rsidR="0025400E">
        <w:rPr>
          <w:rFonts w:ascii="Arial" w:eastAsia="Arial" w:hAnsi="Arial" w:cs="Arial" w:hint="eastAsia"/>
          <w:b/>
          <w:lang w:eastAsia="zh-CN"/>
        </w:rPr>
        <w:t>2</w:t>
      </w:r>
    </w:p>
    <w:p w14:paraId="3A971180" w14:textId="77777777" w:rsidR="0074149D" w:rsidRPr="005B74B5" w:rsidRDefault="0074149D" w:rsidP="0074149D">
      <w:pPr>
        <w:pStyle w:val="ListParagraph"/>
        <w:rPr>
          <w:rFonts w:ascii="Arial" w:eastAsia="Arial" w:hAnsi="Arial" w:cs="Arial"/>
          <w:b/>
          <w:color w:val="000000"/>
        </w:rPr>
      </w:pPr>
    </w:p>
    <w:p w14:paraId="0000000D" w14:textId="3E7A8223" w:rsidR="00CA372F" w:rsidRPr="005B74B5" w:rsidRDefault="00774237" w:rsidP="00E32D25">
      <w:pPr>
        <w:numPr>
          <w:ilvl w:val="0"/>
          <w:numId w:val="1"/>
        </w:numPr>
        <w:spacing w:line="276" w:lineRule="auto"/>
        <w:rPr>
          <w:rFonts w:ascii="Arial" w:eastAsia="Arial" w:hAnsi="Arial" w:cs="Arial"/>
          <w:b/>
          <w:bCs/>
        </w:rPr>
      </w:pPr>
      <w:r w:rsidRPr="005B74B5">
        <w:rPr>
          <w:rFonts w:ascii="Arial" w:eastAsia="Arial" w:hAnsi="Arial" w:cs="Arial"/>
          <w:b/>
        </w:rPr>
        <w:t>Declaration</w:t>
      </w:r>
      <w:r w:rsidRPr="00E32D25">
        <w:rPr>
          <w:rFonts w:ascii="Arial" w:eastAsia="Arial" w:hAnsi="Arial" w:cs="Arial"/>
          <w:b/>
        </w:rPr>
        <w:t xml:space="preserve">: </w:t>
      </w:r>
      <w:r w:rsidRPr="00FA1B36">
        <w:rPr>
          <w:rFonts w:ascii="Arial" w:eastAsia="Arial" w:hAnsi="Arial" w:cs="Arial"/>
        </w:rPr>
        <w:t>I</w:t>
      </w:r>
      <w:r w:rsidRPr="00E32D25">
        <w:rPr>
          <w:rFonts w:ascii="Arial" w:eastAsia="Arial" w:hAnsi="Arial" w:cs="Arial"/>
        </w:rPr>
        <w:t xml:space="preserve">, </w:t>
      </w:r>
      <w:proofErr w:type="spellStart"/>
      <w:r w:rsidR="00807841" w:rsidRPr="00807841">
        <w:rPr>
          <w:rFonts w:ascii="Arial" w:eastAsia="Arial" w:hAnsi="Arial" w:cs="Arial" w:hint="eastAsia"/>
          <w:u w:val="single"/>
          <w:lang w:eastAsia="zh-CN"/>
        </w:rPr>
        <w:t>Xianglong</w:t>
      </w:r>
      <w:proofErr w:type="spellEnd"/>
      <w:r w:rsidR="00807841" w:rsidRPr="00807841">
        <w:rPr>
          <w:rFonts w:ascii="Arial" w:eastAsia="Arial" w:hAnsi="Arial" w:cs="Arial" w:hint="eastAsia"/>
          <w:u w:val="single"/>
          <w:lang w:eastAsia="zh-CN"/>
        </w:rPr>
        <w:t xml:space="preserve"> Lin</w:t>
      </w:r>
      <w:r w:rsidRPr="00E32D25">
        <w:rPr>
          <w:rFonts w:ascii="Arial" w:eastAsia="Arial" w:hAnsi="Arial" w:cs="Arial"/>
        </w:rPr>
        <w:t>, declare that this report is my own work and all the materials from other sources are fully and properly referenced.</w:t>
      </w:r>
    </w:p>
    <w:p w14:paraId="0000000E" w14:textId="77777777" w:rsidR="00CA372F" w:rsidRDefault="00CA372F">
      <w:pPr>
        <w:rPr>
          <w:b/>
        </w:rPr>
      </w:pPr>
    </w:p>
    <w:p w14:paraId="0000000F" w14:textId="77777777" w:rsidR="00CA372F" w:rsidRDefault="00774237">
      <w:pPr>
        <w:pBdr>
          <w:top w:val="nil"/>
          <w:left w:val="nil"/>
          <w:bottom w:val="nil"/>
          <w:right w:val="nil"/>
          <w:between w:val="nil"/>
        </w:pBdr>
        <w:spacing w:after="0" w:line="276" w:lineRule="auto"/>
        <w:ind w:left="720"/>
        <w:rPr>
          <w:rFonts w:ascii="Arial" w:eastAsia="Arial" w:hAnsi="Arial" w:cs="Arial"/>
          <w:b/>
        </w:rPr>
      </w:pPr>
      <w:r>
        <w:br w:type="page"/>
      </w:r>
    </w:p>
    <w:p w14:paraId="00000010" w14:textId="28BCD355" w:rsidR="00CA372F" w:rsidRDefault="00774237">
      <w:pPr>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color w:val="000000"/>
        </w:rPr>
        <w:lastRenderedPageBreak/>
        <w:t>1. Macroeconomic Performance</w:t>
      </w:r>
    </w:p>
    <w:p w14:paraId="00000011" w14:textId="77777777" w:rsidR="00CA372F" w:rsidRPr="00A7250C" w:rsidRDefault="00CA372F">
      <w:pPr>
        <w:pBdr>
          <w:top w:val="nil"/>
          <w:left w:val="nil"/>
          <w:bottom w:val="nil"/>
          <w:right w:val="nil"/>
          <w:between w:val="nil"/>
        </w:pBdr>
        <w:spacing w:after="0" w:line="276" w:lineRule="auto"/>
        <w:rPr>
          <w:rFonts w:ascii="Arial" w:eastAsia="Arial" w:hAnsi="Arial" w:cs="Arial"/>
          <w:b/>
          <w:lang w:eastAsia="zh-CN"/>
        </w:rPr>
      </w:pPr>
    </w:p>
    <w:p w14:paraId="615AD2C6" w14:textId="77777777" w:rsidR="00A7250C" w:rsidRPr="008A6876" w:rsidRDefault="00A7250C" w:rsidP="00A7250C">
      <w:pPr>
        <w:pBdr>
          <w:top w:val="nil"/>
          <w:left w:val="nil"/>
          <w:bottom w:val="nil"/>
          <w:right w:val="nil"/>
          <w:between w:val="nil"/>
        </w:pBdr>
        <w:spacing w:after="0" w:line="276" w:lineRule="auto"/>
        <w:jc w:val="center"/>
        <w:rPr>
          <w:rFonts w:ascii="Arial" w:eastAsia="Microsoft YaHei" w:hAnsi="Arial" w:cs="Arial"/>
          <w:b/>
          <w:lang w:val="en-US" w:eastAsia="zh-CN"/>
        </w:rPr>
      </w:pPr>
      <w:r w:rsidRPr="00A7250C">
        <w:rPr>
          <w:rFonts w:ascii="Arial" w:hAnsi="Arial" w:cs="Arial"/>
          <w:noProof/>
        </w:rPr>
        <w:drawing>
          <wp:inline distT="0" distB="0" distL="0" distR="0" wp14:anchorId="20A96E82" wp14:editId="1F012A53">
            <wp:extent cx="5943600" cy="2874010"/>
            <wp:effectExtent l="0" t="0" r="12700" b="8890"/>
            <wp:docPr id="576476798" name="Chart 1">
              <a:extLst xmlns:a="http://schemas.openxmlformats.org/drawingml/2006/main">
                <a:ext uri="{FF2B5EF4-FFF2-40B4-BE49-F238E27FC236}">
                  <a16:creationId xmlns:a16="http://schemas.microsoft.com/office/drawing/2014/main" id="{7981481D-1766-232C-9A4B-81C85159C0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Pr="00A7250C">
        <w:rPr>
          <w:rFonts w:ascii="Arial" w:eastAsia="Arial" w:hAnsi="Arial" w:cs="Arial"/>
          <w:b/>
          <w:lang w:eastAsia="zh-CN"/>
        </w:rPr>
        <w:t xml:space="preserve"> </w:t>
      </w:r>
      <w:r w:rsidRPr="008A6876">
        <w:rPr>
          <w:rFonts w:ascii="Arial" w:eastAsia="Microsoft YaHei" w:hAnsi="Arial" w:cs="Arial"/>
          <w:bCs/>
          <w:lang w:eastAsia="zh-CN"/>
        </w:rPr>
        <w:t>(World Bank Group, 2024)</w:t>
      </w:r>
    </w:p>
    <w:p w14:paraId="7454DA1B" w14:textId="77777777" w:rsidR="00A7250C" w:rsidRPr="008A6876" w:rsidRDefault="00A7250C" w:rsidP="00A7250C">
      <w:pPr>
        <w:pBdr>
          <w:top w:val="nil"/>
          <w:left w:val="nil"/>
          <w:bottom w:val="nil"/>
          <w:right w:val="nil"/>
          <w:between w:val="nil"/>
        </w:pBdr>
        <w:spacing w:after="0" w:line="276" w:lineRule="auto"/>
        <w:rPr>
          <w:rFonts w:ascii="Arial" w:eastAsia="Arial" w:hAnsi="Arial" w:cs="Arial"/>
          <w:b/>
          <w:lang w:eastAsia="zh-CN"/>
        </w:rPr>
      </w:pPr>
    </w:p>
    <w:p w14:paraId="76403863" w14:textId="77777777" w:rsidR="00A7250C" w:rsidRPr="008A6876" w:rsidRDefault="00A7250C" w:rsidP="00A7250C">
      <w:pPr>
        <w:jc w:val="center"/>
        <w:rPr>
          <w:rFonts w:ascii="Arial" w:hAnsi="Arial" w:cs="Arial"/>
          <w:lang w:eastAsia="zh-CN"/>
        </w:rPr>
      </w:pPr>
      <w:r w:rsidRPr="008A6876">
        <w:rPr>
          <w:rFonts w:ascii="Arial" w:hAnsi="Arial" w:cs="Arial"/>
        </w:rPr>
        <w:t xml:space="preserve">Figure 1: Trends in Singapore's GDP Growth Rate, Inflation Rate, and Unemployment Rate </w:t>
      </w:r>
    </w:p>
    <w:p w14:paraId="18C03477" w14:textId="77777777" w:rsidR="00A7250C" w:rsidRPr="008A6876" w:rsidRDefault="00A7250C" w:rsidP="00A7250C">
      <w:pPr>
        <w:jc w:val="center"/>
        <w:rPr>
          <w:rFonts w:ascii="Arial" w:hAnsi="Arial" w:cs="Arial"/>
          <w:lang w:eastAsia="zh-CN"/>
        </w:rPr>
      </w:pPr>
      <w:r w:rsidRPr="008A6876">
        <w:rPr>
          <w:rFonts w:ascii="Arial" w:hAnsi="Arial" w:cs="Arial"/>
        </w:rPr>
        <w:t>(2013-2018)</w:t>
      </w:r>
    </w:p>
    <w:p w14:paraId="4D0C064F" w14:textId="77777777" w:rsidR="00A7250C" w:rsidRPr="00A7250C" w:rsidRDefault="00A7250C">
      <w:pPr>
        <w:pBdr>
          <w:top w:val="nil"/>
          <w:left w:val="nil"/>
          <w:bottom w:val="nil"/>
          <w:right w:val="nil"/>
          <w:between w:val="nil"/>
        </w:pBdr>
        <w:spacing w:after="0" w:line="276" w:lineRule="auto"/>
        <w:rPr>
          <w:rFonts w:ascii="Arial" w:eastAsia="Arial" w:hAnsi="Arial" w:cs="Arial"/>
          <w:b/>
          <w:lang w:eastAsia="zh-CN"/>
        </w:rPr>
      </w:pPr>
    </w:p>
    <w:p w14:paraId="00000012" w14:textId="72348BE4" w:rsidR="00CA372F" w:rsidRDefault="009B0879">
      <w:pPr>
        <w:pBdr>
          <w:top w:val="nil"/>
          <w:left w:val="nil"/>
          <w:bottom w:val="nil"/>
          <w:right w:val="nil"/>
          <w:between w:val="nil"/>
        </w:pBdr>
        <w:spacing w:after="0" w:line="276" w:lineRule="auto"/>
        <w:rPr>
          <w:rFonts w:ascii="Arial" w:eastAsia="Arial" w:hAnsi="Arial" w:cs="Arial"/>
          <w:b/>
          <w:lang w:eastAsia="zh-CN"/>
        </w:rPr>
      </w:pPr>
      <w:r w:rsidRPr="00A7250C">
        <w:rPr>
          <w:rFonts w:ascii="Arial" w:eastAsia="Arial" w:hAnsi="Arial" w:cs="Arial"/>
          <w:b/>
        </w:rPr>
        <w:t>a.</w:t>
      </w:r>
    </w:p>
    <w:p w14:paraId="4E750CF8" w14:textId="77777777" w:rsidR="00A7250C" w:rsidRDefault="00A7250C">
      <w:pPr>
        <w:pBdr>
          <w:top w:val="nil"/>
          <w:left w:val="nil"/>
          <w:bottom w:val="nil"/>
          <w:right w:val="nil"/>
          <w:between w:val="nil"/>
        </w:pBdr>
        <w:spacing w:after="0" w:line="276" w:lineRule="auto"/>
        <w:rPr>
          <w:rFonts w:ascii="Arial" w:eastAsia="Arial" w:hAnsi="Arial" w:cs="Arial"/>
          <w:b/>
          <w:lang w:eastAsia="zh-CN"/>
        </w:rPr>
      </w:pPr>
    </w:p>
    <w:p w14:paraId="47A59F41" w14:textId="77777777" w:rsidR="00A7250C" w:rsidRPr="008A6876" w:rsidRDefault="00A7250C" w:rsidP="00A7250C">
      <w:pPr>
        <w:pBdr>
          <w:top w:val="nil"/>
          <w:left w:val="nil"/>
          <w:bottom w:val="nil"/>
          <w:right w:val="nil"/>
          <w:between w:val="nil"/>
        </w:pBdr>
        <w:spacing w:after="0" w:line="276" w:lineRule="auto"/>
        <w:rPr>
          <w:rFonts w:ascii="Arial" w:eastAsia="Arial" w:hAnsi="Arial" w:cs="Arial"/>
          <w:bCs/>
          <w:lang w:eastAsia="zh-CN"/>
        </w:rPr>
      </w:pPr>
      <w:r w:rsidRPr="008A6876">
        <w:rPr>
          <w:rFonts w:ascii="Arial" w:eastAsia="Arial" w:hAnsi="Arial" w:cs="Arial"/>
          <w:bCs/>
        </w:rPr>
        <w:t>From 2013 to 2018, Singapore sustained a stable and consistent economic expansion as a highly advanced market economy. Figure 1 illustrates a nuanced picture of GDP growth, featuring a dip from 4.82% in 2013 to 2.98% in 2015, followed by a rebound to 4.51% in 2017, only to ease slightly to 3.52% in 2018. Despite these fluctuations, Singapore's economic capacity expanded consistently, emphasi</w:t>
      </w:r>
      <w:r w:rsidRPr="008A6876">
        <w:rPr>
          <w:rFonts w:ascii="Arial" w:eastAsia="Arial" w:hAnsi="Arial" w:cs="Arial" w:hint="eastAsia"/>
          <w:bCs/>
          <w:lang w:eastAsia="zh-CN"/>
        </w:rPr>
        <w:t>s</w:t>
      </w:r>
      <w:r w:rsidRPr="008A6876">
        <w:rPr>
          <w:rFonts w:ascii="Arial" w:eastAsia="Arial" w:hAnsi="Arial" w:cs="Arial"/>
          <w:bCs/>
        </w:rPr>
        <w:t xml:space="preserve">ing its pivotal role in the global economic landscape. </w:t>
      </w:r>
    </w:p>
    <w:p w14:paraId="37DB6D43" w14:textId="77777777" w:rsidR="00A7250C" w:rsidRPr="008A6876" w:rsidRDefault="00A7250C" w:rsidP="00A7250C">
      <w:pPr>
        <w:pBdr>
          <w:top w:val="nil"/>
          <w:left w:val="nil"/>
          <w:bottom w:val="nil"/>
          <w:right w:val="nil"/>
          <w:between w:val="nil"/>
        </w:pBdr>
        <w:spacing w:after="0" w:line="276" w:lineRule="auto"/>
        <w:rPr>
          <w:rFonts w:ascii="Arial" w:eastAsia="Arial" w:hAnsi="Arial" w:cs="Arial"/>
          <w:bCs/>
          <w:lang w:eastAsia="zh-CN"/>
        </w:rPr>
      </w:pPr>
    </w:p>
    <w:p w14:paraId="77FB6559" w14:textId="77777777" w:rsidR="00A7250C" w:rsidRPr="008A6876" w:rsidRDefault="00A7250C" w:rsidP="00A7250C">
      <w:pPr>
        <w:pBdr>
          <w:top w:val="nil"/>
          <w:left w:val="nil"/>
          <w:bottom w:val="nil"/>
          <w:right w:val="nil"/>
          <w:between w:val="nil"/>
        </w:pBdr>
        <w:spacing w:after="0" w:line="276" w:lineRule="auto"/>
        <w:rPr>
          <w:rFonts w:ascii="Arial" w:eastAsia="Arial" w:hAnsi="Arial" w:cs="Arial"/>
          <w:bCs/>
          <w:lang w:eastAsia="zh-CN"/>
        </w:rPr>
      </w:pPr>
      <w:r w:rsidRPr="008A6876">
        <w:rPr>
          <w:rFonts w:ascii="Arial" w:eastAsia="Arial" w:hAnsi="Arial" w:cs="Arial"/>
          <w:bCs/>
        </w:rPr>
        <w:t>Inflation rates, during this period, demonstrated significant variations, transitioning from deflationary trends of -0.43% and -0.27% in 2013 and 2014, respectively, to upward spikes of 3.07% in 2015 and 3.60% in 2018, as depicted in Figure 1. These shifts underscore Singapore's susceptibility to external economic disturbances.</w:t>
      </w:r>
      <w:r w:rsidRPr="008A6876">
        <w:rPr>
          <w:rFonts w:ascii="Arial" w:eastAsia="Arial" w:hAnsi="Arial" w:cs="Arial" w:hint="eastAsia"/>
          <w:bCs/>
          <w:lang w:eastAsia="zh-CN"/>
        </w:rPr>
        <w:t xml:space="preserve"> </w:t>
      </w:r>
      <w:r w:rsidRPr="008A6876">
        <w:rPr>
          <w:rFonts w:ascii="Arial" w:eastAsia="Arial" w:hAnsi="Arial" w:cs="Arial"/>
          <w:bCs/>
          <w:lang w:eastAsia="zh-CN"/>
        </w:rPr>
        <w:t xml:space="preserve">(Monetary Authority of Singapore, 2019) </w:t>
      </w:r>
      <w:r w:rsidRPr="008A6876">
        <w:rPr>
          <w:rFonts w:ascii="Arial" w:eastAsia="Arial" w:hAnsi="Arial" w:cs="Arial"/>
          <w:bCs/>
        </w:rPr>
        <w:t xml:space="preserve">Nevertheless, the government adeptly addressed inflation through judicious monetary policy manoeuvres, such as regulating money supply and maintaining moderate interest rates. </w:t>
      </w:r>
    </w:p>
    <w:p w14:paraId="026C0883" w14:textId="77777777" w:rsidR="00A7250C" w:rsidRPr="008A6876" w:rsidRDefault="00A7250C" w:rsidP="00A7250C">
      <w:pPr>
        <w:pBdr>
          <w:top w:val="nil"/>
          <w:left w:val="nil"/>
          <w:bottom w:val="nil"/>
          <w:right w:val="nil"/>
          <w:between w:val="nil"/>
        </w:pBdr>
        <w:spacing w:after="0" w:line="276" w:lineRule="auto"/>
        <w:rPr>
          <w:rFonts w:ascii="Arial" w:eastAsia="Arial" w:hAnsi="Arial" w:cs="Arial"/>
          <w:bCs/>
          <w:lang w:eastAsia="zh-CN"/>
        </w:rPr>
      </w:pPr>
    </w:p>
    <w:p w14:paraId="058F42C4" w14:textId="77777777" w:rsidR="00A7250C" w:rsidRPr="008A6876" w:rsidRDefault="00A7250C" w:rsidP="00A7250C">
      <w:pPr>
        <w:pBdr>
          <w:top w:val="nil"/>
          <w:left w:val="nil"/>
          <w:bottom w:val="nil"/>
          <w:right w:val="nil"/>
          <w:between w:val="nil"/>
        </w:pBdr>
        <w:spacing w:after="0" w:line="276" w:lineRule="auto"/>
        <w:rPr>
          <w:rFonts w:ascii="Arial" w:eastAsia="Arial" w:hAnsi="Arial" w:cs="Arial"/>
          <w:bCs/>
          <w:lang w:eastAsia="zh-CN"/>
        </w:rPr>
      </w:pPr>
      <w:r w:rsidRPr="008A6876">
        <w:rPr>
          <w:rFonts w:ascii="Arial" w:eastAsia="Arial" w:hAnsi="Arial" w:cs="Arial"/>
          <w:bCs/>
        </w:rPr>
        <w:t xml:space="preserve">The labour market remained resilient, with consistently low unemployment rates, notably 3.61% in 2018. This achievement underscores not only the robustness and stability of Singapore's economy but also the government's proficiency in fostering job creation and enhancing labour market dynamics. </w:t>
      </w:r>
    </w:p>
    <w:p w14:paraId="6400FD05" w14:textId="77777777" w:rsidR="00A7250C" w:rsidRPr="008A6876" w:rsidRDefault="00A7250C" w:rsidP="00A7250C">
      <w:pPr>
        <w:pBdr>
          <w:top w:val="nil"/>
          <w:left w:val="nil"/>
          <w:bottom w:val="nil"/>
          <w:right w:val="nil"/>
          <w:between w:val="nil"/>
        </w:pBdr>
        <w:spacing w:after="0" w:line="276" w:lineRule="auto"/>
        <w:rPr>
          <w:rFonts w:ascii="Arial" w:eastAsia="Arial" w:hAnsi="Arial" w:cs="Arial"/>
          <w:bCs/>
          <w:lang w:eastAsia="zh-CN"/>
        </w:rPr>
      </w:pPr>
    </w:p>
    <w:p w14:paraId="63C64082" w14:textId="521E167F" w:rsidR="00A7250C" w:rsidRPr="008A6876" w:rsidRDefault="00A7250C">
      <w:pPr>
        <w:pBdr>
          <w:top w:val="nil"/>
          <w:left w:val="nil"/>
          <w:bottom w:val="nil"/>
          <w:right w:val="nil"/>
          <w:between w:val="nil"/>
        </w:pBdr>
        <w:spacing w:after="0" w:line="276" w:lineRule="auto"/>
        <w:rPr>
          <w:rFonts w:ascii="Arial" w:eastAsia="Arial" w:hAnsi="Arial" w:cs="Arial"/>
          <w:bCs/>
          <w:lang w:eastAsia="zh-CN"/>
        </w:rPr>
      </w:pPr>
      <w:r w:rsidRPr="008A6876">
        <w:rPr>
          <w:rFonts w:ascii="Arial" w:eastAsia="Arial" w:hAnsi="Arial" w:cs="Arial"/>
          <w:bCs/>
        </w:rPr>
        <w:t xml:space="preserve">As a prominent global trade centre, Singapore's economic fortunes are intricately tied to international trade, with exports exceeding 176% of GDP in 2018. While this high dependence enhances Singapore's global reach, it also exposes it to the whims of global economic turbulence. </w:t>
      </w:r>
      <w:r w:rsidRPr="008A6876">
        <w:rPr>
          <w:rFonts w:ascii="Arial" w:eastAsia="Arial" w:hAnsi="Arial" w:cs="Arial"/>
          <w:bCs/>
        </w:rPr>
        <w:lastRenderedPageBreak/>
        <w:t>To counteract these risks, the government has pursued economic diversification strategies and investments in high-value sectors.</w:t>
      </w:r>
    </w:p>
    <w:p w14:paraId="64E79520" w14:textId="2350CAA9" w:rsidR="009B0879" w:rsidRDefault="009B0879">
      <w:pPr>
        <w:pBdr>
          <w:top w:val="nil"/>
          <w:left w:val="nil"/>
          <w:bottom w:val="nil"/>
          <w:right w:val="nil"/>
          <w:between w:val="nil"/>
        </w:pBdr>
        <w:spacing w:after="0" w:line="276" w:lineRule="auto"/>
        <w:rPr>
          <w:rFonts w:ascii="Arial" w:eastAsia="Arial" w:hAnsi="Arial" w:cs="Arial"/>
          <w:b/>
        </w:rPr>
      </w:pPr>
    </w:p>
    <w:p w14:paraId="6D7B8DA8" w14:textId="0ED48149" w:rsidR="009B0879" w:rsidRDefault="009B0879">
      <w:pPr>
        <w:pBdr>
          <w:top w:val="nil"/>
          <w:left w:val="nil"/>
          <w:bottom w:val="nil"/>
          <w:right w:val="nil"/>
          <w:between w:val="nil"/>
        </w:pBdr>
        <w:spacing w:after="0" w:line="276" w:lineRule="auto"/>
        <w:rPr>
          <w:rFonts w:ascii="Arial" w:eastAsia="Arial" w:hAnsi="Arial" w:cs="Arial"/>
          <w:b/>
          <w:lang w:eastAsia="zh-CN"/>
        </w:rPr>
      </w:pPr>
      <w:r>
        <w:rPr>
          <w:rFonts w:ascii="Arial" w:eastAsia="Arial" w:hAnsi="Arial" w:cs="Arial"/>
          <w:b/>
        </w:rPr>
        <w:t>b.</w:t>
      </w:r>
    </w:p>
    <w:p w14:paraId="3714A6BC" w14:textId="77777777" w:rsidR="003D0C36" w:rsidRDefault="003D0C36">
      <w:pPr>
        <w:pBdr>
          <w:top w:val="nil"/>
          <w:left w:val="nil"/>
          <w:bottom w:val="nil"/>
          <w:right w:val="nil"/>
          <w:between w:val="nil"/>
        </w:pBdr>
        <w:spacing w:after="0" w:line="276" w:lineRule="auto"/>
        <w:rPr>
          <w:rFonts w:ascii="Arial" w:eastAsia="Arial" w:hAnsi="Arial" w:cs="Arial"/>
          <w:b/>
          <w:lang w:eastAsia="zh-CN"/>
        </w:rPr>
      </w:pPr>
    </w:p>
    <w:p w14:paraId="3D23CAAD" w14:textId="77777777" w:rsidR="003D0C36" w:rsidRPr="008A6876" w:rsidRDefault="003D0C36" w:rsidP="003D0C36">
      <w:pPr>
        <w:pBdr>
          <w:top w:val="nil"/>
          <w:left w:val="nil"/>
          <w:bottom w:val="nil"/>
          <w:right w:val="nil"/>
          <w:between w:val="nil"/>
        </w:pBdr>
        <w:spacing w:after="0" w:line="276" w:lineRule="auto"/>
        <w:rPr>
          <w:rFonts w:ascii="Arial" w:eastAsia="Times New Roman" w:hAnsi="Arial" w:cs="Arial"/>
          <w:lang w:eastAsia="zh-CN"/>
        </w:rPr>
      </w:pPr>
      <w:r w:rsidRPr="008A6876">
        <w:rPr>
          <w:rFonts w:ascii="Arial" w:eastAsia="Times New Roman" w:hAnsi="Arial" w:cs="Arial"/>
        </w:rPr>
        <w:t>The interrelationship between GDP growth, inflation, and unemployment in Singapore is profound. Generally, robust GDP growth coincides with low unemployment, as economic expansion fosters job opportunities. Singapore's export-driven model tightly links its GDP growth to international trade, particularly in high-tech manufacturing and financial services</w:t>
      </w:r>
      <w:r w:rsidRPr="008A6876">
        <w:rPr>
          <w:rFonts w:ascii="Arial" w:eastAsia="Times New Roman" w:hAnsi="Arial" w:cs="Arial" w:hint="eastAsia"/>
          <w:lang w:eastAsia="zh-CN"/>
        </w:rPr>
        <w:t xml:space="preserve"> </w:t>
      </w:r>
      <w:r w:rsidRPr="008A6876">
        <w:rPr>
          <w:rFonts w:ascii="Arial" w:eastAsia="Times New Roman" w:hAnsi="Arial" w:cs="Arial"/>
          <w:lang w:eastAsia="zh-CN"/>
        </w:rPr>
        <w:t>(</w:t>
      </w:r>
      <w:proofErr w:type="spellStart"/>
      <w:r w:rsidRPr="008A6876">
        <w:rPr>
          <w:rFonts w:ascii="Arial" w:eastAsia="Times New Roman" w:hAnsi="Arial" w:cs="Arial"/>
          <w:lang w:eastAsia="zh-CN"/>
        </w:rPr>
        <w:t>Cheang</w:t>
      </w:r>
      <w:proofErr w:type="spellEnd"/>
      <w:r w:rsidRPr="008A6876">
        <w:rPr>
          <w:rFonts w:ascii="Arial" w:eastAsia="Times New Roman" w:hAnsi="Arial" w:cs="Arial"/>
          <w:lang w:eastAsia="zh-CN"/>
        </w:rPr>
        <w:t>, 2024)</w:t>
      </w:r>
      <w:r w:rsidRPr="008A6876">
        <w:rPr>
          <w:rFonts w:ascii="Arial" w:eastAsia="Times New Roman" w:hAnsi="Arial" w:cs="Arial"/>
        </w:rPr>
        <w:t xml:space="preserve">. Elevated exports and foreign investments stimulate labour demand, thereby curbing unemployment. </w:t>
      </w:r>
    </w:p>
    <w:p w14:paraId="212320BF" w14:textId="77777777" w:rsidR="003D0C36" w:rsidRPr="008A6876" w:rsidRDefault="003D0C36" w:rsidP="003D0C36">
      <w:pPr>
        <w:pBdr>
          <w:top w:val="nil"/>
          <w:left w:val="nil"/>
          <w:bottom w:val="nil"/>
          <w:right w:val="nil"/>
          <w:between w:val="nil"/>
        </w:pBdr>
        <w:spacing w:after="0" w:line="276" w:lineRule="auto"/>
        <w:rPr>
          <w:rFonts w:ascii="Arial" w:eastAsia="Times New Roman" w:hAnsi="Arial" w:cs="Arial"/>
          <w:lang w:eastAsia="zh-CN"/>
        </w:rPr>
      </w:pPr>
    </w:p>
    <w:p w14:paraId="65710D9A" w14:textId="5697C6F2" w:rsidR="003D0C36" w:rsidRPr="008A6876" w:rsidRDefault="003D0C36">
      <w:pPr>
        <w:pBdr>
          <w:top w:val="nil"/>
          <w:left w:val="nil"/>
          <w:bottom w:val="nil"/>
          <w:right w:val="nil"/>
          <w:between w:val="nil"/>
        </w:pBdr>
        <w:spacing w:after="0" w:line="276" w:lineRule="auto"/>
        <w:rPr>
          <w:rFonts w:ascii="Arial" w:eastAsia="Times New Roman" w:hAnsi="Arial" w:cs="Arial"/>
          <w:lang w:eastAsia="zh-CN"/>
        </w:rPr>
      </w:pPr>
      <w:r w:rsidRPr="008A6876">
        <w:rPr>
          <w:rFonts w:ascii="Arial" w:eastAsia="Times New Roman" w:hAnsi="Arial" w:cs="Arial"/>
        </w:rPr>
        <w:t>Conversely, the government's meticulous monetary policy stewardship has kept inflation in check. In response to the surge in inflation, Singapore adopted measures like reducing interest rates, controlling money supply, and enticing foreign investment. These interventions effectively slowed inflation from 2016 to 2018, shoring up consumer and investor confidence, which further bolstered economic growth and employment. This interplay mirrors the Phillips Curve concept, albeit Singapore's policies have skilfully balanced the trade-off between inflation and unemployment</w:t>
      </w:r>
      <w:r w:rsidRPr="008A6876">
        <w:rPr>
          <w:rFonts w:ascii="Arial" w:eastAsia="Times New Roman" w:hAnsi="Arial" w:cs="Arial" w:hint="eastAsia"/>
          <w:lang w:eastAsia="zh-CN"/>
        </w:rPr>
        <w:t xml:space="preserve"> </w:t>
      </w:r>
      <w:r w:rsidRPr="008A6876">
        <w:rPr>
          <w:rFonts w:ascii="Arial" w:eastAsia="Times New Roman" w:hAnsi="Arial" w:cs="Arial"/>
          <w:lang w:eastAsia="zh-CN"/>
        </w:rPr>
        <w:t>(</w:t>
      </w:r>
      <w:proofErr w:type="spellStart"/>
      <w:r w:rsidRPr="008A6876">
        <w:rPr>
          <w:rFonts w:ascii="Arial" w:eastAsia="Times New Roman" w:hAnsi="Arial" w:cs="Arial"/>
          <w:lang w:eastAsia="zh-CN"/>
        </w:rPr>
        <w:t>Cheang</w:t>
      </w:r>
      <w:proofErr w:type="spellEnd"/>
      <w:r w:rsidRPr="008A6876">
        <w:rPr>
          <w:rFonts w:ascii="Arial" w:eastAsia="Times New Roman" w:hAnsi="Arial" w:cs="Arial"/>
          <w:lang w:eastAsia="zh-CN"/>
        </w:rPr>
        <w:t>, 2024)</w:t>
      </w:r>
      <w:r w:rsidRPr="008A6876">
        <w:rPr>
          <w:rFonts w:ascii="Arial" w:eastAsia="Times New Roman" w:hAnsi="Arial" w:cs="Arial"/>
        </w:rPr>
        <w:t>.</w:t>
      </w:r>
    </w:p>
    <w:p w14:paraId="09708DE3" w14:textId="3DFFF211" w:rsidR="009B0879" w:rsidRDefault="009B0879">
      <w:pPr>
        <w:pBdr>
          <w:top w:val="nil"/>
          <w:left w:val="nil"/>
          <w:bottom w:val="nil"/>
          <w:right w:val="nil"/>
          <w:between w:val="nil"/>
        </w:pBdr>
        <w:spacing w:after="0" w:line="276" w:lineRule="auto"/>
        <w:rPr>
          <w:rFonts w:ascii="Arial" w:eastAsia="Arial" w:hAnsi="Arial" w:cs="Arial"/>
          <w:b/>
        </w:rPr>
      </w:pPr>
    </w:p>
    <w:p w14:paraId="1EF63D49" w14:textId="6B0AEBB6" w:rsidR="009B0879" w:rsidRDefault="009B0879">
      <w:pPr>
        <w:pBdr>
          <w:top w:val="nil"/>
          <w:left w:val="nil"/>
          <w:bottom w:val="nil"/>
          <w:right w:val="nil"/>
          <w:between w:val="nil"/>
        </w:pBdr>
        <w:spacing w:after="0" w:line="276" w:lineRule="auto"/>
        <w:rPr>
          <w:rFonts w:ascii="Arial" w:eastAsia="Arial" w:hAnsi="Arial" w:cs="Arial"/>
          <w:b/>
          <w:lang w:eastAsia="zh-CN"/>
        </w:rPr>
      </w:pPr>
      <w:r>
        <w:rPr>
          <w:rFonts w:ascii="Arial" w:eastAsia="Arial" w:hAnsi="Arial" w:cs="Arial"/>
          <w:b/>
        </w:rPr>
        <w:t>c.</w:t>
      </w:r>
    </w:p>
    <w:p w14:paraId="72A923F2" w14:textId="77777777" w:rsidR="00B87FFD" w:rsidRPr="008A6876" w:rsidRDefault="00B87FFD" w:rsidP="00B87FFD">
      <w:pPr>
        <w:pBdr>
          <w:top w:val="nil"/>
          <w:left w:val="nil"/>
          <w:bottom w:val="nil"/>
          <w:right w:val="nil"/>
          <w:between w:val="nil"/>
        </w:pBdr>
        <w:spacing w:after="0" w:line="276" w:lineRule="auto"/>
        <w:rPr>
          <w:rFonts w:ascii="Arial" w:eastAsia="Arial" w:hAnsi="Arial" w:cs="Arial"/>
          <w:b/>
          <w:lang w:eastAsia="zh-CN"/>
        </w:rPr>
      </w:pPr>
    </w:p>
    <w:p w14:paraId="5DD4FDE3" w14:textId="77777777" w:rsidR="00B87FFD" w:rsidRPr="008A6876" w:rsidRDefault="00B87FFD" w:rsidP="00B87FFD">
      <w:pPr>
        <w:pBdr>
          <w:top w:val="nil"/>
          <w:left w:val="nil"/>
          <w:bottom w:val="nil"/>
          <w:right w:val="nil"/>
          <w:between w:val="nil"/>
        </w:pBdr>
        <w:spacing w:after="0" w:line="276" w:lineRule="auto"/>
        <w:rPr>
          <w:rFonts w:ascii="Arial" w:eastAsia="Times New Roman" w:hAnsi="Arial" w:cs="Arial"/>
          <w:lang w:eastAsia="zh-CN"/>
        </w:rPr>
      </w:pPr>
      <w:r w:rsidRPr="008A6876">
        <w:rPr>
          <w:rFonts w:ascii="Arial" w:eastAsia="Times New Roman" w:hAnsi="Arial" w:cs="Arial"/>
          <w:lang w:eastAsia="zh-CN"/>
        </w:rPr>
        <w:t>Singapore's robust macroeconomic performance stems from strategic policy initiatives. The government's negotiation of free trade and bilateral investment agreements has lured foreign direct investment, bolstered exports, and propelled economic vitality. These pacts have crafted a conducive ecosystem for trade and investment</w:t>
      </w:r>
      <w:r w:rsidRPr="008A6876">
        <w:rPr>
          <w:rFonts w:ascii="Arial" w:eastAsia="Times New Roman" w:hAnsi="Arial" w:cs="Arial" w:hint="eastAsia"/>
          <w:lang w:eastAsia="zh-CN"/>
        </w:rPr>
        <w:t xml:space="preserve"> </w:t>
      </w:r>
      <w:r w:rsidRPr="008A6876">
        <w:rPr>
          <w:rFonts w:ascii="Arial" w:eastAsia="Times New Roman" w:hAnsi="Arial" w:cs="Arial"/>
          <w:lang w:eastAsia="zh-CN"/>
        </w:rPr>
        <w:t xml:space="preserve">(Singapore Economic Development Board, 2024), reinforcing Singapore's status as a premier global business and financial hub. </w:t>
      </w:r>
    </w:p>
    <w:p w14:paraId="4F1CDAC9" w14:textId="77777777" w:rsidR="00B87FFD" w:rsidRPr="008A6876" w:rsidRDefault="00B87FFD" w:rsidP="00B87FFD">
      <w:pPr>
        <w:pBdr>
          <w:top w:val="nil"/>
          <w:left w:val="nil"/>
          <w:bottom w:val="nil"/>
          <w:right w:val="nil"/>
          <w:between w:val="nil"/>
        </w:pBdr>
        <w:spacing w:after="0" w:line="276" w:lineRule="auto"/>
        <w:rPr>
          <w:rFonts w:ascii="Arial" w:eastAsia="Times New Roman" w:hAnsi="Arial" w:cs="Arial"/>
          <w:lang w:eastAsia="zh-CN"/>
        </w:rPr>
      </w:pPr>
    </w:p>
    <w:p w14:paraId="21022B63" w14:textId="77777777" w:rsidR="00B87FFD" w:rsidRPr="008A6876" w:rsidRDefault="00B87FFD" w:rsidP="00B87FFD">
      <w:pPr>
        <w:pBdr>
          <w:top w:val="nil"/>
          <w:left w:val="nil"/>
          <w:bottom w:val="nil"/>
          <w:right w:val="nil"/>
          <w:between w:val="nil"/>
        </w:pBdr>
        <w:spacing w:after="0" w:line="276" w:lineRule="auto"/>
        <w:rPr>
          <w:rFonts w:ascii="SimSun" w:hAnsi="SimSun" w:cs="SimSun"/>
          <w:lang w:eastAsia="zh-CN"/>
        </w:rPr>
      </w:pPr>
      <w:r w:rsidRPr="008A6876">
        <w:rPr>
          <w:rFonts w:ascii="Arial" w:eastAsia="Times New Roman" w:hAnsi="Arial" w:cs="Arial"/>
          <w:lang w:eastAsia="zh-CN"/>
        </w:rPr>
        <w:t>Moreover, government investments in human capital development and technological advancements, exemplified by the Smart Nation Initiative, have fortified the country's economic competitiveness. This endeavour has driven economic diversification, fostered high-quality job creation, and kept unemployment low.</w:t>
      </w:r>
      <w:r w:rsidRPr="008A6876">
        <w:rPr>
          <w:rFonts w:ascii="Arial" w:eastAsia="Times New Roman" w:hAnsi="Arial" w:cs="Arial" w:hint="eastAsia"/>
          <w:lang w:eastAsia="zh-CN"/>
        </w:rPr>
        <w:t xml:space="preserve"> </w:t>
      </w:r>
      <w:r w:rsidRPr="008A6876">
        <w:rPr>
          <w:rFonts w:ascii="Arial" w:eastAsia="Times New Roman" w:hAnsi="Arial" w:cs="Arial"/>
          <w:lang w:eastAsia="zh-CN"/>
        </w:rPr>
        <w:t>(Singapore Economic Development Board, 2024)</w:t>
      </w:r>
    </w:p>
    <w:p w14:paraId="6B472AB0" w14:textId="77777777" w:rsidR="00B87FFD" w:rsidRPr="008A6876" w:rsidRDefault="00B87FFD" w:rsidP="00B87FFD">
      <w:pPr>
        <w:pBdr>
          <w:top w:val="nil"/>
          <w:left w:val="nil"/>
          <w:bottom w:val="nil"/>
          <w:right w:val="nil"/>
          <w:between w:val="nil"/>
        </w:pBdr>
        <w:spacing w:after="0" w:line="276" w:lineRule="auto"/>
        <w:rPr>
          <w:rFonts w:ascii="Arial" w:eastAsia="Times New Roman" w:hAnsi="Arial" w:cs="Arial"/>
          <w:lang w:eastAsia="zh-CN"/>
        </w:rPr>
      </w:pPr>
    </w:p>
    <w:p w14:paraId="243D84D8" w14:textId="77777777" w:rsidR="00B87FFD" w:rsidRPr="008A6876" w:rsidRDefault="00B87FFD" w:rsidP="00B87FFD">
      <w:pPr>
        <w:pBdr>
          <w:top w:val="nil"/>
          <w:left w:val="nil"/>
          <w:bottom w:val="nil"/>
          <w:right w:val="nil"/>
          <w:between w:val="nil"/>
        </w:pBdr>
        <w:spacing w:after="0" w:line="276" w:lineRule="auto"/>
        <w:rPr>
          <w:rFonts w:ascii="SimSun" w:hAnsi="SimSun" w:cs="SimSun"/>
          <w:lang w:eastAsia="zh-CN"/>
        </w:rPr>
      </w:pPr>
      <w:r w:rsidRPr="008A6876">
        <w:rPr>
          <w:rFonts w:ascii="Arial" w:eastAsia="Times New Roman" w:hAnsi="Arial" w:cs="Arial"/>
          <w:lang w:eastAsia="zh-CN"/>
        </w:rPr>
        <w:t>Lastly, stringent financial regulations have been paramount to Singapore's economic stability. The government's commitment to a resilient financial system and fostering foreign investment has nurtured the capital market's healthy expansion and sustained economic growth. A stable monetary policy framework has ensured low inflation, providing a sturdy macroeconomic backdrop amidst global economic uncertainties</w:t>
      </w:r>
      <w:r w:rsidRPr="008A6876">
        <w:rPr>
          <w:rFonts w:ascii="Arial" w:eastAsia="Times New Roman" w:hAnsi="Arial" w:cs="Arial" w:hint="eastAsia"/>
          <w:lang w:eastAsia="zh-CN"/>
        </w:rPr>
        <w:t xml:space="preserve"> (</w:t>
      </w:r>
      <w:r w:rsidRPr="008A6876">
        <w:rPr>
          <w:rFonts w:ascii="Arial" w:eastAsia="Times New Roman" w:hAnsi="Arial" w:cs="Arial"/>
          <w:lang w:eastAsia="zh-CN"/>
        </w:rPr>
        <w:t>Singapore Economic Development Board, 2024).</w:t>
      </w:r>
    </w:p>
    <w:p w14:paraId="21C4026A" w14:textId="77777777" w:rsidR="00B87FFD" w:rsidRPr="008A6876" w:rsidRDefault="00B87FFD">
      <w:pPr>
        <w:pBdr>
          <w:top w:val="nil"/>
          <w:left w:val="nil"/>
          <w:bottom w:val="nil"/>
          <w:right w:val="nil"/>
          <w:between w:val="nil"/>
        </w:pBdr>
        <w:spacing w:after="0" w:line="276" w:lineRule="auto"/>
        <w:rPr>
          <w:rFonts w:ascii="Arial" w:eastAsia="Arial" w:hAnsi="Arial" w:cs="Arial"/>
          <w:b/>
          <w:lang w:eastAsia="zh-CN"/>
        </w:rPr>
      </w:pPr>
    </w:p>
    <w:p w14:paraId="28AC649A" w14:textId="77777777" w:rsidR="007E341D" w:rsidRPr="008A6876" w:rsidRDefault="007E341D">
      <w:pPr>
        <w:pBdr>
          <w:top w:val="nil"/>
          <w:left w:val="nil"/>
          <w:bottom w:val="nil"/>
          <w:right w:val="nil"/>
          <w:between w:val="nil"/>
        </w:pBdr>
        <w:spacing w:after="0" w:line="276" w:lineRule="auto"/>
        <w:rPr>
          <w:rFonts w:ascii="Arial" w:eastAsia="Arial" w:hAnsi="Arial" w:cs="Arial"/>
          <w:b/>
          <w:lang w:eastAsia="zh-CN"/>
        </w:rPr>
      </w:pPr>
    </w:p>
    <w:p w14:paraId="1BEB20D6" w14:textId="77777777" w:rsidR="007E341D" w:rsidRPr="008A6876" w:rsidRDefault="007E341D">
      <w:pPr>
        <w:pBdr>
          <w:top w:val="nil"/>
          <w:left w:val="nil"/>
          <w:bottom w:val="nil"/>
          <w:right w:val="nil"/>
          <w:between w:val="nil"/>
        </w:pBdr>
        <w:spacing w:after="0" w:line="276" w:lineRule="auto"/>
        <w:rPr>
          <w:rFonts w:ascii="Arial" w:eastAsia="Arial" w:hAnsi="Arial" w:cs="Arial"/>
          <w:b/>
          <w:lang w:eastAsia="zh-CN"/>
        </w:rPr>
      </w:pPr>
    </w:p>
    <w:p w14:paraId="0131EE43" w14:textId="77777777" w:rsidR="007E341D" w:rsidRPr="008A6876" w:rsidRDefault="007E341D">
      <w:pPr>
        <w:pBdr>
          <w:top w:val="nil"/>
          <w:left w:val="nil"/>
          <w:bottom w:val="nil"/>
          <w:right w:val="nil"/>
          <w:between w:val="nil"/>
        </w:pBdr>
        <w:spacing w:after="0" w:line="276" w:lineRule="auto"/>
        <w:rPr>
          <w:rFonts w:ascii="Arial" w:eastAsia="Arial" w:hAnsi="Arial" w:cs="Arial"/>
          <w:b/>
          <w:lang w:eastAsia="zh-CN"/>
        </w:rPr>
      </w:pPr>
    </w:p>
    <w:p w14:paraId="316C6A57" w14:textId="77777777" w:rsidR="007E341D" w:rsidRPr="008A6876" w:rsidRDefault="007E341D">
      <w:pPr>
        <w:pBdr>
          <w:top w:val="nil"/>
          <w:left w:val="nil"/>
          <w:bottom w:val="nil"/>
          <w:right w:val="nil"/>
          <w:between w:val="nil"/>
        </w:pBdr>
        <w:spacing w:after="0" w:line="276" w:lineRule="auto"/>
        <w:rPr>
          <w:rFonts w:ascii="Arial" w:eastAsia="Arial" w:hAnsi="Arial" w:cs="Arial"/>
          <w:b/>
          <w:lang w:eastAsia="zh-CN"/>
        </w:rPr>
      </w:pPr>
    </w:p>
    <w:p w14:paraId="3A05D32C" w14:textId="77777777" w:rsidR="007E341D" w:rsidRDefault="007E341D">
      <w:pPr>
        <w:pBdr>
          <w:top w:val="nil"/>
          <w:left w:val="nil"/>
          <w:bottom w:val="nil"/>
          <w:right w:val="nil"/>
          <w:between w:val="nil"/>
        </w:pBdr>
        <w:spacing w:after="0" w:line="276" w:lineRule="auto"/>
        <w:rPr>
          <w:rFonts w:ascii="Arial" w:eastAsia="Arial" w:hAnsi="Arial" w:cs="Arial"/>
          <w:b/>
          <w:lang w:eastAsia="zh-CN"/>
        </w:rPr>
      </w:pPr>
    </w:p>
    <w:p w14:paraId="1BD22E89" w14:textId="77777777" w:rsidR="007E341D" w:rsidRDefault="007E341D">
      <w:pPr>
        <w:pBdr>
          <w:top w:val="nil"/>
          <w:left w:val="nil"/>
          <w:bottom w:val="nil"/>
          <w:right w:val="nil"/>
          <w:between w:val="nil"/>
        </w:pBdr>
        <w:spacing w:after="0" w:line="276" w:lineRule="auto"/>
        <w:rPr>
          <w:rFonts w:ascii="Arial" w:eastAsia="Arial" w:hAnsi="Arial" w:cs="Arial"/>
          <w:b/>
          <w:lang w:eastAsia="zh-CN"/>
        </w:rPr>
      </w:pPr>
    </w:p>
    <w:p w14:paraId="3BBB85FD" w14:textId="77777777" w:rsidR="007E341D" w:rsidRDefault="007E341D">
      <w:pPr>
        <w:pBdr>
          <w:top w:val="nil"/>
          <w:left w:val="nil"/>
          <w:bottom w:val="nil"/>
          <w:right w:val="nil"/>
          <w:between w:val="nil"/>
        </w:pBdr>
        <w:spacing w:after="0" w:line="276" w:lineRule="auto"/>
        <w:rPr>
          <w:rFonts w:ascii="Arial" w:eastAsia="Arial" w:hAnsi="Arial" w:cs="Arial"/>
          <w:b/>
          <w:lang w:eastAsia="zh-CN"/>
        </w:rPr>
      </w:pPr>
    </w:p>
    <w:p w14:paraId="183258D7" w14:textId="77777777" w:rsidR="007E341D" w:rsidRDefault="007E341D">
      <w:pPr>
        <w:pBdr>
          <w:top w:val="nil"/>
          <w:left w:val="nil"/>
          <w:bottom w:val="nil"/>
          <w:right w:val="nil"/>
          <w:between w:val="nil"/>
        </w:pBdr>
        <w:spacing w:after="0" w:line="276" w:lineRule="auto"/>
        <w:rPr>
          <w:rFonts w:ascii="Arial" w:eastAsia="Arial" w:hAnsi="Arial" w:cs="Arial"/>
          <w:b/>
          <w:lang w:eastAsia="zh-CN"/>
        </w:rPr>
      </w:pPr>
    </w:p>
    <w:p w14:paraId="76E9E767" w14:textId="77777777" w:rsidR="007E341D" w:rsidRDefault="007E341D">
      <w:pPr>
        <w:pBdr>
          <w:top w:val="nil"/>
          <w:left w:val="nil"/>
          <w:bottom w:val="nil"/>
          <w:right w:val="nil"/>
          <w:between w:val="nil"/>
        </w:pBdr>
        <w:spacing w:after="0" w:line="276" w:lineRule="auto"/>
        <w:rPr>
          <w:rFonts w:ascii="Arial" w:eastAsia="Arial" w:hAnsi="Arial" w:cs="Arial"/>
          <w:b/>
          <w:lang w:eastAsia="zh-CN"/>
        </w:rPr>
      </w:pPr>
    </w:p>
    <w:p w14:paraId="11F964F6" w14:textId="77777777" w:rsidR="007E341D" w:rsidRDefault="007E341D">
      <w:pPr>
        <w:pBdr>
          <w:top w:val="nil"/>
          <w:left w:val="nil"/>
          <w:bottom w:val="nil"/>
          <w:right w:val="nil"/>
          <w:between w:val="nil"/>
        </w:pBdr>
        <w:spacing w:after="0" w:line="276" w:lineRule="auto"/>
        <w:rPr>
          <w:rFonts w:ascii="Arial" w:eastAsia="Arial" w:hAnsi="Arial" w:cs="Arial"/>
          <w:b/>
          <w:lang w:eastAsia="zh-CN"/>
        </w:rPr>
      </w:pPr>
    </w:p>
    <w:p w14:paraId="00000014" w14:textId="098404E7" w:rsidR="00CA372F" w:rsidRDefault="00774237">
      <w:pPr>
        <w:pBdr>
          <w:top w:val="nil"/>
          <w:left w:val="nil"/>
          <w:bottom w:val="nil"/>
          <w:right w:val="nil"/>
          <w:between w:val="nil"/>
        </w:pBdr>
        <w:spacing w:after="0" w:line="276" w:lineRule="auto"/>
        <w:rPr>
          <w:rFonts w:ascii="Arial" w:eastAsia="Arial" w:hAnsi="Arial" w:cs="Arial"/>
          <w:b/>
          <w:color w:val="000000"/>
          <w:lang w:eastAsia="zh-CN"/>
        </w:rPr>
      </w:pPr>
      <w:r>
        <w:rPr>
          <w:rFonts w:ascii="Arial" w:eastAsia="Arial" w:hAnsi="Arial" w:cs="Arial"/>
          <w:b/>
          <w:color w:val="000000"/>
        </w:rPr>
        <w:lastRenderedPageBreak/>
        <w:t>2. Benchmarking</w:t>
      </w:r>
    </w:p>
    <w:p w14:paraId="05C1CA9C" w14:textId="77777777" w:rsidR="00B87FFD" w:rsidRDefault="00B87FFD">
      <w:pPr>
        <w:pBdr>
          <w:top w:val="nil"/>
          <w:left w:val="nil"/>
          <w:bottom w:val="nil"/>
          <w:right w:val="nil"/>
          <w:between w:val="nil"/>
        </w:pBdr>
        <w:spacing w:after="0" w:line="276" w:lineRule="auto"/>
        <w:rPr>
          <w:rFonts w:ascii="Arial" w:eastAsia="Arial" w:hAnsi="Arial" w:cs="Arial"/>
          <w:b/>
          <w:color w:val="000000"/>
          <w:lang w:eastAsia="zh-CN"/>
        </w:rPr>
      </w:pPr>
    </w:p>
    <w:p w14:paraId="772FC53C" w14:textId="77777777" w:rsidR="00B87FFD" w:rsidRPr="00B87FFD" w:rsidRDefault="00B87FFD" w:rsidP="00B87FFD">
      <w:pPr>
        <w:pBdr>
          <w:top w:val="nil"/>
          <w:left w:val="nil"/>
          <w:bottom w:val="nil"/>
          <w:right w:val="nil"/>
          <w:between w:val="nil"/>
        </w:pBdr>
        <w:spacing w:after="0" w:line="276" w:lineRule="auto"/>
        <w:rPr>
          <w:rFonts w:ascii="Arial" w:eastAsia="Arial" w:hAnsi="Arial" w:cs="Arial"/>
          <w:b/>
          <w:color w:val="000000"/>
        </w:rPr>
      </w:pPr>
      <w:r w:rsidRPr="00B87FFD">
        <w:rPr>
          <w:rFonts w:ascii="Arial" w:hAnsi="Arial" w:cs="Arial"/>
          <w:noProof/>
        </w:rPr>
        <w:drawing>
          <wp:inline distT="0" distB="0" distL="0" distR="0" wp14:anchorId="61A4E1F0" wp14:editId="0D7C99DE">
            <wp:extent cx="6188710" cy="2135505"/>
            <wp:effectExtent l="0" t="0" r="8890" b="10795"/>
            <wp:docPr id="444883411" name="Chart 1">
              <a:extLst xmlns:a="http://schemas.openxmlformats.org/drawingml/2006/main">
                <a:ext uri="{FF2B5EF4-FFF2-40B4-BE49-F238E27FC236}">
                  <a16:creationId xmlns:a16="http://schemas.microsoft.com/office/drawing/2014/main" id="{1F528CAF-5861-F8F1-5C42-F9616AFE40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EAE8BEC" w14:textId="77777777" w:rsidR="00B87FFD" w:rsidRPr="008A6876" w:rsidRDefault="00B87FFD" w:rsidP="00B87FFD">
      <w:pPr>
        <w:pBdr>
          <w:top w:val="nil"/>
          <w:left w:val="nil"/>
          <w:bottom w:val="nil"/>
          <w:right w:val="nil"/>
          <w:between w:val="nil"/>
        </w:pBdr>
        <w:spacing w:after="0" w:line="276" w:lineRule="auto"/>
        <w:jc w:val="center"/>
        <w:rPr>
          <w:rFonts w:ascii="Arial" w:eastAsia="Arial" w:hAnsi="Arial" w:cs="Arial"/>
          <w:b/>
          <w:color w:val="000000"/>
        </w:rPr>
      </w:pPr>
      <w:r w:rsidRPr="008A6876">
        <w:rPr>
          <w:rFonts w:ascii="Arial" w:eastAsia="Microsoft YaHei" w:hAnsi="Arial" w:cs="Arial"/>
          <w:bCs/>
          <w:lang w:eastAsia="zh-CN"/>
        </w:rPr>
        <w:t>(World Bank Group, 2024)</w:t>
      </w:r>
    </w:p>
    <w:p w14:paraId="093AEA21" w14:textId="77777777" w:rsidR="00B87FFD" w:rsidRPr="008A6876" w:rsidRDefault="00B87FFD" w:rsidP="00B87FFD">
      <w:pPr>
        <w:pBdr>
          <w:top w:val="nil"/>
          <w:left w:val="nil"/>
          <w:bottom w:val="nil"/>
          <w:right w:val="nil"/>
          <w:between w:val="nil"/>
        </w:pBdr>
        <w:spacing w:after="0" w:line="276" w:lineRule="auto"/>
        <w:rPr>
          <w:rFonts w:ascii="Arial" w:eastAsia="Arial" w:hAnsi="Arial" w:cs="Arial"/>
          <w:b/>
          <w:color w:val="000000"/>
        </w:rPr>
      </w:pPr>
    </w:p>
    <w:p w14:paraId="34349E2D" w14:textId="77777777" w:rsidR="00B87FFD" w:rsidRPr="008A6876" w:rsidRDefault="00B87FFD" w:rsidP="00B87FFD">
      <w:pPr>
        <w:jc w:val="center"/>
        <w:rPr>
          <w:rFonts w:ascii="Arial" w:hAnsi="Arial" w:cs="Arial"/>
          <w:lang w:val="en-CN" w:eastAsia="zh-CN"/>
        </w:rPr>
      </w:pPr>
      <w:r w:rsidRPr="008A6876">
        <w:rPr>
          <w:rFonts w:ascii="Arial" w:hAnsi="Arial" w:cs="Arial"/>
          <w:lang w:val="en-CN"/>
        </w:rPr>
        <w:t xml:space="preserve">Figure 2: Comparison of GDP growth rates between Singapore and Switzerland </w:t>
      </w:r>
      <w:r w:rsidRPr="008A6876">
        <w:rPr>
          <w:rFonts w:ascii="Arial" w:hAnsi="Arial" w:cs="Arial"/>
          <w:lang w:val="en-CN" w:eastAsia="zh-CN"/>
        </w:rPr>
        <w:t>(</w:t>
      </w:r>
      <w:r w:rsidRPr="008A6876">
        <w:rPr>
          <w:rFonts w:ascii="Arial" w:hAnsi="Arial" w:cs="Arial"/>
          <w:lang w:val="en-CN"/>
        </w:rPr>
        <w:t xml:space="preserve">2013 </w:t>
      </w:r>
      <w:r w:rsidRPr="008A6876">
        <w:rPr>
          <w:rFonts w:ascii="Arial" w:hAnsi="Arial" w:cs="Arial"/>
          <w:lang w:val="en-CN" w:eastAsia="zh-CN"/>
        </w:rPr>
        <w:t>–</w:t>
      </w:r>
      <w:r w:rsidRPr="008A6876">
        <w:rPr>
          <w:rFonts w:ascii="Arial" w:hAnsi="Arial" w:cs="Arial"/>
          <w:lang w:val="en-CN"/>
        </w:rPr>
        <w:t xml:space="preserve"> 2018</w:t>
      </w:r>
      <w:r w:rsidRPr="008A6876">
        <w:rPr>
          <w:rFonts w:ascii="Arial" w:hAnsi="Arial" w:cs="Arial"/>
          <w:lang w:val="en-CN" w:eastAsia="zh-CN"/>
        </w:rPr>
        <w:t>)</w:t>
      </w:r>
    </w:p>
    <w:p w14:paraId="15E227AD" w14:textId="77777777" w:rsidR="009B0879" w:rsidRDefault="009B0879" w:rsidP="009B0879">
      <w:pPr>
        <w:pBdr>
          <w:top w:val="nil"/>
          <w:left w:val="nil"/>
          <w:bottom w:val="nil"/>
          <w:right w:val="nil"/>
          <w:between w:val="nil"/>
        </w:pBdr>
        <w:spacing w:after="0" w:line="276" w:lineRule="auto"/>
        <w:rPr>
          <w:rFonts w:ascii="Arial" w:eastAsia="Arial" w:hAnsi="Arial" w:cs="Arial"/>
          <w:b/>
          <w:lang w:eastAsia="zh-CN"/>
        </w:rPr>
      </w:pPr>
    </w:p>
    <w:p w14:paraId="6C74FF96" w14:textId="0E02A0DE" w:rsidR="009B0879" w:rsidRDefault="009B0879" w:rsidP="009B0879">
      <w:pPr>
        <w:pBdr>
          <w:top w:val="nil"/>
          <w:left w:val="nil"/>
          <w:bottom w:val="nil"/>
          <w:right w:val="nil"/>
          <w:between w:val="nil"/>
        </w:pBdr>
        <w:spacing w:after="0" w:line="276" w:lineRule="auto"/>
        <w:rPr>
          <w:rFonts w:ascii="Arial" w:eastAsia="Arial" w:hAnsi="Arial" w:cs="Arial"/>
          <w:b/>
          <w:lang w:eastAsia="zh-CN"/>
        </w:rPr>
      </w:pPr>
      <w:r>
        <w:rPr>
          <w:rFonts w:ascii="Arial" w:eastAsia="Arial" w:hAnsi="Arial" w:cs="Arial"/>
          <w:b/>
        </w:rPr>
        <w:t>a.</w:t>
      </w:r>
    </w:p>
    <w:p w14:paraId="3DC5928F" w14:textId="77777777" w:rsidR="008C4DA3" w:rsidRDefault="008C4DA3" w:rsidP="009B0879">
      <w:pPr>
        <w:pBdr>
          <w:top w:val="nil"/>
          <w:left w:val="nil"/>
          <w:bottom w:val="nil"/>
          <w:right w:val="nil"/>
          <w:between w:val="nil"/>
        </w:pBdr>
        <w:spacing w:after="0" w:line="276" w:lineRule="auto"/>
        <w:rPr>
          <w:rFonts w:ascii="Arial" w:eastAsia="Arial" w:hAnsi="Arial" w:cs="Arial"/>
          <w:b/>
          <w:lang w:eastAsia="zh-CN"/>
        </w:rPr>
      </w:pPr>
    </w:p>
    <w:p w14:paraId="0A81A677" w14:textId="77777777" w:rsidR="008C4DA3" w:rsidRPr="008A6876" w:rsidRDefault="008C4DA3" w:rsidP="008C4DA3">
      <w:pPr>
        <w:pBdr>
          <w:top w:val="nil"/>
          <w:left w:val="nil"/>
          <w:bottom w:val="nil"/>
          <w:right w:val="nil"/>
          <w:between w:val="nil"/>
        </w:pBdr>
        <w:spacing w:after="0" w:line="276" w:lineRule="auto"/>
        <w:rPr>
          <w:rFonts w:ascii="Arial" w:hAnsi="Arial" w:cs="Arial"/>
          <w:lang w:val="en-CN" w:eastAsia="zh-CN"/>
        </w:rPr>
      </w:pPr>
      <w:r w:rsidRPr="008A6876">
        <w:rPr>
          <w:rFonts w:ascii="Arial" w:hAnsi="Arial" w:cs="Arial"/>
          <w:lang w:val="en-CN"/>
        </w:rPr>
        <w:t>Switzerland is a meaningful comparison that can be chosen as Singapore's benchmark country, because both the Swiss and Singaporean economies are driven by strong financial services industries and global cutting-edge creativity. The economic structure of Switzerland is similar to that of Singapore, mainly consisting of high-tech manufacturing, banking and financial services. Therefore, the 2 countries have strong comparability in macroeconomic performance. Between 2013 and 2018, both countries were far ahead in terms of global competitiveness and economic freedom. The comparison of GDP growth rates in Figure 2 shows that Singapore's economic growth rate is significantly faster than Switzerland, especially in 2013 and 2017. This also highlights the stronger growth momentum of Singapore during the global economic recovery period.</w:t>
      </w:r>
      <w:r w:rsidRPr="008A6876">
        <w:rPr>
          <w:rFonts w:ascii="Arial" w:hAnsi="Arial" w:cs="Arial" w:hint="eastAsia"/>
          <w:lang w:val="en-CN" w:eastAsia="zh-CN"/>
        </w:rPr>
        <w:t xml:space="preserve"> (</w:t>
      </w:r>
      <w:r w:rsidRPr="008A6876">
        <w:rPr>
          <w:rFonts w:ascii="Arial" w:hAnsi="Arial" w:cs="Arial"/>
          <w:lang w:eastAsia="zh-CN"/>
        </w:rPr>
        <w:t>World Economic Forum, 2024</w:t>
      </w:r>
      <w:r w:rsidRPr="008A6876">
        <w:rPr>
          <w:rFonts w:ascii="Arial" w:hAnsi="Arial" w:cs="Arial" w:hint="eastAsia"/>
          <w:lang w:val="en-CN" w:eastAsia="zh-CN"/>
        </w:rPr>
        <w:t>)</w:t>
      </w:r>
    </w:p>
    <w:p w14:paraId="2ADBDFB3" w14:textId="77777777" w:rsidR="008C4DA3" w:rsidRPr="008A6876" w:rsidRDefault="008C4DA3" w:rsidP="008C4DA3">
      <w:pPr>
        <w:pBdr>
          <w:top w:val="nil"/>
          <w:left w:val="nil"/>
          <w:bottom w:val="nil"/>
          <w:right w:val="nil"/>
          <w:between w:val="nil"/>
        </w:pBdr>
        <w:spacing w:after="0" w:line="276" w:lineRule="auto"/>
        <w:rPr>
          <w:rFonts w:ascii="Arial" w:eastAsia="Arial" w:hAnsi="Arial" w:cs="Arial"/>
          <w:b/>
          <w:lang w:eastAsia="zh-CN"/>
        </w:rPr>
      </w:pPr>
    </w:p>
    <w:p w14:paraId="58B09CF1" w14:textId="164A59FE" w:rsidR="008C4DA3" w:rsidRPr="008A6876" w:rsidRDefault="008C4DA3" w:rsidP="009B0879">
      <w:pPr>
        <w:pBdr>
          <w:top w:val="nil"/>
          <w:left w:val="nil"/>
          <w:bottom w:val="nil"/>
          <w:right w:val="nil"/>
          <w:between w:val="nil"/>
        </w:pBdr>
        <w:spacing w:after="0" w:line="276" w:lineRule="auto"/>
        <w:rPr>
          <w:rFonts w:ascii="Arial" w:eastAsia="Arial" w:hAnsi="Arial" w:cs="Arial"/>
          <w:b/>
          <w:lang w:val="en-CN" w:eastAsia="zh-CN"/>
        </w:rPr>
      </w:pPr>
      <w:r w:rsidRPr="008A6876">
        <w:rPr>
          <w:rFonts w:ascii="Arial" w:hAnsi="Arial" w:cs="Arial"/>
          <w:lang w:val="en-CN"/>
        </w:rPr>
        <w:t>Although using Switzerland as a benchmark country is a more valuable comparison, there are also certain limitations. The economic structure of Switzerland is more diversified than that of Singapore, mainly in manufacturing and agriculture. Moreover, Switzerland is the core of European economies whose economic performance is largely influenced by the overall economic environment in the Eurozone, while Singapore is more affected by Asia-Pacific. The disparity in geographical location and economic environment is likely to cause differences between the 2 countries on some macroeconomic indicators, so it is necessary to consider these influencing factors when making comparisons.</w:t>
      </w:r>
    </w:p>
    <w:p w14:paraId="5F7E136E" w14:textId="77777777" w:rsidR="009B0879" w:rsidRDefault="009B0879" w:rsidP="009B0879">
      <w:pPr>
        <w:pBdr>
          <w:top w:val="nil"/>
          <w:left w:val="nil"/>
          <w:bottom w:val="nil"/>
          <w:right w:val="nil"/>
          <w:between w:val="nil"/>
        </w:pBdr>
        <w:spacing w:after="0" w:line="276" w:lineRule="auto"/>
        <w:rPr>
          <w:rFonts w:ascii="Arial" w:eastAsia="Arial" w:hAnsi="Arial" w:cs="Arial"/>
          <w:b/>
        </w:rPr>
      </w:pPr>
    </w:p>
    <w:p w14:paraId="02BC3935" w14:textId="77777777" w:rsidR="009B0879" w:rsidRDefault="009B0879" w:rsidP="009B0879">
      <w:pPr>
        <w:pBdr>
          <w:top w:val="nil"/>
          <w:left w:val="nil"/>
          <w:bottom w:val="nil"/>
          <w:right w:val="nil"/>
          <w:between w:val="nil"/>
        </w:pBdr>
        <w:spacing w:after="0" w:line="276" w:lineRule="auto"/>
        <w:rPr>
          <w:rFonts w:ascii="Arial" w:eastAsia="Arial" w:hAnsi="Arial" w:cs="Arial"/>
          <w:b/>
          <w:lang w:eastAsia="zh-CN"/>
        </w:rPr>
      </w:pPr>
      <w:r>
        <w:rPr>
          <w:rFonts w:ascii="Arial" w:eastAsia="Arial" w:hAnsi="Arial" w:cs="Arial"/>
          <w:b/>
        </w:rPr>
        <w:t>b.</w:t>
      </w:r>
    </w:p>
    <w:p w14:paraId="48DD3B57" w14:textId="77777777" w:rsidR="00813C1D" w:rsidRDefault="00813C1D" w:rsidP="009B0879">
      <w:pPr>
        <w:pBdr>
          <w:top w:val="nil"/>
          <w:left w:val="nil"/>
          <w:bottom w:val="nil"/>
          <w:right w:val="nil"/>
          <w:between w:val="nil"/>
        </w:pBdr>
        <w:spacing w:after="0" w:line="276" w:lineRule="auto"/>
        <w:rPr>
          <w:rFonts w:ascii="Arial" w:eastAsia="Arial" w:hAnsi="Arial" w:cs="Arial"/>
          <w:b/>
          <w:lang w:eastAsia="zh-CN"/>
        </w:rPr>
      </w:pPr>
    </w:p>
    <w:p w14:paraId="5A8250B2" w14:textId="5791334C" w:rsidR="00813C1D" w:rsidRPr="008A6876" w:rsidRDefault="00813C1D" w:rsidP="009B0879">
      <w:pPr>
        <w:pBdr>
          <w:top w:val="nil"/>
          <w:left w:val="nil"/>
          <w:bottom w:val="nil"/>
          <w:right w:val="nil"/>
          <w:between w:val="nil"/>
        </w:pBdr>
        <w:spacing w:after="0" w:line="276" w:lineRule="auto"/>
        <w:rPr>
          <w:rFonts w:ascii="Arial" w:eastAsia="Arial" w:hAnsi="Arial" w:cs="Arial"/>
          <w:b/>
          <w:lang w:eastAsia="zh-CN"/>
        </w:rPr>
      </w:pPr>
      <w:r w:rsidRPr="008A6876">
        <w:rPr>
          <w:rFonts w:ascii="Arial" w:hAnsi="Arial" w:cs="Arial"/>
          <w:lang w:val="en-CN"/>
        </w:rPr>
        <w:t xml:space="preserve">After comparing the macroeconomic performance of Singapore and Switzerland, it can be seen that the difference in GDP growth rates shown in </w:t>
      </w:r>
      <w:r w:rsidRPr="008A6876">
        <w:rPr>
          <w:rFonts w:ascii="Arial" w:hAnsi="Arial" w:cs="Arial"/>
          <w:lang w:val="en-CN" w:eastAsia="zh-CN"/>
        </w:rPr>
        <w:t>Figure</w:t>
      </w:r>
      <w:r w:rsidRPr="008A6876">
        <w:rPr>
          <w:rFonts w:ascii="Arial" w:hAnsi="Arial" w:cs="Arial"/>
          <w:lang w:val="en-CN"/>
        </w:rPr>
        <w:t xml:space="preserve"> 2 clearly reflects that Singapore's economic growth rate is generally higher than Switzerland's. Singapore's high economic growth is attributed to international trade, and its export performance is particularly outstanding due to the development of high value-added industries such as electronics, chemicals, and biomedicine. Therefore, </w:t>
      </w:r>
      <w:r w:rsidRPr="008A6876">
        <w:rPr>
          <w:rFonts w:ascii="Arial" w:hAnsi="Arial" w:cs="Arial"/>
          <w:lang w:val="en-CN"/>
        </w:rPr>
        <w:lastRenderedPageBreak/>
        <w:t>Singapore's open economic policies, strategic geographical location and world status as a trade hub have laid the foundation for its stronger growth during the global economic recovery period</w:t>
      </w:r>
      <w:r w:rsidRPr="008A6876">
        <w:rPr>
          <w:rFonts w:ascii="Arial" w:hAnsi="Arial" w:cs="Arial" w:hint="eastAsia"/>
          <w:lang w:val="en-CN" w:eastAsia="zh-CN"/>
        </w:rPr>
        <w:t xml:space="preserve"> </w:t>
      </w:r>
      <w:r w:rsidRPr="008A6876">
        <w:rPr>
          <w:rFonts w:ascii="Arial" w:hAnsi="Arial" w:cs="Arial"/>
          <w:lang w:eastAsia="zh-CN"/>
        </w:rPr>
        <w:t>(International Monetary Fund, 2019)</w:t>
      </w:r>
      <w:r w:rsidRPr="008A6876">
        <w:rPr>
          <w:rFonts w:ascii="Arial" w:hAnsi="Arial" w:cs="Arial"/>
          <w:lang w:val="en-CN"/>
        </w:rPr>
        <w:t>.</w:t>
      </w:r>
      <w:r w:rsidRPr="008A6876">
        <w:rPr>
          <w:rFonts w:ascii="Arial" w:hAnsi="Arial" w:cs="Arial" w:hint="eastAsia"/>
          <w:lang w:val="en-CN" w:eastAsia="zh-CN"/>
        </w:rPr>
        <w:t xml:space="preserve"> </w:t>
      </w:r>
      <w:r w:rsidRPr="008A6876">
        <w:rPr>
          <w:rFonts w:ascii="Arial" w:hAnsi="Arial" w:cs="Arial"/>
          <w:lang w:val="en-CN"/>
        </w:rPr>
        <w:t>In contrast, the economic growth of Switzerland is relatively slow, mainly because its economic structure is relatively mature and stable. The high-tech manufacturing and financial services sectors that Switzerland relies on are characteris</w:t>
      </w:r>
      <w:r w:rsidRPr="008A6876">
        <w:rPr>
          <w:rFonts w:ascii="Arial" w:hAnsi="Arial" w:cs="Arial"/>
          <w:lang w:val="en-CN" w:eastAsia="zh-CN"/>
        </w:rPr>
        <w:t>e</w:t>
      </w:r>
      <w:r w:rsidRPr="008A6876">
        <w:rPr>
          <w:rFonts w:ascii="Arial" w:hAnsi="Arial" w:cs="Arial"/>
          <w:lang w:val="en-CN"/>
        </w:rPr>
        <w:t>d by their robustness but slow growth. Moreover, Switzerland has adopted a relatively conservative monetary policy to cope with inflation and maintain financial stability, which greatly limits its potential for economic</w:t>
      </w:r>
      <w:r w:rsidR="0090105A" w:rsidRPr="008A6876">
        <w:rPr>
          <w:rFonts w:ascii="Arial" w:hAnsi="Arial" w:cs="Arial" w:hint="eastAsia"/>
          <w:lang w:val="en-CN" w:eastAsia="zh-CN"/>
        </w:rPr>
        <w:t xml:space="preserve"> growth.</w:t>
      </w:r>
    </w:p>
    <w:p w14:paraId="09EB5C5B" w14:textId="77777777" w:rsidR="009B0879" w:rsidRDefault="009B0879" w:rsidP="009B0879">
      <w:pPr>
        <w:pBdr>
          <w:top w:val="nil"/>
          <w:left w:val="nil"/>
          <w:bottom w:val="nil"/>
          <w:right w:val="nil"/>
          <w:between w:val="nil"/>
        </w:pBdr>
        <w:spacing w:after="0" w:line="276" w:lineRule="auto"/>
        <w:rPr>
          <w:rFonts w:ascii="Arial" w:eastAsia="Arial" w:hAnsi="Arial" w:cs="Arial"/>
          <w:b/>
        </w:rPr>
      </w:pPr>
    </w:p>
    <w:p w14:paraId="2542C815" w14:textId="77777777" w:rsidR="009B0879" w:rsidRDefault="009B0879" w:rsidP="009B0879">
      <w:pPr>
        <w:pBdr>
          <w:top w:val="nil"/>
          <w:left w:val="nil"/>
          <w:bottom w:val="nil"/>
          <w:right w:val="nil"/>
          <w:between w:val="nil"/>
        </w:pBdr>
        <w:spacing w:after="0" w:line="276" w:lineRule="auto"/>
        <w:rPr>
          <w:rFonts w:ascii="Arial" w:eastAsia="Arial" w:hAnsi="Arial" w:cs="Arial"/>
          <w:b/>
          <w:lang w:eastAsia="zh-CN"/>
        </w:rPr>
      </w:pPr>
      <w:r>
        <w:rPr>
          <w:rFonts w:ascii="Arial" w:eastAsia="Arial" w:hAnsi="Arial" w:cs="Arial"/>
          <w:b/>
        </w:rPr>
        <w:t>c.</w:t>
      </w:r>
    </w:p>
    <w:p w14:paraId="0AA252D0" w14:textId="77777777" w:rsidR="0037193A" w:rsidRDefault="0037193A" w:rsidP="0037193A">
      <w:pPr>
        <w:pBdr>
          <w:top w:val="nil"/>
          <w:left w:val="nil"/>
          <w:bottom w:val="nil"/>
          <w:right w:val="nil"/>
          <w:between w:val="nil"/>
        </w:pBdr>
        <w:spacing w:after="0" w:line="276" w:lineRule="auto"/>
        <w:rPr>
          <w:rFonts w:ascii="Arial" w:eastAsia="Arial" w:hAnsi="Arial" w:cs="Arial"/>
          <w:b/>
          <w:lang w:eastAsia="zh-CN"/>
        </w:rPr>
      </w:pPr>
    </w:p>
    <w:p w14:paraId="104FB674" w14:textId="77777777" w:rsidR="0037193A" w:rsidRPr="0037193A" w:rsidRDefault="0037193A" w:rsidP="0037193A">
      <w:pPr>
        <w:pBdr>
          <w:top w:val="nil"/>
          <w:left w:val="nil"/>
          <w:bottom w:val="nil"/>
          <w:right w:val="nil"/>
          <w:between w:val="nil"/>
        </w:pBdr>
        <w:spacing w:after="0" w:line="276" w:lineRule="auto"/>
        <w:jc w:val="center"/>
        <w:rPr>
          <w:rFonts w:ascii="Arial" w:eastAsia="Arial" w:hAnsi="Arial" w:cs="Arial"/>
          <w:b/>
        </w:rPr>
      </w:pPr>
      <w:r w:rsidRPr="0037193A">
        <w:rPr>
          <w:rFonts w:ascii="Arial" w:hAnsi="Arial" w:cs="Arial"/>
          <w:noProof/>
        </w:rPr>
        <w:drawing>
          <wp:inline distT="0" distB="0" distL="0" distR="0" wp14:anchorId="56417665" wp14:editId="2867DFED">
            <wp:extent cx="5252720" cy="3241040"/>
            <wp:effectExtent l="0" t="0" r="17780" b="10160"/>
            <wp:docPr id="1797176222" name="Chart 1">
              <a:extLst xmlns:a="http://schemas.openxmlformats.org/drawingml/2006/main">
                <a:ext uri="{FF2B5EF4-FFF2-40B4-BE49-F238E27FC236}">
                  <a16:creationId xmlns:a16="http://schemas.microsoft.com/office/drawing/2014/main" id="{3804B697-D64F-1A04-6AAB-CFD2DB98D5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D173F27" w14:textId="77777777" w:rsidR="0037193A" w:rsidRPr="008A6876" w:rsidRDefault="0037193A" w:rsidP="0037193A">
      <w:pPr>
        <w:pBdr>
          <w:top w:val="nil"/>
          <w:left w:val="nil"/>
          <w:bottom w:val="nil"/>
          <w:right w:val="nil"/>
          <w:between w:val="nil"/>
        </w:pBdr>
        <w:spacing w:after="0" w:line="276" w:lineRule="auto"/>
        <w:jc w:val="center"/>
        <w:rPr>
          <w:rFonts w:ascii="Arial" w:eastAsia="Arial" w:hAnsi="Arial" w:cs="Arial"/>
          <w:b/>
        </w:rPr>
      </w:pPr>
      <w:r w:rsidRPr="008A6876">
        <w:rPr>
          <w:rFonts w:ascii="Arial" w:eastAsia="Microsoft YaHei" w:hAnsi="Arial" w:cs="Arial"/>
          <w:bCs/>
          <w:lang w:eastAsia="zh-CN"/>
        </w:rPr>
        <w:t>(World Bank Group, 2024)</w:t>
      </w:r>
    </w:p>
    <w:p w14:paraId="5FDEB227" w14:textId="77777777" w:rsidR="0037193A" w:rsidRPr="008A6876" w:rsidRDefault="0037193A" w:rsidP="0037193A">
      <w:pPr>
        <w:pBdr>
          <w:top w:val="nil"/>
          <w:left w:val="nil"/>
          <w:bottom w:val="nil"/>
          <w:right w:val="nil"/>
          <w:between w:val="nil"/>
        </w:pBdr>
        <w:spacing w:after="0" w:line="276" w:lineRule="auto"/>
        <w:rPr>
          <w:rFonts w:ascii="Arial" w:eastAsia="Arial" w:hAnsi="Arial" w:cs="Arial"/>
          <w:b/>
        </w:rPr>
      </w:pPr>
    </w:p>
    <w:p w14:paraId="7D656D16" w14:textId="77777777" w:rsidR="0037193A" w:rsidRPr="008A6876" w:rsidRDefault="0037193A" w:rsidP="0037193A">
      <w:pPr>
        <w:jc w:val="center"/>
        <w:rPr>
          <w:rFonts w:ascii="Arial" w:hAnsi="Arial" w:cs="Arial"/>
          <w:lang w:val="en-CN" w:eastAsia="zh-CN"/>
        </w:rPr>
      </w:pPr>
      <w:r w:rsidRPr="008A6876">
        <w:rPr>
          <w:rFonts w:ascii="Arial" w:hAnsi="Arial" w:cs="Arial"/>
          <w:lang w:val="en-CN"/>
        </w:rPr>
        <w:t xml:space="preserve">Figure 3: Comparison of </w:t>
      </w:r>
      <w:r w:rsidRPr="008A6876">
        <w:rPr>
          <w:rFonts w:ascii="Arial" w:hAnsi="Arial" w:cs="Arial"/>
          <w:lang w:val="en-CN" w:eastAsia="zh-CN"/>
        </w:rPr>
        <w:t xml:space="preserve">Foreign Direct Investment </w:t>
      </w:r>
      <w:r w:rsidRPr="008A6876">
        <w:rPr>
          <w:rFonts w:ascii="Arial" w:hAnsi="Arial" w:cs="Arial"/>
          <w:lang w:val="en-CN"/>
        </w:rPr>
        <w:t>between Singapore and Switzerland</w:t>
      </w:r>
    </w:p>
    <w:p w14:paraId="3716ECEA" w14:textId="77777777" w:rsidR="0037193A" w:rsidRPr="008A6876" w:rsidRDefault="0037193A" w:rsidP="0037193A">
      <w:pPr>
        <w:jc w:val="center"/>
        <w:rPr>
          <w:rFonts w:ascii="Arial" w:hAnsi="Arial" w:cs="Arial"/>
          <w:lang w:val="en-CN" w:eastAsia="zh-CN"/>
        </w:rPr>
      </w:pPr>
      <w:r w:rsidRPr="008A6876">
        <w:rPr>
          <w:rFonts w:ascii="Arial" w:hAnsi="Arial" w:cs="Arial"/>
          <w:lang w:val="en-CN" w:eastAsia="zh-CN"/>
        </w:rPr>
        <w:t>(2013-2018)</w:t>
      </w:r>
    </w:p>
    <w:p w14:paraId="058B93AB" w14:textId="77777777" w:rsidR="0037193A" w:rsidRPr="008A6876" w:rsidRDefault="0037193A" w:rsidP="0037193A">
      <w:pPr>
        <w:pBdr>
          <w:top w:val="nil"/>
          <w:left w:val="nil"/>
          <w:bottom w:val="nil"/>
          <w:right w:val="nil"/>
          <w:between w:val="nil"/>
        </w:pBdr>
        <w:spacing w:after="0" w:line="276" w:lineRule="auto"/>
        <w:rPr>
          <w:rFonts w:ascii="Arial" w:eastAsia="Arial" w:hAnsi="Arial" w:cs="Arial"/>
          <w:b/>
          <w:color w:val="000000"/>
        </w:rPr>
      </w:pPr>
    </w:p>
    <w:p w14:paraId="56ACC59C" w14:textId="77777777" w:rsidR="0037193A" w:rsidRPr="008A6876" w:rsidRDefault="0037193A" w:rsidP="0037193A">
      <w:pPr>
        <w:pBdr>
          <w:top w:val="nil"/>
          <w:left w:val="nil"/>
          <w:bottom w:val="nil"/>
          <w:right w:val="nil"/>
          <w:between w:val="nil"/>
        </w:pBdr>
        <w:spacing w:after="0" w:line="276" w:lineRule="auto"/>
        <w:rPr>
          <w:rFonts w:ascii="Arial" w:hAnsi="Arial" w:cs="Arial"/>
          <w:lang w:val="en-CN"/>
        </w:rPr>
      </w:pPr>
      <w:r w:rsidRPr="008A6876">
        <w:rPr>
          <w:rFonts w:ascii="Arial" w:hAnsi="Arial" w:cs="Arial"/>
          <w:lang w:val="en-CN"/>
        </w:rPr>
        <w:t>Although Switzerland's overall economy is more stable and mature, Singapore is a more attractive investment destination. Figure 3 shows the inflow of foreign direct investment (FDI) between Singapore and Switzerland from 2013 to 2018. Although Switzerland's FDI inflows in 2015, 2016 and 2017 were higher than Singapore's, its volatility was too large to be stable. This is particularly reflected by the severe reduction of FDI inflows experienced in 2018, which showed a negative value.</w:t>
      </w:r>
    </w:p>
    <w:p w14:paraId="3D25DE3E" w14:textId="77777777" w:rsidR="0037193A" w:rsidRPr="008A6876" w:rsidRDefault="0037193A" w:rsidP="0037193A">
      <w:pPr>
        <w:pBdr>
          <w:top w:val="nil"/>
          <w:left w:val="nil"/>
          <w:bottom w:val="nil"/>
          <w:right w:val="nil"/>
          <w:between w:val="nil"/>
        </w:pBdr>
        <w:spacing w:after="0" w:line="276" w:lineRule="auto"/>
        <w:rPr>
          <w:rFonts w:ascii="Arial" w:hAnsi="Arial" w:cs="Arial"/>
          <w:lang w:val="en-CN"/>
        </w:rPr>
      </w:pPr>
    </w:p>
    <w:p w14:paraId="70CBD1ED" w14:textId="77777777" w:rsidR="0037193A" w:rsidRPr="008A6876" w:rsidRDefault="0037193A" w:rsidP="0037193A">
      <w:pPr>
        <w:pBdr>
          <w:top w:val="nil"/>
          <w:left w:val="nil"/>
          <w:bottom w:val="nil"/>
          <w:right w:val="nil"/>
          <w:between w:val="nil"/>
        </w:pBdr>
        <w:spacing w:after="0" w:line="276" w:lineRule="auto"/>
        <w:rPr>
          <w:rFonts w:ascii="Arial" w:hAnsi="Arial" w:cs="Arial"/>
          <w:lang w:val="en-CN"/>
        </w:rPr>
      </w:pPr>
      <w:r w:rsidRPr="008A6876">
        <w:rPr>
          <w:rFonts w:ascii="Arial" w:hAnsi="Arial" w:cs="Arial"/>
          <w:lang w:val="en-CN"/>
        </w:rPr>
        <w:t>In contrast, Singapore's FDI inflow has maintained a high level and stable overall trend over the years, echoing Singapore's continued attractiveness in global investment. On the other hand, Singapore's business environment, including low corporate tax rates, a sound legal system and convenient trade processes</w:t>
      </w:r>
      <w:r w:rsidRPr="008A6876">
        <w:rPr>
          <w:rFonts w:ascii="Arial" w:hAnsi="Arial" w:cs="Arial" w:hint="eastAsia"/>
          <w:lang w:val="en-CN" w:eastAsia="zh-CN"/>
        </w:rPr>
        <w:t xml:space="preserve"> </w:t>
      </w:r>
      <w:r w:rsidRPr="008A6876">
        <w:rPr>
          <w:rFonts w:ascii="Arial" w:hAnsi="Arial" w:cs="Arial"/>
          <w:lang w:eastAsia="zh-CN"/>
        </w:rPr>
        <w:t>(Singapore Economic Development Board, 2024)</w:t>
      </w:r>
      <w:r w:rsidRPr="008A6876">
        <w:rPr>
          <w:rFonts w:ascii="Arial" w:hAnsi="Arial" w:cs="Arial"/>
          <w:lang w:val="en-CN"/>
        </w:rPr>
        <w:t xml:space="preserve">, also makes it an attractive choice for global investors. Therefore, Singapore's stable economic policies and excellent </w:t>
      </w:r>
      <w:r w:rsidRPr="008A6876">
        <w:rPr>
          <w:rFonts w:ascii="Arial" w:hAnsi="Arial" w:cs="Arial"/>
          <w:lang w:val="en-CN"/>
        </w:rPr>
        <w:lastRenderedPageBreak/>
        <w:t>business environment ensure strong and long-term competitiveness in attracting high-quality foreign investment and will remain the preferred destination for future investments.</w:t>
      </w:r>
    </w:p>
    <w:p w14:paraId="00000017" w14:textId="77777777" w:rsidR="00CA372F" w:rsidRDefault="00CA372F">
      <w:pPr>
        <w:pBdr>
          <w:top w:val="nil"/>
          <w:left w:val="nil"/>
          <w:bottom w:val="nil"/>
          <w:right w:val="nil"/>
          <w:between w:val="nil"/>
        </w:pBdr>
        <w:spacing w:after="0" w:line="276" w:lineRule="auto"/>
        <w:rPr>
          <w:rFonts w:ascii="Arial" w:eastAsia="Arial" w:hAnsi="Arial" w:cs="Arial"/>
          <w:b/>
          <w:color w:val="000000"/>
          <w:lang w:eastAsia="zh-CN"/>
        </w:rPr>
      </w:pPr>
    </w:p>
    <w:p w14:paraId="1C76429B" w14:textId="0EAD0ACA" w:rsidR="00DA27AC" w:rsidRDefault="00DA27AC" w:rsidP="00DA27AC">
      <w:pPr>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color w:val="000000"/>
        </w:rPr>
        <w:t>3. Reflection</w:t>
      </w:r>
    </w:p>
    <w:p w14:paraId="1F839624" w14:textId="4CBBF2C2" w:rsidR="00DA27AC" w:rsidRDefault="00DA27AC" w:rsidP="00DA27AC">
      <w:pPr>
        <w:pBdr>
          <w:top w:val="nil"/>
          <w:left w:val="nil"/>
          <w:bottom w:val="nil"/>
          <w:right w:val="nil"/>
          <w:between w:val="nil"/>
        </w:pBdr>
        <w:spacing w:after="0" w:line="276" w:lineRule="auto"/>
        <w:rPr>
          <w:rFonts w:ascii="Arial" w:eastAsia="Arial" w:hAnsi="Arial" w:cs="Arial"/>
          <w:b/>
          <w:color w:val="000000"/>
        </w:rPr>
      </w:pPr>
    </w:p>
    <w:p w14:paraId="64728A73" w14:textId="0D01FC50" w:rsidR="00DA27AC" w:rsidRDefault="00DA27AC" w:rsidP="00DA27AC">
      <w:pPr>
        <w:pBdr>
          <w:top w:val="nil"/>
          <w:left w:val="nil"/>
          <w:bottom w:val="nil"/>
          <w:right w:val="nil"/>
          <w:between w:val="nil"/>
        </w:pBdr>
        <w:spacing w:after="0" w:line="276" w:lineRule="auto"/>
        <w:rPr>
          <w:rFonts w:ascii="Arial" w:eastAsia="Arial" w:hAnsi="Arial" w:cs="Arial"/>
          <w:b/>
          <w:lang w:eastAsia="zh-CN"/>
        </w:rPr>
      </w:pPr>
      <w:r>
        <w:rPr>
          <w:rFonts w:ascii="Arial" w:eastAsia="Arial" w:hAnsi="Arial" w:cs="Arial"/>
          <w:b/>
        </w:rPr>
        <w:t>a.</w:t>
      </w:r>
    </w:p>
    <w:p w14:paraId="52060781" w14:textId="77777777" w:rsidR="007E341D" w:rsidRDefault="007E341D" w:rsidP="00DA27AC">
      <w:pPr>
        <w:pBdr>
          <w:top w:val="nil"/>
          <w:left w:val="nil"/>
          <w:bottom w:val="nil"/>
          <w:right w:val="nil"/>
          <w:between w:val="nil"/>
        </w:pBdr>
        <w:spacing w:after="0" w:line="276" w:lineRule="auto"/>
        <w:rPr>
          <w:rFonts w:ascii="Arial" w:eastAsia="Arial" w:hAnsi="Arial" w:cs="Arial"/>
          <w:b/>
          <w:lang w:eastAsia="zh-CN"/>
        </w:rPr>
      </w:pPr>
    </w:p>
    <w:p w14:paraId="5147EC67" w14:textId="137B0EAB" w:rsidR="007E341D" w:rsidRPr="008A6876" w:rsidRDefault="007E341D" w:rsidP="00DA27AC">
      <w:pPr>
        <w:pBdr>
          <w:top w:val="nil"/>
          <w:left w:val="nil"/>
          <w:bottom w:val="nil"/>
          <w:right w:val="nil"/>
          <w:between w:val="nil"/>
        </w:pBdr>
        <w:spacing w:after="0" w:line="276" w:lineRule="auto"/>
        <w:rPr>
          <w:rFonts w:ascii="Arial" w:eastAsia="Arial" w:hAnsi="Arial" w:cs="Arial"/>
          <w:bCs/>
          <w:lang w:eastAsia="zh-CN"/>
        </w:rPr>
      </w:pPr>
      <w:r w:rsidRPr="008A6876">
        <w:rPr>
          <w:rFonts w:ascii="Arial" w:eastAsia="Arial" w:hAnsi="Arial" w:cs="Arial"/>
          <w:bCs/>
          <w:lang w:eastAsia="zh-CN"/>
        </w:rPr>
        <w:t>Reflecting on my analysis, the most formidable challenge lay in amalgamating macroeconomic data, particularly when contemplating GDP growth, inflation, and unemployment trends concurrently. Grasping the intricate interplay among these indicators is pivotal. For example, Singapore's modest GDP growth slowdown from 2013 to 2015, though initially alarming, did not necessarily portend long-term economic frailty. Furthermore, choosing a suitable benchmark country, akin to Switzerland, necessitated intricate comparisons that delved into both similarities and discrepancies, exacerbating the analytical complexity.</w:t>
      </w:r>
    </w:p>
    <w:p w14:paraId="1936506C" w14:textId="77777777" w:rsidR="00DA27AC" w:rsidRDefault="00DA27AC" w:rsidP="00DA27AC">
      <w:pPr>
        <w:pBdr>
          <w:top w:val="nil"/>
          <w:left w:val="nil"/>
          <w:bottom w:val="nil"/>
          <w:right w:val="nil"/>
          <w:between w:val="nil"/>
        </w:pBdr>
        <w:spacing w:after="0" w:line="276" w:lineRule="auto"/>
        <w:rPr>
          <w:rFonts w:ascii="Arial" w:eastAsia="Arial" w:hAnsi="Arial" w:cs="Arial"/>
          <w:b/>
        </w:rPr>
      </w:pPr>
    </w:p>
    <w:p w14:paraId="53B7EF43" w14:textId="77777777" w:rsidR="00DA27AC" w:rsidRDefault="00DA27AC" w:rsidP="00DA27AC">
      <w:pPr>
        <w:pBdr>
          <w:top w:val="nil"/>
          <w:left w:val="nil"/>
          <w:bottom w:val="nil"/>
          <w:right w:val="nil"/>
          <w:between w:val="nil"/>
        </w:pBdr>
        <w:spacing w:after="0" w:line="276" w:lineRule="auto"/>
        <w:rPr>
          <w:rFonts w:ascii="Arial" w:eastAsia="Arial" w:hAnsi="Arial" w:cs="Arial"/>
          <w:b/>
          <w:lang w:eastAsia="zh-CN"/>
        </w:rPr>
      </w:pPr>
      <w:r>
        <w:rPr>
          <w:rFonts w:ascii="Arial" w:eastAsia="Arial" w:hAnsi="Arial" w:cs="Arial"/>
          <w:b/>
        </w:rPr>
        <w:t>b.</w:t>
      </w:r>
    </w:p>
    <w:p w14:paraId="38E6DDE7" w14:textId="77777777" w:rsidR="007E341D" w:rsidRDefault="007E341D" w:rsidP="00DA27AC">
      <w:pPr>
        <w:pBdr>
          <w:top w:val="nil"/>
          <w:left w:val="nil"/>
          <w:bottom w:val="nil"/>
          <w:right w:val="nil"/>
          <w:between w:val="nil"/>
        </w:pBdr>
        <w:spacing w:after="0" w:line="276" w:lineRule="auto"/>
        <w:rPr>
          <w:rFonts w:ascii="Arial" w:eastAsia="Arial" w:hAnsi="Arial" w:cs="Arial"/>
          <w:b/>
          <w:lang w:eastAsia="zh-CN"/>
        </w:rPr>
      </w:pPr>
    </w:p>
    <w:p w14:paraId="06B2B8D8" w14:textId="11E922A1" w:rsidR="007E341D" w:rsidRPr="008A6876" w:rsidRDefault="007E341D" w:rsidP="00DA27AC">
      <w:pPr>
        <w:pBdr>
          <w:top w:val="nil"/>
          <w:left w:val="nil"/>
          <w:bottom w:val="nil"/>
          <w:right w:val="nil"/>
          <w:between w:val="nil"/>
        </w:pBdr>
        <w:spacing w:after="0" w:line="276" w:lineRule="auto"/>
        <w:rPr>
          <w:rFonts w:ascii="Arial" w:eastAsia="Arial" w:hAnsi="Arial" w:cs="Arial"/>
          <w:bCs/>
          <w:lang w:eastAsia="zh-CN"/>
        </w:rPr>
      </w:pPr>
      <w:r w:rsidRPr="008A6876">
        <w:rPr>
          <w:rFonts w:ascii="Arial" w:eastAsia="Arial" w:hAnsi="Arial" w:cs="Arial"/>
          <w:bCs/>
          <w:lang w:eastAsia="zh-CN"/>
        </w:rPr>
        <w:t>To overcome these hurdles, I delved into a vast array of economic literature and relied on data sourced from esteemed institutions like the World Bank. This comprehensive research armed me with the knowledge to objectively assess and ultimately determine the most fitting benchmark country.</w:t>
      </w:r>
    </w:p>
    <w:p w14:paraId="5262C7BD" w14:textId="77777777" w:rsidR="00DA27AC" w:rsidRDefault="00DA27AC" w:rsidP="00DA27AC">
      <w:pPr>
        <w:pBdr>
          <w:top w:val="nil"/>
          <w:left w:val="nil"/>
          <w:bottom w:val="nil"/>
          <w:right w:val="nil"/>
          <w:between w:val="nil"/>
        </w:pBdr>
        <w:spacing w:after="0" w:line="276" w:lineRule="auto"/>
        <w:rPr>
          <w:rFonts w:ascii="Arial" w:eastAsia="Arial" w:hAnsi="Arial" w:cs="Arial"/>
          <w:b/>
        </w:rPr>
      </w:pPr>
    </w:p>
    <w:p w14:paraId="329574CE" w14:textId="77777777" w:rsidR="00DA27AC" w:rsidRDefault="00DA27AC" w:rsidP="00DA27AC">
      <w:pPr>
        <w:pBdr>
          <w:top w:val="nil"/>
          <w:left w:val="nil"/>
          <w:bottom w:val="nil"/>
          <w:right w:val="nil"/>
          <w:between w:val="nil"/>
        </w:pBdr>
        <w:spacing w:after="0" w:line="276" w:lineRule="auto"/>
        <w:rPr>
          <w:rFonts w:ascii="Arial" w:eastAsia="Arial" w:hAnsi="Arial" w:cs="Arial"/>
          <w:b/>
          <w:lang w:eastAsia="zh-CN"/>
        </w:rPr>
      </w:pPr>
      <w:r>
        <w:rPr>
          <w:rFonts w:ascii="Arial" w:eastAsia="Arial" w:hAnsi="Arial" w:cs="Arial"/>
          <w:b/>
        </w:rPr>
        <w:t>c.</w:t>
      </w:r>
    </w:p>
    <w:p w14:paraId="3F2C2BAD" w14:textId="77777777" w:rsidR="007E341D" w:rsidRDefault="007E341D" w:rsidP="00DA27AC">
      <w:pPr>
        <w:pBdr>
          <w:top w:val="nil"/>
          <w:left w:val="nil"/>
          <w:bottom w:val="nil"/>
          <w:right w:val="nil"/>
          <w:between w:val="nil"/>
        </w:pBdr>
        <w:spacing w:after="0" w:line="276" w:lineRule="auto"/>
        <w:rPr>
          <w:rFonts w:ascii="Arial" w:eastAsia="Arial" w:hAnsi="Arial" w:cs="Arial"/>
          <w:b/>
          <w:lang w:eastAsia="zh-CN"/>
        </w:rPr>
      </w:pPr>
    </w:p>
    <w:p w14:paraId="5EFA19E6" w14:textId="77777777" w:rsidR="007E341D" w:rsidRPr="008A6876" w:rsidRDefault="007E341D" w:rsidP="007E341D">
      <w:pPr>
        <w:pBdr>
          <w:top w:val="nil"/>
          <w:left w:val="nil"/>
          <w:bottom w:val="nil"/>
          <w:right w:val="nil"/>
          <w:between w:val="nil"/>
        </w:pBdr>
        <w:spacing w:after="0" w:line="276" w:lineRule="auto"/>
        <w:rPr>
          <w:rFonts w:ascii="Arial" w:hAnsi="Arial" w:cs="Arial"/>
          <w:lang w:val="en-CN"/>
        </w:rPr>
      </w:pPr>
      <w:r w:rsidRPr="008A6876">
        <w:rPr>
          <w:rFonts w:ascii="Arial" w:hAnsi="Arial" w:cs="Arial"/>
        </w:rPr>
        <w:t>To future scholars embarking on similar endeavours, I advise embarking on data collection and organi</w:t>
      </w:r>
      <w:r w:rsidRPr="008A6876">
        <w:rPr>
          <w:rFonts w:ascii="Arial" w:hAnsi="Arial" w:cs="Arial" w:hint="eastAsia"/>
          <w:lang w:eastAsia="zh-CN"/>
        </w:rPr>
        <w:t>sa</w:t>
      </w:r>
      <w:r w:rsidRPr="008A6876">
        <w:rPr>
          <w:rFonts w:ascii="Arial" w:hAnsi="Arial" w:cs="Arial"/>
        </w:rPr>
        <w:t>tion of macroeconomic indicators early on, with a keen eye on their interconnectedness. Visual aids, such as charts, can be invaluable in structuring and dissecting the data. When selecting a benchmark country, it is imperative to thoroughly compare a myriad of indicators across multiple potential candidates before making a definitive choice. Finally, fostering a mindset of critical thinking throughout the process and remaining open to questioning initial hypotheses will pave the way for more precise and pertinent analyses.</w:t>
      </w:r>
    </w:p>
    <w:p w14:paraId="34BA1C02" w14:textId="77777777" w:rsidR="00DA27AC" w:rsidRDefault="00DA27AC">
      <w:pPr>
        <w:pBdr>
          <w:top w:val="nil"/>
          <w:left w:val="nil"/>
          <w:bottom w:val="nil"/>
          <w:right w:val="nil"/>
          <w:between w:val="nil"/>
        </w:pBdr>
        <w:spacing w:after="0" w:line="276" w:lineRule="auto"/>
        <w:rPr>
          <w:rFonts w:ascii="Arial" w:eastAsia="Arial" w:hAnsi="Arial" w:cs="Arial"/>
          <w:b/>
          <w:color w:val="000000"/>
          <w:lang w:eastAsia="zh-CN"/>
        </w:rPr>
      </w:pPr>
    </w:p>
    <w:p w14:paraId="6D58A7D8" w14:textId="77777777" w:rsidR="00F2277D" w:rsidRDefault="00F2277D">
      <w:pPr>
        <w:pBdr>
          <w:top w:val="nil"/>
          <w:left w:val="nil"/>
          <w:bottom w:val="nil"/>
          <w:right w:val="nil"/>
          <w:between w:val="nil"/>
        </w:pBdr>
        <w:spacing w:after="0" w:line="276" w:lineRule="auto"/>
        <w:rPr>
          <w:rFonts w:ascii="Arial" w:eastAsia="Arial" w:hAnsi="Arial" w:cs="Arial"/>
          <w:b/>
          <w:color w:val="000000"/>
          <w:lang w:eastAsia="zh-CN"/>
        </w:rPr>
      </w:pPr>
    </w:p>
    <w:p w14:paraId="1A14E458" w14:textId="77777777" w:rsidR="00F2277D" w:rsidRDefault="00F2277D">
      <w:pPr>
        <w:pBdr>
          <w:top w:val="nil"/>
          <w:left w:val="nil"/>
          <w:bottom w:val="nil"/>
          <w:right w:val="nil"/>
          <w:between w:val="nil"/>
        </w:pBdr>
        <w:spacing w:after="0" w:line="276" w:lineRule="auto"/>
        <w:rPr>
          <w:rFonts w:ascii="Arial" w:eastAsia="Arial" w:hAnsi="Arial" w:cs="Arial"/>
          <w:b/>
          <w:color w:val="000000"/>
          <w:lang w:eastAsia="zh-CN"/>
        </w:rPr>
      </w:pPr>
    </w:p>
    <w:p w14:paraId="510BBE64" w14:textId="77777777" w:rsidR="00F2277D" w:rsidRDefault="00F2277D">
      <w:pPr>
        <w:pBdr>
          <w:top w:val="nil"/>
          <w:left w:val="nil"/>
          <w:bottom w:val="nil"/>
          <w:right w:val="nil"/>
          <w:between w:val="nil"/>
        </w:pBdr>
        <w:spacing w:after="0" w:line="276" w:lineRule="auto"/>
        <w:rPr>
          <w:rFonts w:ascii="Arial" w:eastAsia="Arial" w:hAnsi="Arial" w:cs="Arial"/>
          <w:b/>
          <w:color w:val="000000"/>
          <w:lang w:eastAsia="zh-CN"/>
        </w:rPr>
      </w:pPr>
    </w:p>
    <w:p w14:paraId="276658CB" w14:textId="77777777" w:rsidR="00F2277D" w:rsidRDefault="00F2277D">
      <w:pPr>
        <w:pBdr>
          <w:top w:val="nil"/>
          <w:left w:val="nil"/>
          <w:bottom w:val="nil"/>
          <w:right w:val="nil"/>
          <w:between w:val="nil"/>
        </w:pBdr>
        <w:spacing w:after="0" w:line="276" w:lineRule="auto"/>
        <w:rPr>
          <w:rFonts w:ascii="Arial" w:eastAsia="Arial" w:hAnsi="Arial" w:cs="Arial"/>
          <w:b/>
          <w:color w:val="000000"/>
          <w:lang w:eastAsia="zh-CN"/>
        </w:rPr>
      </w:pPr>
    </w:p>
    <w:p w14:paraId="0861A3BA" w14:textId="77777777" w:rsidR="00F2277D" w:rsidRDefault="00F2277D">
      <w:pPr>
        <w:pBdr>
          <w:top w:val="nil"/>
          <w:left w:val="nil"/>
          <w:bottom w:val="nil"/>
          <w:right w:val="nil"/>
          <w:between w:val="nil"/>
        </w:pBdr>
        <w:spacing w:after="0" w:line="276" w:lineRule="auto"/>
        <w:rPr>
          <w:rFonts w:ascii="Arial" w:eastAsia="Arial" w:hAnsi="Arial" w:cs="Arial"/>
          <w:b/>
          <w:color w:val="000000"/>
          <w:lang w:eastAsia="zh-CN"/>
        </w:rPr>
      </w:pPr>
    </w:p>
    <w:p w14:paraId="43A9D689" w14:textId="77777777" w:rsidR="00F2277D" w:rsidRDefault="00F2277D">
      <w:pPr>
        <w:pBdr>
          <w:top w:val="nil"/>
          <w:left w:val="nil"/>
          <w:bottom w:val="nil"/>
          <w:right w:val="nil"/>
          <w:between w:val="nil"/>
        </w:pBdr>
        <w:spacing w:after="0" w:line="276" w:lineRule="auto"/>
        <w:rPr>
          <w:rFonts w:ascii="Arial" w:eastAsia="Arial" w:hAnsi="Arial" w:cs="Arial"/>
          <w:b/>
          <w:color w:val="000000"/>
          <w:lang w:eastAsia="zh-CN"/>
        </w:rPr>
      </w:pPr>
    </w:p>
    <w:p w14:paraId="162A0A8E" w14:textId="77777777" w:rsidR="00F2277D" w:rsidRDefault="00F2277D">
      <w:pPr>
        <w:pBdr>
          <w:top w:val="nil"/>
          <w:left w:val="nil"/>
          <w:bottom w:val="nil"/>
          <w:right w:val="nil"/>
          <w:between w:val="nil"/>
        </w:pBdr>
        <w:spacing w:after="0" w:line="276" w:lineRule="auto"/>
        <w:rPr>
          <w:rFonts w:ascii="Arial" w:eastAsia="Arial" w:hAnsi="Arial" w:cs="Arial"/>
          <w:b/>
          <w:color w:val="000000"/>
          <w:lang w:eastAsia="zh-CN"/>
        </w:rPr>
      </w:pPr>
    </w:p>
    <w:p w14:paraId="6B885864" w14:textId="77777777" w:rsidR="00F2277D" w:rsidRDefault="00F2277D">
      <w:pPr>
        <w:pBdr>
          <w:top w:val="nil"/>
          <w:left w:val="nil"/>
          <w:bottom w:val="nil"/>
          <w:right w:val="nil"/>
          <w:between w:val="nil"/>
        </w:pBdr>
        <w:spacing w:after="0" w:line="276" w:lineRule="auto"/>
        <w:rPr>
          <w:rFonts w:ascii="Arial" w:eastAsia="Arial" w:hAnsi="Arial" w:cs="Arial"/>
          <w:b/>
          <w:color w:val="000000"/>
          <w:lang w:eastAsia="zh-CN"/>
        </w:rPr>
      </w:pPr>
    </w:p>
    <w:p w14:paraId="58ECEBD8" w14:textId="77777777" w:rsidR="00F2277D" w:rsidRDefault="00F2277D">
      <w:pPr>
        <w:pBdr>
          <w:top w:val="nil"/>
          <w:left w:val="nil"/>
          <w:bottom w:val="nil"/>
          <w:right w:val="nil"/>
          <w:between w:val="nil"/>
        </w:pBdr>
        <w:spacing w:after="0" w:line="276" w:lineRule="auto"/>
        <w:rPr>
          <w:rFonts w:ascii="Arial" w:eastAsia="Arial" w:hAnsi="Arial" w:cs="Arial"/>
          <w:b/>
          <w:color w:val="000000"/>
          <w:lang w:eastAsia="zh-CN"/>
        </w:rPr>
      </w:pPr>
    </w:p>
    <w:p w14:paraId="43678BB4" w14:textId="77777777" w:rsidR="00F2277D" w:rsidRDefault="00F2277D">
      <w:pPr>
        <w:pBdr>
          <w:top w:val="nil"/>
          <w:left w:val="nil"/>
          <w:bottom w:val="nil"/>
          <w:right w:val="nil"/>
          <w:between w:val="nil"/>
        </w:pBdr>
        <w:spacing w:after="0" w:line="276" w:lineRule="auto"/>
        <w:rPr>
          <w:rFonts w:ascii="Arial" w:eastAsia="Arial" w:hAnsi="Arial" w:cs="Arial"/>
          <w:b/>
          <w:color w:val="000000"/>
          <w:lang w:eastAsia="zh-CN"/>
        </w:rPr>
      </w:pPr>
    </w:p>
    <w:p w14:paraId="76B03D3F" w14:textId="77777777" w:rsidR="00F2277D" w:rsidRDefault="00F2277D">
      <w:pPr>
        <w:pBdr>
          <w:top w:val="nil"/>
          <w:left w:val="nil"/>
          <w:bottom w:val="nil"/>
          <w:right w:val="nil"/>
          <w:between w:val="nil"/>
        </w:pBdr>
        <w:spacing w:after="0" w:line="276" w:lineRule="auto"/>
        <w:rPr>
          <w:rFonts w:ascii="Arial" w:eastAsia="Arial" w:hAnsi="Arial" w:cs="Arial"/>
          <w:b/>
          <w:color w:val="000000"/>
          <w:lang w:eastAsia="zh-CN"/>
        </w:rPr>
      </w:pPr>
    </w:p>
    <w:p w14:paraId="1674C0F8" w14:textId="77777777" w:rsidR="00F2277D" w:rsidRDefault="00F2277D">
      <w:pPr>
        <w:pBdr>
          <w:top w:val="nil"/>
          <w:left w:val="nil"/>
          <w:bottom w:val="nil"/>
          <w:right w:val="nil"/>
          <w:between w:val="nil"/>
        </w:pBdr>
        <w:spacing w:after="0" w:line="276" w:lineRule="auto"/>
        <w:rPr>
          <w:rFonts w:ascii="Arial" w:eastAsia="Arial" w:hAnsi="Arial" w:cs="Arial"/>
          <w:b/>
          <w:color w:val="000000"/>
          <w:lang w:eastAsia="zh-CN"/>
        </w:rPr>
      </w:pPr>
    </w:p>
    <w:p w14:paraId="77954EE8" w14:textId="1EF94633" w:rsidR="00F2277D" w:rsidRDefault="00F2277D">
      <w:pPr>
        <w:pBdr>
          <w:top w:val="nil"/>
          <w:left w:val="nil"/>
          <w:bottom w:val="nil"/>
          <w:right w:val="nil"/>
          <w:between w:val="nil"/>
        </w:pBdr>
        <w:spacing w:after="0" w:line="276" w:lineRule="auto"/>
        <w:rPr>
          <w:rFonts w:ascii="Arial" w:eastAsia="Arial" w:hAnsi="Arial" w:cs="Arial"/>
          <w:b/>
          <w:color w:val="000000"/>
          <w:lang w:eastAsia="zh-CN"/>
        </w:rPr>
      </w:pPr>
    </w:p>
    <w:p w14:paraId="5FAA6386" w14:textId="77777777" w:rsidR="00F2277D" w:rsidRDefault="00F2277D">
      <w:pPr>
        <w:pBdr>
          <w:top w:val="nil"/>
          <w:left w:val="nil"/>
          <w:bottom w:val="nil"/>
          <w:right w:val="nil"/>
          <w:between w:val="nil"/>
        </w:pBdr>
        <w:spacing w:after="0" w:line="276" w:lineRule="auto"/>
        <w:rPr>
          <w:rFonts w:ascii="Arial" w:eastAsia="Arial" w:hAnsi="Arial" w:cs="Arial"/>
          <w:b/>
          <w:color w:val="000000"/>
          <w:lang w:eastAsia="zh-CN"/>
        </w:rPr>
      </w:pPr>
    </w:p>
    <w:p w14:paraId="216BECE9" w14:textId="77777777" w:rsidR="00F2277D" w:rsidRDefault="00F2277D">
      <w:pPr>
        <w:pBdr>
          <w:top w:val="nil"/>
          <w:left w:val="nil"/>
          <w:bottom w:val="nil"/>
          <w:right w:val="nil"/>
          <w:between w:val="nil"/>
        </w:pBdr>
        <w:spacing w:after="0" w:line="276" w:lineRule="auto"/>
        <w:rPr>
          <w:rFonts w:ascii="Arial" w:eastAsia="Arial" w:hAnsi="Arial" w:cs="Arial"/>
          <w:b/>
          <w:color w:val="000000"/>
          <w:lang w:eastAsia="zh-CN"/>
        </w:rPr>
      </w:pPr>
    </w:p>
    <w:p w14:paraId="0BE407C6" w14:textId="77777777" w:rsidR="00F2277D" w:rsidRDefault="00F2277D">
      <w:pPr>
        <w:pBdr>
          <w:top w:val="nil"/>
          <w:left w:val="nil"/>
          <w:bottom w:val="nil"/>
          <w:right w:val="nil"/>
          <w:between w:val="nil"/>
        </w:pBdr>
        <w:spacing w:after="0" w:line="276" w:lineRule="auto"/>
        <w:rPr>
          <w:rFonts w:ascii="Arial" w:eastAsia="Arial" w:hAnsi="Arial" w:cs="Arial"/>
          <w:b/>
          <w:color w:val="000000"/>
          <w:lang w:eastAsia="zh-CN"/>
        </w:rPr>
      </w:pPr>
    </w:p>
    <w:p w14:paraId="00000019" w14:textId="3074821E" w:rsidR="00CA372F" w:rsidRPr="003B4A46" w:rsidRDefault="00DA27AC" w:rsidP="00F2277D">
      <w:pPr>
        <w:pBdr>
          <w:top w:val="nil"/>
          <w:left w:val="nil"/>
          <w:bottom w:val="nil"/>
          <w:right w:val="nil"/>
          <w:between w:val="nil"/>
        </w:pBdr>
        <w:spacing w:after="0" w:line="276" w:lineRule="auto"/>
        <w:rPr>
          <w:rFonts w:ascii="Arial" w:eastAsia="Arial" w:hAnsi="Arial" w:cs="Arial"/>
          <w:b/>
          <w:color w:val="000000"/>
          <w:lang w:eastAsia="zh-CN"/>
        </w:rPr>
      </w:pPr>
      <w:r>
        <w:rPr>
          <w:rFonts w:ascii="Arial" w:eastAsia="Arial" w:hAnsi="Arial" w:cs="Arial"/>
          <w:b/>
          <w:color w:val="000000"/>
        </w:rPr>
        <w:lastRenderedPageBreak/>
        <w:t>4</w:t>
      </w:r>
      <w:r w:rsidR="00774237">
        <w:rPr>
          <w:rFonts w:ascii="Arial" w:eastAsia="Arial" w:hAnsi="Arial" w:cs="Arial"/>
          <w:b/>
          <w:color w:val="000000"/>
        </w:rPr>
        <w:t>. References</w:t>
      </w:r>
    </w:p>
    <w:p w14:paraId="327298E8" w14:textId="77777777" w:rsidR="00F2277D" w:rsidRPr="003B4A46" w:rsidRDefault="00F2277D" w:rsidP="00F2277D">
      <w:pPr>
        <w:spacing w:line="480" w:lineRule="auto"/>
        <w:rPr>
          <w:rFonts w:ascii="Arial" w:hAnsi="Arial" w:cs="Arial"/>
        </w:rPr>
      </w:pPr>
      <w:proofErr w:type="spellStart"/>
      <w:r w:rsidRPr="003B4A46">
        <w:rPr>
          <w:rFonts w:ascii="Arial" w:hAnsi="Arial" w:cs="Arial"/>
        </w:rPr>
        <w:t>Cheang</w:t>
      </w:r>
      <w:proofErr w:type="spellEnd"/>
      <w:r w:rsidRPr="003B4A46">
        <w:rPr>
          <w:rFonts w:ascii="Arial" w:hAnsi="Arial" w:cs="Arial"/>
        </w:rPr>
        <w:t xml:space="preserve">, B. (2024). What can industrial policy do? Evidence from Singapore. The Review of </w:t>
      </w:r>
    </w:p>
    <w:p w14:paraId="7160BA18" w14:textId="77777777" w:rsidR="00F2277D" w:rsidRPr="003B4A46" w:rsidRDefault="00F2277D" w:rsidP="00F2277D">
      <w:pPr>
        <w:spacing w:line="480" w:lineRule="auto"/>
        <w:ind w:left="720"/>
        <w:rPr>
          <w:rFonts w:ascii="Arial" w:hAnsi="Arial" w:cs="Arial"/>
        </w:rPr>
      </w:pPr>
      <w:r w:rsidRPr="003B4A46">
        <w:rPr>
          <w:rFonts w:ascii="Arial" w:hAnsi="Arial" w:cs="Arial"/>
        </w:rPr>
        <w:t>Austrian Economics, 37, 1–34. https://doi.org/10.1007/s11138-022-00589-6</w:t>
      </w:r>
    </w:p>
    <w:p w14:paraId="26D0254E" w14:textId="77777777" w:rsidR="00F2277D" w:rsidRPr="003B4A46" w:rsidRDefault="00F2277D" w:rsidP="00F2277D">
      <w:pPr>
        <w:spacing w:line="480" w:lineRule="auto"/>
        <w:rPr>
          <w:rFonts w:ascii="Arial" w:hAnsi="Arial" w:cs="Arial"/>
        </w:rPr>
      </w:pPr>
      <w:r w:rsidRPr="003B4A46">
        <w:rPr>
          <w:rFonts w:ascii="Arial" w:hAnsi="Arial" w:cs="Arial"/>
        </w:rPr>
        <w:t xml:space="preserve">International Monetary Fund. (2019). Singapore: 2019 Article IV </w:t>
      </w:r>
      <w:proofErr w:type="gramStart"/>
      <w:r w:rsidRPr="003B4A46">
        <w:rPr>
          <w:rFonts w:ascii="Arial" w:hAnsi="Arial" w:cs="Arial"/>
        </w:rPr>
        <w:t>consultation</w:t>
      </w:r>
      <w:proofErr w:type="gramEnd"/>
      <w:r w:rsidRPr="003B4A46">
        <w:rPr>
          <w:rFonts w:ascii="Arial" w:hAnsi="Arial" w:cs="Arial"/>
        </w:rPr>
        <w:t xml:space="preserve">-Press release; </w:t>
      </w:r>
    </w:p>
    <w:p w14:paraId="1A33DB1C" w14:textId="77777777" w:rsidR="00F2277D" w:rsidRPr="003B4A46" w:rsidRDefault="00F2277D" w:rsidP="00F2277D">
      <w:pPr>
        <w:spacing w:line="480" w:lineRule="auto"/>
        <w:ind w:left="720"/>
        <w:rPr>
          <w:rFonts w:ascii="Arial" w:hAnsi="Arial" w:cs="Arial"/>
        </w:rPr>
      </w:pPr>
      <w:r w:rsidRPr="003B4A46">
        <w:rPr>
          <w:rFonts w:ascii="Arial" w:hAnsi="Arial" w:cs="Arial"/>
        </w:rPr>
        <w:t>staff report; and statement by the executive director for Singapore (Country Report No. 2019/233). International Monetary Fund. https://www.imf.org/en/Publications/CR/Issues/2019/07/15/Singapore-2019-Article-IV-Consultation-Press-Release-Staff-Report-and-Statement-by-the-47119</w:t>
      </w:r>
    </w:p>
    <w:p w14:paraId="5269765F" w14:textId="77777777" w:rsidR="00F2277D" w:rsidRPr="003B4A46" w:rsidRDefault="00F2277D" w:rsidP="00F2277D">
      <w:pPr>
        <w:spacing w:line="480" w:lineRule="auto"/>
        <w:rPr>
          <w:rFonts w:ascii="Arial" w:hAnsi="Arial" w:cs="Arial"/>
        </w:rPr>
      </w:pPr>
      <w:r w:rsidRPr="003B4A46">
        <w:rPr>
          <w:rFonts w:ascii="Arial" w:hAnsi="Arial" w:cs="Arial"/>
        </w:rPr>
        <w:t xml:space="preserve">Monetary Authority of Singapore. (2019). MAS monetary policy statement - October 2019. </w:t>
      </w:r>
    </w:p>
    <w:p w14:paraId="32EEF301" w14:textId="77777777" w:rsidR="00F2277D" w:rsidRPr="003B4A46" w:rsidRDefault="00F2277D" w:rsidP="00F2277D">
      <w:pPr>
        <w:spacing w:line="480" w:lineRule="auto"/>
        <w:ind w:left="720"/>
        <w:rPr>
          <w:rFonts w:ascii="Arial" w:hAnsi="Arial" w:cs="Arial"/>
        </w:rPr>
      </w:pPr>
      <w:r w:rsidRPr="003B4A46">
        <w:rPr>
          <w:rFonts w:ascii="Arial" w:hAnsi="Arial" w:cs="Arial"/>
        </w:rPr>
        <w:t>Government of Singapore. https://www.mas.gov.sg/news/monetary-policy-statements/2019/mas-monetary-policy-statement-14oct19#:~:text=Singapore's%20GDP%20growth%20should%20pick,gradually%20over%20the%20medium%20term.</w:t>
      </w:r>
    </w:p>
    <w:p w14:paraId="13ED34B3" w14:textId="77777777" w:rsidR="00F2277D" w:rsidRPr="003B4A46" w:rsidRDefault="00F2277D" w:rsidP="00F2277D">
      <w:pPr>
        <w:spacing w:line="480" w:lineRule="auto"/>
        <w:rPr>
          <w:rFonts w:ascii="Arial" w:hAnsi="Arial" w:cs="Arial"/>
        </w:rPr>
      </w:pPr>
      <w:r w:rsidRPr="003B4A46">
        <w:rPr>
          <w:rFonts w:ascii="Arial" w:hAnsi="Arial" w:cs="Arial"/>
        </w:rPr>
        <w:t xml:space="preserve">Singapore Economic Development Board. (2024). Aerospace industry in Singapore. Singapore </w:t>
      </w:r>
    </w:p>
    <w:p w14:paraId="0E0B6782" w14:textId="77777777" w:rsidR="00F2277D" w:rsidRPr="003B4A46" w:rsidRDefault="00F2277D" w:rsidP="00F2277D">
      <w:pPr>
        <w:spacing w:line="480" w:lineRule="auto"/>
        <w:ind w:left="720"/>
        <w:rPr>
          <w:rFonts w:ascii="Arial" w:hAnsi="Arial" w:cs="Arial"/>
        </w:rPr>
      </w:pPr>
      <w:r w:rsidRPr="003B4A46">
        <w:rPr>
          <w:rFonts w:ascii="Arial" w:hAnsi="Arial" w:cs="Arial"/>
        </w:rPr>
        <w:t>Economic Development Board. https://www.edb.gov.sg/en/our-industries/aerospace.html</w:t>
      </w:r>
    </w:p>
    <w:p w14:paraId="668EADB5" w14:textId="77777777" w:rsidR="00F2277D" w:rsidRPr="003B4A46" w:rsidRDefault="00F2277D" w:rsidP="00F2277D">
      <w:pPr>
        <w:spacing w:line="480" w:lineRule="auto"/>
        <w:rPr>
          <w:rFonts w:ascii="Arial" w:hAnsi="Arial" w:cs="Arial"/>
        </w:rPr>
      </w:pPr>
      <w:r w:rsidRPr="003B4A46">
        <w:rPr>
          <w:rFonts w:ascii="Arial" w:hAnsi="Arial" w:cs="Arial"/>
        </w:rPr>
        <w:t xml:space="preserve">Singapore Economic Development Board. (2024). Media releases &amp; publications. Singapore </w:t>
      </w:r>
    </w:p>
    <w:p w14:paraId="0AAADD89" w14:textId="77777777" w:rsidR="00F2277D" w:rsidRPr="003B4A46" w:rsidRDefault="00F2277D" w:rsidP="00F2277D">
      <w:pPr>
        <w:spacing w:line="480" w:lineRule="auto"/>
        <w:ind w:left="720"/>
        <w:rPr>
          <w:rFonts w:ascii="Arial" w:hAnsi="Arial" w:cs="Arial"/>
        </w:rPr>
      </w:pPr>
      <w:r w:rsidRPr="003B4A46">
        <w:rPr>
          <w:rFonts w:ascii="Arial" w:hAnsi="Arial" w:cs="Arial"/>
        </w:rPr>
        <w:t>Economic Development Board. https://www.edb.gov.sg/en/about-edb/media-releases-publications.html</w:t>
      </w:r>
    </w:p>
    <w:p w14:paraId="58019002" w14:textId="77777777" w:rsidR="00F2277D" w:rsidRPr="003B4A46" w:rsidRDefault="00F2277D" w:rsidP="00F2277D">
      <w:pPr>
        <w:spacing w:line="480" w:lineRule="auto"/>
        <w:rPr>
          <w:rFonts w:ascii="Arial" w:hAnsi="Arial" w:cs="Arial"/>
        </w:rPr>
      </w:pPr>
      <w:r w:rsidRPr="003B4A46">
        <w:rPr>
          <w:rFonts w:ascii="Arial" w:hAnsi="Arial" w:cs="Arial"/>
        </w:rPr>
        <w:t xml:space="preserve">World Bank Group. (2024). </w:t>
      </w:r>
      <w:proofErr w:type="spellStart"/>
      <w:r w:rsidRPr="003B4A46">
        <w:rPr>
          <w:rFonts w:ascii="Arial" w:hAnsi="Arial" w:cs="Arial"/>
        </w:rPr>
        <w:t>DataBank</w:t>
      </w:r>
      <w:proofErr w:type="spellEnd"/>
      <w:r w:rsidRPr="003B4A46">
        <w:rPr>
          <w:rFonts w:ascii="Arial" w:hAnsi="Arial" w:cs="Arial"/>
        </w:rPr>
        <w:t xml:space="preserve">: World development indicators. The World Bank. </w:t>
      </w:r>
    </w:p>
    <w:p w14:paraId="4EFE8241" w14:textId="77777777" w:rsidR="00F2277D" w:rsidRPr="003B4A46" w:rsidRDefault="00F2277D" w:rsidP="00F2277D">
      <w:pPr>
        <w:spacing w:line="480" w:lineRule="auto"/>
        <w:ind w:left="720"/>
        <w:rPr>
          <w:rFonts w:ascii="Arial" w:hAnsi="Arial" w:cs="Arial"/>
        </w:rPr>
      </w:pPr>
      <w:r w:rsidRPr="003B4A46">
        <w:rPr>
          <w:rFonts w:ascii="Arial" w:hAnsi="Arial" w:cs="Arial"/>
        </w:rPr>
        <w:t>https://databank.worldbank.org/source/world-development-indicators</w:t>
      </w:r>
    </w:p>
    <w:p w14:paraId="14D7D62D" w14:textId="77777777" w:rsidR="00F2277D" w:rsidRPr="003B4A46" w:rsidRDefault="00F2277D" w:rsidP="00F2277D">
      <w:pPr>
        <w:spacing w:line="480" w:lineRule="auto"/>
        <w:rPr>
          <w:rFonts w:ascii="Arial" w:hAnsi="Arial" w:cs="Arial"/>
        </w:rPr>
      </w:pPr>
      <w:r w:rsidRPr="003B4A46">
        <w:rPr>
          <w:rFonts w:ascii="Arial" w:hAnsi="Arial" w:cs="Arial"/>
        </w:rPr>
        <w:t xml:space="preserve">World Economic Forum. (2024). The global competitiveness report 2017–2018. World Economic </w:t>
      </w:r>
    </w:p>
    <w:p w14:paraId="374038AA" w14:textId="77777777" w:rsidR="00F2277D" w:rsidRPr="003B4A46" w:rsidRDefault="00F2277D" w:rsidP="00F2277D">
      <w:pPr>
        <w:spacing w:line="480" w:lineRule="auto"/>
        <w:ind w:left="720"/>
        <w:rPr>
          <w:rFonts w:ascii="Arial" w:hAnsi="Arial" w:cs="Arial"/>
        </w:rPr>
      </w:pPr>
      <w:r w:rsidRPr="003B4A46">
        <w:rPr>
          <w:rFonts w:ascii="Arial" w:hAnsi="Arial" w:cs="Arial"/>
        </w:rPr>
        <w:t>Forum. https://www.weforum.org/publications/the-global-competitiveness-report-2017-2018/</w:t>
      </w:r>
    </w:p>
    <w:bookmarkEnd w:id="0"/>
    <w:p w14:paraId="44D820E4" w14:textId="77777777" w:rsidR="00F2277D" w:rsidRPr="003B4A46" w:rsidRDefault="00F2277D">
      <w:pPr>
        <w:spacing w:line="276" w:lineRule="auto"/>
        <w:rPr>
          <w:rFonts w:ascii="Arial" w:eastAsia="Arial" w:hAnsi="Arial" w:cs="Arial"/>
          <w:lang w:eastAsia="zh-CN"/>
        </w:rPr>
      </w:pPr>
    </w:p>
    <w:sectPr w:rsidR="00F2277D" w:rsidRPr="003B4A46">
      <w:footerReference w:type="even" r:id="rId11"/>
      <w:footerReference w:type="default" r:id="rId12"/>
      <w:pgSz w:w="11906" w:h="16838"/>
      <w:pgMar w:top="1440" w:right="1080" w:bottom="144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8C133E" w14:textId="77777777" w:rsidR="00C05525" w:rsidRDefault="00C05525" w:rsidP="0053047D">
      <w:pPr>
        <w:spacing w:after="0" w:line="240" w:lineRule="auto"/>
      </w:pPr>
      <w:r>
        <w:separator/>
      </w:r>
    </w:p>
  </w:endnote>
  <w:endnote w:type="continuationSeparator" w:id="0">
    <w:p w14:paraId="23761BF0" w14:textId="77777777" w:rsidR="00C05525" w:rsidRDefault="00C05525" w:rsidP="00530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81349486"/>
      <w:docPartObj>
        <w:docPartGallery w:val="Page Numbers (Bottom of Page)"/>
        <w:docPartUnique/>
      </w:docPartObj>
    </w:sdtPr>
    <w:sdtContent>
      <w:p w14:paraId="73D4F83A" w14:textId="5C4E99A0" w:rsidR="0053047D" w:rsidRDefault="0053047D" w:rsidP="00A437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22801AC" w14:textId="77777777" w:rsidR="0053047D" w:rsidRDefault="0053047D" w:rsidP="0053047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Arial" w:hAnsi="Arial" w:cs="Arial"/>
      </w:rPr>
      <w:id w:val="670223961"/>
      <w:docPartObj>
        <w:docPartGallery w:val="Page Numbers (Bottom of Page)"/>
        <w:docPartUnique/>
      </w:docPartObj>
    </w:sdtPr>
    <w:sdtContent>
      <w:p w14:paraId="07AF6847" w14:textId="0B683816" w:rsidR="0053047D" w:rsidRPr="0053047D" w:rsidRDefault="0053047D" w:rsidP="00A437DE">
        <w:pPr>
          <w:pStyle w:val="Footer"/>
          <w:framePr w:wrap="none" w:vAnchor="text" w:hAnchor="margin" w:xAlign="right" w:y="1"/>
          <w:rPr>
            <w:rStyle w:val="PageNumber"/>
            <w:rFonts w:ascii="Arial" w:hAnsi="Arial" w:cs="Arial"/>
          </w:rPr>
        </w:pPr>
        <w:r w:rsidRPr="0053047D">
          <w:rPr>
            <w:rStyle w:val="PageNumber"/>
            <w:rFonts w:ascii="Arial" w:hAnsi="Arial" w:cs="Arial"/>
          </w:rPr>
          <w:fldChar w:fldCharType="begin"/>
        </w:r>
        <w:r w:rsidRPr="0053047D">
          <w:rPr>
            <w:rStyle w:val="PageNumber"/>
            <w:rFonts w:ascii="Arial" w:hAnsi="Arial" w:cs="Arial"/>
          </w:rPr>
          <w:instrText xml:space="preserve"> PAGE </w:instrText>
        </w:r>
        <w:r w:rsidRPr="0053047D">
          <w:rPr>
            <w:rStyle w:val="PageNumber"/>
            <w:rFonts w:ascii="Arial" w:hAnsi="Arial" w:cs="Arial"/>
          </w:rPr>
          <w:fldChar w:fldCharType="separate"/>
        </w:r>
        <w:r w:rsidRPr="0053047D">
          <w:rPr>
            <w:rStyle w:val="PageNumber"/>
            <w:rFonts w:ascii="Arial" w:hAnsi="Arial" w:cs="Arial"/>
            <w:noProof/>
          </w:rPr>
          <w:t>1</w:t>
        </w:r>
        <w:r w:rsidRPr="0053047D">
          <w:rPr>
            <w:rStyle w:val="PageNumber"/>
            <w:rFonts w:ascii="Arial" w:hAnsi="Arial" w:cs="Arial"/>
          </w:rPr>
          <w:fldChar w:fldCharType="end"/>
        </w:r>
      </w:p>
    </w:sdtContent>
  </w:sdt>
  <w:p w14:paraId="09B88ABF" w14:textId="77777777" w:rsidR="0053047D" w:rsidRPr="0053047D" w:rsidRDefault="0053047D" w:rsidP="0053047D">
    <w:pPr>
      <w:pStyle w:val="Footer"/>
      <w:ind w:right="360"/>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E83D25" w14:textId="77777777" w:rsidR="00C05525" w:rsidRDefault="00C05525" w:rsidP="0053047D">
      <w:pPr>
        <w:spacing w:after="0" w:line="240" w:lineRule="auto"/>
      </w:pPr>
      <w:r>
        <w:separator/>
      </w:r>
    </w:p>
  </w:footnote>
  <w:footnote w:type="continuationSeparator" w:id="0">
    <w:p w14:paraId="3FEE3D44" w14:textId="77777777" w:rsidR="00C05525" w:rsidRDefault="00C05525" w:rsidP="005304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661B0F"/>
    <w:multiLevelType w:val="multilevel"/>
    <w:tmpl w:val="8B2A65B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972439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372F"/>
    <w:rsid w:val="000E5057"/>
    <w:rsid w:val="00140FD6"/>
    <w:rsid w:val="001E7AEF"/>
    <w:rsid w:val="0025400E"/>
    <w:rsid w:val="002B5767"/>
    <w:rsid w:val="0037193A"/>
    <w:rsid w:val="003B4A46"/>
    <w:rsid w:val="003D0C36"/>
    <w:rsid w:val="004713D6"/>
    <w:rsid w:val="0053047D"/>
    <w:rsid w:val="005B74B5"/>
    <w:rsid w:val="00604EDA"/>
    <w:rsid w:val="00695F41"/>
    <w:rsid w:val="006F48F8"/>
    <w:rsid w:val="0074149D"/>
    <w:rsid w:val="00774237"/>
    <w:rsid w:val="007E341D"/>
    <w:rsid w:val="007E4163"/>
    <w:rsid w:val="00807841"/>
    <w:rsid w:val="00813C1D"/>
    <w:rsid w:val="008A6876"/>
    <w:rsid w:val="008C4DA3"/>
    <w:rsid w:val="0090105A"/>
    <w:rsid w:val="009B0879"/>
    <w:rsid w:val="009C39AC"/>
    <w:rsid w:val="00A5519E"/>
    <w:rsid w:val="00A7250C"/>
    <w:rsid w:val="00A7536F"/>
    <w:rsid w:val="00A85BAD"/>
    <w:rsid w:val="00B87FFD"/>
    <w:rsid w:val="00C05525"/>
    <w:rsid w:val="00C61CEA"/>
    <w:rsid w:val="00CA372F"/>
    <w:rsid w:val="00CC52BB"/>
    <w:rsid w:val="00D217F6"/>
    <w:rsid w:val="00DA27AC"/>
    <w:rsid w:val="00E32D25"/>
    <w:rsid w:val="00F0693E"/>
    <w:rsid w:val="00F2277D"/>
    <w:rsid w:val="00FA1B36"/>
    <w:rsid w:val="00FE2245"/>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70228C1"/>
  <w15:docId w15:val="{B7CF97F3-DF28-FC40-8B05-736BB33E9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Calibri"/>
        <w:sz w:val="22"/>
        <w:szCs w:val="22"/>
        <w:lang w:val="en-AU"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3909D1"/>
    <w:pPr>
      <w:ind w:left="720"/>
      <w:contextualSpacing/>
    </w:pPr>
  </w:style>
  <w:style w:type="character" w:styleId="Hyperlink">
    <w:name w:val="Hyperlink"/>
    <w:basedOn w:val="DefaultParagraphFont"/>
    <w:uiPriority w:val="99"/>
    <w:unhideWhenUsed/>
    <w:rsid w:val="00540FDC"/>
    <w:rPr>
      <w:color w:val="0000FF" w:themeColor="hyperlink"/>
      <w:u w:val="single"/>
    </w:rPr>
  </w:style>
  <w:style w:type="character" w:customStyle="1" w:styleId="UnresolvedMention1">
    <w:name w:val="Unresolved Mention1"/>
    <w:basedOn w:val="DefaultParagraphFont"/>
    <w:uiPriority w:val="99"/>
    <w:semiHidden/>
    <w:unhideWhenUsed/>
    <w:rsid w:val="00540FDC"/>
    <w:rPr>
      <w:color w:val="605E5C"/>
      <w:shd w:val="clear" w:color="auto" w:fill="E1DFDD"/>
    </w:rPr>
  </w:style>
  <w:style w:type="character" w:styleId="FollowedHyperlink">
    <w:name w:val="FollowedHyperlink"/>
    <w:basedOn w:val="DefaultParagraphFont"/>
    <w:uiPriority w:val="99"/>
    <w:semiHidden/>
    <w:unhideWhenUsed/>
    <w:rsid w:val="00D85721"/>
    <w:rPr>
      <w:color w:val="800080" w:themeColor="followedHyperlink"/>
      <w:u w:val="single"/>
    </w:rPr>
  </w:style>
  <w:style w:type="table" w:styleId="TableGrid">
    <w:name w:val="Table Grid"/>
    <w:basedOn w:val="TableNormal"/>
    <w:uiPriority w:val="39"/>
    <w:rsid w:val="00D5733C"/>
    <w:pPr>
      <w:spacing w:after="0" w:line="240" w:lineRule="auto"/>
    </w:pPr>
    <w:rPr>
      <w:rFonts w:asciiTheme="minorHAnsi" w:eastAsiaTheme="minorHAnsi" w:hAnsiTheme="minorHAnsi" w:cstheme="minorBidi"/>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304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047D"/>
  </w:style>
  <w:style w:type="character" w:styleId="PageNumber">
    <w:name w:val="page number"/>
    <w:basedOn w:val="DefaultParagraphFont"/>
    <w:uiPriority w:val="99"/>
    <w:semiHidden/>
    <w:unhideWhenUsed/>
    <w:rsid w:val="0053047D"/>
  </w:style>
  <w:style w:type="paragraph" w:styleId="Header">
    <w:name w:val="header"/>
    <w:basedOn w:val="Normal"/>
    <w:link w:val="HeaderChar"/>
    <w:uiPriority w:val="99"/>
    <w:unhideWhenUsed/>
    <w:rsid w:val="005304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04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Users/xianglongronaldolin/Downloads/Book1(AutoRecovere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xianglongronaldolin/Downloads/Book1(AutoRecovere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xianglongronaldolin/Downloads/Book1(AutoRecovered).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US" sz="1400" b="1" i="0" u="none" strike="noStrike" cap="none" baseline="0"/>
              <a:t>Singapore's GDP Growth Rate, Inflation Rate, and Unemployment Rate Trends</a:t>
            </a:r>
            <a:endParaRPr lang="en-US"/>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CN"/>
        </a:p>
      </c:txPr>
    </c:title>
    <c:autoTitleDeleted val="0"/>
    <c:plotArea>
      <c:layout/>
      <c:lineChart>
        <c:grouping val="standard"/>
        <c:varyColors val="0"/>
        <c:ser>
          <c:idx val="0"/>
          <c:order val="0"/>
          <c:tx>
            <c:strRef>
              <c:f>Sheet1!$A$42</c:f>
              <c:strCache>
                <c:ptCount val="1"/>
                <c:pt idx="0">
                  <c:v>GDP growth (annual %)</c:v>
                </c:pt>
              </c:strCache>
            </c:strRef>
          </c:tx>
          <c:spPr>
            <a:ln w="22225" cap="rnd">
              <a:solidFill>
                <a:schemeClr val="accent1"/>
              </a:solidFill>
            </a:ln>
            <a:effectLst>
              <a:glow rad="139700">
                <a:schemeClr val="accent1">
                  <a:satMod val="175000"/>
                  <a:alpha val="14000"/>
                </a:schemeClr>
              </a:glo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numRef>
              <c:f>Sheet1!$B$41:$G$41</c:f>
              <c:numCache>
                <c:formatCode>General</c:formatCode>
                <c:ptCount val="6"/>
                <c:pt idx="0">
                  <c:v>2013</c:v>
                </c:pt>
                <c:pt idx="1">
                  <c:v>2014</c:v>
                </c:pt>
                <c:pt idx="2">
                  <c:v>2015</c:v>
                </c:pt>
                <c:pt idx="3">
                  <c:v>2016</c:v>
                </c:pt>
                <c:pt idx="4">
                  <c:v>2017</c:v>
                </c:pt>
                <c:pt idx="5">
                  <c:v>2018</c:v>
                </c:pt>
              </c:numCache>
            </c:numRef>
          </c:cat>
          <c:val>
            <c:numRef>
              <c:f>Sheet1!$B$42:$G$42</c:f>
              <c:numCache>
                <c:formatCode>General</c:formatCode>
                <c:ptCount val="6"/>
                <c:pt idx="0">
                  <c:v>4.8176309912067552</c:v>
                </c:pt>
                <c:pt idx="1">
                  <c:v>3.9355402770900696</c:v>
                </c:pt>
                <c:pt idx="2">
                  <c:v>2.9767993163480639</c:v>
                </c:pt>
                <c:pt idx="3">
                  <c:v>3.5886436958266756</c:v>
                </c:pt>
                <c:pt idx="4">
                  <c:v>4.5129263177092724</c:v>
                </c:pt>
                <c:pt idx="5">
                  <c:v>3.5171141850925522</c:v>
                </c:pt>
              </c:numCache>
            </c:numRef>
          </c:val>
          <c:smooth val="0"/>
          <c:extLst>
            <c:ext xmlns:c16="http://schemas.microsoft.com/office/drawing/2014/chart" uri="{C3380CC4-5D6E-409C-BE32-E72D297353CC}">
              <c16:uniqueId val="{00000000-F527-4F4F-B6BE-B9C68C6C068C}"/>
            </c:ext>
          </c:extLst>
        </c:ser>
        <c:ser>
          <c:idx val="1"/>
          <c:order val="1"/>
          <c:tx>
            <c:strRef>
              <c:f>Sheet1!$A$43</c:f>
              <c:strCache>
                <c:ptCount val="1"/>
                <c:pt idx="0">
                  <c:v>Inflation, GDP deflator (annual %)</c:v>
                </c:pt>
              </c:strCache>
            </c:strRef>
          </c:tx>
          <c:spPr>
            <a:ln w="22225" cap="rnd">
              <a:solidFill>
                <a:schemeClr val="accent2"/>
              </a:solidFill>
            </a:ln>
            <a:effectLst>
              <a:glow rad="139700">
                <a:schemeClr val="accent2">
                  <a:satMod val="175000"/>
                  <a:alpha val="14000"/>
                </a:schemeClr>
              </a:glo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numRef>
              <c:f>Sheet1!$B$41:$G$41</c:f>
              <c:numCache>
                <c:formatCode>General</c:formatCode>
                <c:ptCount val="6"/>
                <c:pt idx="0">
                  <c:v>2013</c:v>
                </c:pt>
                <c:pt idx="1">
                  <c:v>2014</c:v>
                </c:pt>
                <c:pt idx="2">
                  <c:v>2015</c:v>
                </c:pt>
                <c:pt idx="3">
                  <c:v>2016</c:v>
                </c:pt>
                <c:pt idx="4">
                  <c:v>2017</c:v>
                </c:pt>
                <c:pt idx="5">
                  <c:v>2018</c:v>
                </c:pt>
              </c:numCache>
            </c:numRef>
          </c:cat>
          <c:val>
            <c:numRef>
              <c:f>Sheet1!$B$43:$G$43</c:f>
              <c:numCache>
                <c:formatCode>General</c:formatCode>
                <c:ptCount val="6"/>
                <c:pt idx="0">
                  <c:v>-0.43105939187167053</c:v>
                </c:pt>
                <c:pt idx="1">
                  <c:v>-0.26727004163480217</c:v>
                </c:pt>
                <c:pt idx="2">
                  <c:v>3.0719550096641797</c:v>
                </c:pt>
                <c:pt idx="3">
                  <c:v>0.48962702899872568</c:v>
                </c:pt>
                <c:pt idx="4">
                  <c:v>2.8940419140037363</c:v>
                </c:pt>
                <c:pt idx="5">
                  <c:v>3.6041004347622732</c:v>
                </c:pt>
              </c:numCache>
            </c:numRef>
          </c:val>
          <c:smooth val="0"/>
          <c:extLst>
            <c:ext xmlns:c16="http://schemas.microsoft.com/office/drawing/2014/chart" uri="{C3380CC4-5D6E-409C-BE32-E72D297353CC}">
              <c16:uniqueId val="{00000001-F527-4F4F-B6BE-B9C68C6C068C}"/>
            </c:ext>
          </c:extLst>
        </c:ser>
        <c:ser>
          <c:idx val="2"/>
          <c:order val="2"/>
          <c:tx>
            <c:strRef>
              <c:f>Sheet1!$A$44</c:f>
              <c:strCache>
                <c:ptCount val="1"/>
                <c:pt idx="0">
                  <c:v>Unemployment, total (% of total labor force) (modeled ILO estimate)</c:v>
                </c:pt>
              </c:strCache>
            </c:strRef>
          </c:tx>
          <c:spPr>
            <a:ln w="22225" cap="rnd">
              <a:solidFill>
                <a:schemeClr val="accent3"/>
              </a:solidFill>
            </a:ln>
            <a:effectLst>
              <a:glow rad="139700">
                <a:schemeClr val="accent3">
                  <a:satMod val="175000"/>
                  <a:alpha val="14000"/>
                </a:schemeClr>
              </a:glo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numRef>
              <c:f>Sheet1!$B$41:$G$41</c:f>
              <c:numCache>
                <c:formatCode>General</c:formatCode>
                <c:ptCount val="6"/>
                <c:pt idx="0">
                  <c:v>2013</c:v>
                </c:pt>
                <c:pt idx="1">
                  <c:v>2014</c:v>
                </c:pt>
                <c:pt idx="2">
                  <c:v>2015</c:v>
                </c:pt>
                <c:pt idx="3">
                  <c:v>2016</c:v>
                </c:pt>
                <c:pt idx="4">
                  <c:v>2017</c:v>
                </c:pt>
                <c:pt idx="5">
                  <c:v>2018</c:v>
                </c:pt>
              </c:numCache>
            </c:numRef>
          </c:cat>
          <c:val>
            <c:numRef>
              <c:f>Sheet1!$B$44:$G$44</c:f>
              <c:numCache>
                <c:formatCode>General</c:formatCode>
                <c:ptCount val="6"/>
                <c:pt idx="0">
                  <c:v>3.86</c:v>
                </c:pt>
                <c:pt idx="1">
                  <c:v>3.74</c:v>
                </c:pt>
                <c:pt idx="2">
                  <c:v>3.79</c:v>
                </c:pt>
                <c:pt idx="3">
                  <c:v>4.08</c:v>
                </c:pt>
                <c:pt idx="4">
                  <c:v>4.2</c:v>
                </c:pt>
                <c:pt idx="5">
                  <c:v>3.613</c:v>
                </c:pt>
              </c:numCache>
            </c:numRef>
          </c:val>
          <c:smooth val="0"/>
          <c:extLst>
            <c:ext xmlns:c16="http://schemas.microsoft.com/office/drawing/2014/chart" uri="{C3380CC4-5D6E-409C-BE32-E72D297353CC}">
              <c16:uniqueId val="{00000002-F527-4F4F-B6BE-B9C68C6C068C}"/>
            </c:ext>
          </c:extLst>
        </c:ser>
        <c:dLbls>
          <c:dLblPos val="ctr"/>
          <c:showLegendKey val="0"/>
          <c:showVal val="1"/>
          <c:showCatName val="0"/>
          <c:showSerName val="0"/>
          <c:showPercent val="0"/>
          <c:showBubbleSize val="0"/>
        </c:dLbls>
        <c:smooth val="0"/>
        <c:axId val="96702768"/>
        <c:axId val="96595664"/>
      </c:lineChart>
      <c:catAx>
        <c:axId val="96702768"/>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CN"/>
          </a:p>
        </c:txPr>
        <c:crossAx val="96595664"/>
        <c:crosses val="autoZero"/>
        <c:auto val="1"/>
        <c:lblAlgn val="ctr"/>
        <c:lblOffset val="100"/>
        <c:noMultiLvlLbl val="0"/>
      </c:catAx>
      <c:valAx>
        <c:axId val="96595664"/>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CN"/>
          </a:p>
        </c:txPr>
        <c:crossAx val="9670276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n-US"/>
              <a:t>GDP Growth (Annual %)</a:t>
            </a:r>
            <a:endParaRPr lang="en-CN"/>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n-CN"/>
        </a:p>
      </c:txPr>
    </c:title>
    <c:autoTitleDeleted val="0"/>
    <c:plotArea>
      <c:layout/>
      <c:barChart>
        <c:barDir val="col"/>
        <c:grouping val="clustered"/>
        <c:varyColors val="0"/>
        <c:ser>
          <c:idx val="0"/>
          <c:order val="0"/>
          <c:tx>
            <c:strRef>
              <c:f>Sheet1!$A$2</c:f>
              <c:strCache>
                <c:ptCount val="1"/>
                <c:pt idx="0">
                  <c:v>Singapore</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Sheet1!$C$1:$H$1</c:f>
              <c:strCache>
                <c:ptCount val="6"/>
                <c:pt idx="0">
                  <c:v>2013</c:v>
                </c:pt>
                <c:pt idx="1">
                  <c:v>2014</c:v>
                </c:pt>
                <c:pt idx="2">
                  <c:v>2015</c:v>
                </c:pt>
                <c:pt idx="3">
                  <c:v>2016</c:v>
                </c:pt>
                <c:pt idx="4">
                  <c:v>2017</c:v>
                </c:pt>
                <c:pt idx="5">
                  <c:v>2018</c:v>
                </c:pt>
              </c:strCache>
            </c:strRef>
          </c:cat>
          <c:val>
            <c:numRef>
              <c:f>Sheet1!$C$2:$H$2</c:f>
              <c:numCache>
                <c:formatCode>General</c:formatCode>
                <c:ptCount val="6"/>
                <c:pt idx="0">
                  <c:v>4.8176309912067552</c:v>
                </c:pt>
                <c:pt idx="1">
                  <c:v>3.9355402770900696</c:v>
                </c:pt>
                <c:pt idx="2">
                  <c:v>2.9767993163480639</c:v>
                </c:pt>
                <c:pt idx="3">
                  <c:v>3.5886436958266756</c:v>
                </c:pt>
                <c:pt idx="4">
                  <c:v>4.5129263177092724</c:v>
                </c:pt>
                <c:pt idx="5">
                  <c:v>3.5171141850925522</c:v>
                </c:pt>
              </c:numCache>
            </c:numRef>
          </c:val>
          <c:extLst>
            <c:ext xmlns:c16="http://schemas.microsoft.com/office/drawing/2014/chart" uri="{C3380CC4-5D6E-409C-BE32-E72D297353CC}">
              <c16:uniqueId val="{00000000-BAD4-CD4D-B95B-194A1D46CB03}"/>
            </c:ext>
          </c:extLst>
        </c:ser>
        <c:ser>
          <c:idx val="1"/>
          <c:order val="1"/>
          <c:tx>
            <c:strRef>
              <c:f>Sheet1!$A$3</c:f>
              <c:strCache>
                <c:ptCount val="1"/>
                <c:pt idx="0">
                  <c:v>Switzerland</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Sheet1!$C$1:$H$1</c:f>
              <c:strCache>
                <c:ptCount val="6"/>
                <c:pt idx="0">
                  <c:v>2013</c:v>
                </c:pt>
                <c:pt idx="1">
                  <c:v>2014</c:v>
                </c:pt>
                <c:pt idx="2">
                  <c:v>2015</c:v>
                </c:pt>
                <c:pt idx="3">
                  <c:v>2016</c:v>
                </c:pt>
                <c:pt idx="4">
                  <c:v>2017</c:v>
                </c:pt>
                <c:pt idx="5">
                  <c:v>2018</c:v>
                </c:pt>
              </c:strCache>
            </c:strRef>
          </c:cat>
          <c:val>
            <c:numRef>
              <c:f>Sheet1!$C$3:$H$3</c:f>
              <c:numCache>
                <c:formatCode>General</c:formatCode>
                <c:ptCount val="6"/>
                <c:pt idx="0">
                  <c:v>1.7921440570748359</c:v>
                </c:pt>
                <c:pt idx="1">
                  <c:v>2.3498812750862612</c:v>
                </c:pt>
                <c:pt idx="2">
                  <c:v>1.6446276869928482</c:v>
                </c:pt>
                <c:pt idx="3">
                  <c:v>2.0686896670996049</c:v>
                </c:pt>
                <c:pt idx="4">
                  <c:v>1.3627995571141582</c:v>
                </c:pt>
                <c:pt idx="5">
                  <c:v>2.8604457946163251</c:v>
                </c:pt>
              </c:numCache>
            </c:numRef>
          </c:val>
          <c:extLst>
            <c:ext xmlns:c16="http://schemas.microsoft.com/office/drawing/2014/chart" uri="{C3380CC4-5D6E-409C-BE32-E72D297353CC}">
              <c16:uniqueId val="{00000001-BAD4-CD4D-B95B-194A1D46CB03}"/>
            </c:ext>
          </c:extLst>
        </c:ser>
        <c:dLbls>
          <c:dLblPos val="outEnd"/>
          <c:showLegendKey val="0"/>
          <c:showVal val="1"/>
          <c:showCatName val="0"/>
          <c:showSerName val="0"/>
          <c:showPercent val="0"/>
          <c:showBubbleSize val="0"/>
        </c:dLbls>
        <c:gapWidth val="100"/>
        <c:overlap val="-24"/>
        <c:axId val="2073292799"/>
        <c:axId val="2124940047"/>
      </c:barChart>
      <c:catAx>
        <c:axId val="20732927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CN"/>
          </a:p>
        </c:txPr>
        <c:crossAx val="2124940047"/>
        <c:crosses val="autoZero"/>
        <c:auto val="1"/>
        <c:lblAlgn val="ctr"/>
        <c:lblOffset val="100"/>
        <c:noMultiLvlLbl val="0"/>
      </c:catAx>
      <c:valAx>
        <c:axId val="21249400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CN"/>
          </a:p>
        </c:txPr>
        <c:crossAx val="20732927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Foreign Direct Investment, Net Inflows (BoP, Current US$)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CN"/>
        </a:p>
      </c:txPr>
    </c:title>
    <c:autoTitleDeleted val="0"/>
    <c:plotArea>
      <c:layout/>
      <c:scatterChart>
        <c:scatterStyle val="lineMarker"/>
        <c:varyColors val="0"/>
        <c:ser>
          <c:idx val="0"/>
          <c:order val="0"/>
          <c:tx>
            <c:strRef>
              <c:f>Sheet1!$A$21</c:f>
              <c:strCache>
                <c:ptCount val="1"/>
                <c:pt idx="0">
                  <c:v>Singapore</c:v>
                </c:pt>
              </c:strCache>
            </c:strRef>
          </c:tx>
          <c:spPr>
            <a:ln w="25400" cap="rnd">
              <a:noFill/>
              <a:round/>
            </a:ln>
            <a:effectLst/>
          </c:spPr>
          <c:marker>
            <c:symbol val="circle"/>
            <c:size val="5"/>
            <c:spPr>
              <a:solidFill>
                <a:schemeClr val="accent1"/>
              </a:solidFill>
              <a:ln w="9525">
                <a:solidFill>
                  <a:schemeClr val="accent1"/>
                </a:solidFill>
              </a:ln>
              <a:effectLst/>
            </c:spPr>
          </c:marker>
          <c:xVal>
            <c:numRef>
              <c:f>Sheet1!$C$20:$H$20</c:f>
              <c:numCache>
                <c:formatCode>General</c:formatCode>
                <c:ptCount val="6"/>
                <c:pt idx="0">
                  <c:v>2013</c:v>
                </c:pt>
                <c:pt idx="1">
                  <c:v>2014</c:v>
                </c:pt>
                <c:pt idx="2">
                  <c:v>2015</c:v>
                </c:pt>
                <c:pt idx="3">
                  <c:v>2016</c:v>
                </c:pt>
                <c:pt idx="4">
                  <c:v>2017</c:v>
                </c:pt>
                <c:pt idx="5">
                  <c:v>2018</c:v>
                </c:pt>
              </c:numCache>
            </c:numRef>
          </c:xVal>
          <c:yVal>
            <c:numRef>
              <c:f>Sheet1!$C$21:$H$21</c:f>
              <c:numCache>
                <c:formatCode>0.00E+00</c:formatCode>
                <c:ptCount val="6"/>
                <c:pt idx="0">
                  <c:v>64400000000</c:v>
                </c:pt>
                <c:pt idx="1">
                  <c:v>68700000000</c:v>
                </c:pt>
                <c:pt idx="2">
                  <c:v>69800000000</c:v>
                </c:pt>
                <c:pt idx="3">
                  <c:v>65400000000</c:v>
                </c:pt>
                <c:pt idx="4">
                  <c:v>102000000000</c:v>
                </c:pt>
                <c:pt idx="5">
                  <c:v>82000000000</c:v>
                </c:pt>
              </c:numCache>
            </c:numRef>
          </c:yVal>
          <c:smooth val="0"/>
          <c:extLst>
            <c:ext xmlns:c16="http://schemas.microsoft.com/office/drawing/2014/chart" uri="{C3380CC4-5D6E-409C-BE32-E72D297353CC}">
              <c16:uniqueId val="{00000000-CCB9-3D48-B10C-20CBB676F3AE}"/>
            </c:ext>
          </c:extLst>
        </c:ser>
        <c:ser>
          <c:idx val="1"/>
          <c:order val="1"/>
          <c:tx>
            <c:strRef>
              <c:f>Sheet1!$A$22</c:f>
              <c:strCache>
                <c:ptCount val="1"/>
                <c:pt idx="0">
                  <c:v>Switzerland</c:v>
                </c:pt>
              </c:strCache>
            </c:strRef>
          </c:tx>
          <c:spPr>
            <a:ln w="25400" cap="rnd">
              <a:noFill/>
              <a:round/>
            </a:ln>
            <a:effectLst/>
          </c:spPr>
          <c:marker>
            <c:symbol val="circle"/>
            <c:size val="5"/>
            <c:spPr>
              <a:solidFill>
                <a:schemeClr val="accent2"/>
              </a:solidFill>
              <a:ln w="9525">
                <a:solidFill>
                  <a:schemeClr val="accent2"/>
                </a:solidFill>
              </a:ln>
              <a:effectLst/>
            </c:spPr>
          </c:marker>
          <c:xVal>
            <c:numRef>
              <c:f>Sheet1!$C$20:$H$20</c:f>
              <c:numCache>
                <c:formatCode>General</c:formatCode>
                <c:ptCount val="6"/>
                <c:pt idx="0">
                  <c:v>2013</c:v>
                </c:pt>
                <c:pt idx="1">
                  <c:v>2014</c:v>
                </c:pt>
                <c:pt idx="2">
                  <c:v>2015</c:v>
                </c:pt>
                <c:pt idx="3">
                  <c:v>2016</c:v>
                </c:pt>
                <c:pt idx="4">
                  <c:v>2017</c:v>
                </c:pt>
                <c:pt idx="5">
                  <c:v>2018</c:v>
                </c:pt>
              </c:numCache>
            </c:numRef>
          </c:xVal>
          <c:yVal>
            <c:numRef>
              <c:f>Sheet1!$C$22:$H$22</c:f>
              <c:numCache>
                <c:formatCode>0.00E+00</c:formatCode>
                <c:ptCount val="6"/>
                <c:pt idx="0">
                  <c:v>-25000000000</c:v>
                </c:pt>
                <c:pt idx="1">
                  <c:v>21000000000</c:v>
                </c:pt>
                <c:pt idx="2">
                  <c:v>119000000000</c:v>
                </c:pt>
                <c:pt idx="3">
                  <c:v>167000000000</c:v>
                </c:pt>
                <c:pt idx="4">
                  <c:v>143000000000</c:v>
                </c:pt>
                <c:pt idx="5">
                  <c:v>-160000000000</c:v>
                </c:pt>
              </c:numCache>
            </c:numRef>
          </c:yVal>
          <c:smooth val="0"/>
          <c:extLst>
            <c:ext xmlns:c16="http://schemas.microsoft.com/office/drawing/2014/chart" uri="{C3380CC4-5D6E-409C-BE32-E72D297353CC}">
              <c16:uniqueId val="{00000001-CCB9-3D48-B10C-20CBB676F3AE}"/>
            </c:ext>
          </c:extLst>
        </c:ser>
        <c:dLbls>
          <c:showLegendKey val="0"/>
          <c:showVal val="0"/>
          <c:showCatName val="0"/>
          <c:showSerName val="0"/>
          <c:showPercent val="0"/>
          <c:showBubbleSize val="0"/>
        </c:dLbls>
        <c:axId val="96673328"/>
        <c:axId val="96675040"/>
      </c:scatterChart>
      <c:valAx>
        <c:axId val="9667332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96675040"/>
        <c:crosses val="autoZero"/>
        <c:crossBetween val="midCat"/>
      </c:valAx>
      <c:valAx>
        <c:axId val="96675040"/>
        <c:scaling>
          <c:orientation val="minMax"/>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9667332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6">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FLaEfCMnQbtnUE2uGzzuduOkDA==">AMUW2mV+sTH+YzXIVn/00GA0YN3wsdG1de/8vZj3w6rc1gCJhjPSEc/e9Z8PtvdHjdbhBH3fdoxRbrFGuMDxLloqy6UCSRZt6gPelOZadf7x8E5o9H6MDHYcPi38oWiWAQORMV59Qx74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7</Pages>
  <Words>1758</Words>
  <Characters>10024</Characters>
  <Application>Microsoft Office Word</Application>
  <DocSecurity>0</DocSecurity>
  <Lines>83</Lines>
  <Paragraphs>23</Paragraphs>
  <ScaleCrop>false</ScaleCrop>
  <Company/>
  <LinksUpToDate>false</LinksUpToDate>
  <CharactersWithSpaces>11759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Xianglong Lin</cp:lastModifiedBy>
  <cp:revision>19</cp:revision>
  <dcterms:created xsi:type="dcterms:W3CDTF">2024-07-14T23:50:00Z</dcterms:created>
  <dcterms:modified xsi:type="dcterms:W3CDTF">2024-08-29T12:40:00Z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7382bf1-026c-423b-a2f3-9729d1fde3ca_Enabled">
    <vt:lpwstr>true</vt:lpwstr>
  </property>
  <property fmtid="{D5CDD505-2E9C-101B-9397-08002B2CF9AE}" pid="3" name="MSIP_Label_37382bf1-026c-423b-a2f3-9729d1fde3ca_SetDate">
    <vt:lpwstr>2022-02-25T23:06:41Z</vt:lpwstr>
  </property>
  <property fmtid="{D5CDD505-2E9C-101B-9397-08002B2CF9AE}" pid="4" name="MSIP_Label_37382bf1-026c-423b-a2f3-9729d1fde3ca_Method">
    <vt:lpwstr>Privileged</vt:lpwstr>
  </property>
  <property fmtid="{D5CDD505-2E9C-101B-9397-08002B2CF9AE}" pid="5" name="MSIP_Label_37382bf1-026c-423b-a2f3-9729d1fde3ca_Name">
    <vt:lpwstr>OFFICIAL - PUBLIC</vt:lpwstr>
  </property>
  <property fmtid="{D5CDD505-2E9C-101B-9397-08002B2CF9AE}" pid="6" name="MSIP_Label_37382bf1-026c-423b-a2f3-9729d1fde3ca_SiteId">
    <vt:lpwstr>b6e377cf-9db3-46cb-91a2-fad9605bb15c</vt:lpwstr>
  </property>
  <property fmtid="{D5CDD505-2E9C-101B-9397-08002B2CF9AE}" pid="7" name="MSIP_Label_37382bf1-026c-423b-a2f3-9729d1fde3ca_ActionId">
    <vt:lpwstr>dc5db506-f648-47ba-b108-6ce7f3dd0d1f</vt:lpwstr>
  </property>
  <property fmtid="{D5CDD505-2E9C-101B-9397-08002B2CF9AE}" pid="8" name="MSIP_Label_37382bf1-026c-423b-a2f3-9729d1fde3ca_ContentBits">
    <vt:lpwstr>0</vt:lpwstr>
  </property>
</Properties>
</file>