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IA et investissement immobilier</w:t>
      </w:r>
    </w:p>
    <w:p>
      <w:r>
        <w:t>Dossier de travail — Val-d'Oise — données officielles 2025 — 14 octobre 2026</w:t>
      </w:r>
    </w:p>
    <w:p>
      <w:r>
        <w:t>Ce dossier rassemble l'intégralité de l'analyse menée le 14 octobre 2026 : la vérification d'une affirmation de départ, l'étude d'un projet de produit logiciel, les contraintes juridiques, les sources de données disponibles, les résultats chiffrés pour le Val-d'Oise, et le rôle mesuré de l'api Jev (TypeSafe System One) dans ce type de projet. Toutes les données chiffrées proviennent de jeux de données publics, cités en annexe.</w:t>
      </w:r>
    </w:p>
    <w:p>
      <w:pPr>
        <w:pStyle w:val="Heading1"/>
      </w:pPr>
      <w:r>
        <w:t>1. L'affirmation de départ, et sa vérification</w:t>
      </w:r>
    </w:p>
    <w:p>
      <w:r>
        <w:t>Un camarade de MBA, qui a acheté une maison et l'a divisée en quatre lots d'appartements, affirme que la véritable plus-value en immobilier se fait en achetant un bien doté d'un terrain exploitable, ou en construisant une dépendance destinée à la location.</w:t>
      </w:r>
    </w:p>
    <w:p>
      <w:r>
        <w:t>Cette affirmation a été testée sur des données réelles. Conclusion : elle est incomplète, et le propre montage du camarade la contredit.</w:t>
      </w:r>
    </w:p>
    <w:p>
      <w:pPr>
        <w:pStyle w:val="Heading2"/>
      </w:pPr>
      <w:r>
        <w:t>1.1 L'affirmation telle qu'elle a été formulée</w:t>
      </w:r>
    </w:p>
    <w:p>
      <w:pPr>
        <w:pStyle w:val="ListBullet"/>
      </w:pPr>
      <w:r>
        <w:t>Levier invoqué : le terrain exploitable.</w:t>
      </w:r>
    </w:p>
    <w:p>
      <w:pPr>
        <w:pStyle w:val="ListBullet"/>
      </w:pPr>
      <w:r>
        <w:t>Levier invoqué : la construction d'une dépendance locative.</w:t>
      </w:r>
    </w:p>
    <w:p>
      <w:pPr>
        <w:pStyle w:val="ListBullet"/>
      </w:pPr>
      <w:r>
        <w:t>Levier non invoqué : la division d'une maison en plusieurs lots — c'est pourtant ce que le camarade a fait lui-même, sans aucun terrain.</w:t>
      </w:r>
    </w:p>
    <w:p>
      <w:pPr>
        <w:pStyle w:val="Heading2"/>
      </w:pPr>
      <w:r>
        <w:t>1.2 Test sur Écouen (95205), ventes 2025</w:t>
      </w:r>
    </w:p>
    <w:tbl>
      <w:tblPr>
        <w:tblStyle w:val="TableGrid"/>
        <w:tblW w:type="auto" w:w="0"/>
        <w:tblLook w:firstColumn="1" w:firstRow="1" w:lastColumn="0" w:lastRow="0" w:noHBand="0" w:noVBand="1" w:val="04A0"/>
      </w:tblPr>
      <w:tblGrid>
        <w:gridCol w:w="4706"/>
        <w:gridCol w:w="4706"/>
      </w:tblGrid>
      <w:tr>
        <w:tc>
          <w:tcPr>
            <w:tcW w:type="dxa" w:w="4706"/>
          </w:tcPr>
          <w:p>
            <w:r>
              <w:rPr>
                <w:b/>
              </w:rPr>
              <w:t>Indicateur</w:t>
            </w:r>
          </w:p>
        </w:tc>
        <w:tc>
          <w:tcPr>
            <w:tcW w:type="dxa" w:w="4706"/>
          </w:tcPr>
          <w:p>
            <w:r>
              <w:rPr>
                <w:b/>
              </w:rPr>
              <w:t>Valeur</w:t>
            </w:r>
          </w:p>
        </w:tc>
      </w:tr>
      <w:tr>
        <w:tc>
          <w:tcPr>
            <w:tcW w:type="dxa" w:w="4706"/>
          </w:tcPr>
          <w:p>
            <w:r>
              <w:t>Ventes de maisons</w:t>
            </w:r>
          </w:p>
        </w:tc>
        <w:tc>
          <w:tcPr>
            <w:tcW w:type="dxa" w:w="4706"/>
          </w:tcPr>
          <w:p>
            <w:r>
              <w:t>38</w:t>
            </w:r>
          </w:p>
        </w:tc>
      </w:tr>
      <w:tr>
        <w:tc>
          <w:tcPr>
            <w:tcW w:type="dxa" w:w="4706"/>
          </w:tcPr>
          <w:p>
            <w:r>
              <w:t>Prix médian des maisons</w:t>
            </w:r>
          </w:p>
        </w:tc>
        <w:tc>
          <w:tcPr>
            <w:tcW w:type="dxa" w:w="4706"/>
          </w:tcPr>
          <w:p>
            <w:r>
              <w:t>3 437 €/m²</w:t>
            </w:r>
          </w:p>
        </w:tc>
      </w:tr>
      <w:tr>
        <w:tc>
          <w:tcPr>
            <w:tcW w:type="dxa" w:w="4706"/>
          </w:tcPr>
          <w:p>
            <w:r>
              <w:t>Ventes d'appartements</w:t>
            </w:r>
          </w:p>
        </w:tc>
        <w:tc>
          <w:tcPr>
            <w:tcW w:type="dxa" w:w="4706"/>
          </w:tcPr>
          <w:p>
            <w:r>
              <w:t>51</w:t>
            </w:r>
          </w:p>
        </w:tc>
      </w:tr>
      <w:tr>
        <w:tc>
          <w:tcPr>
            <w:tcW w:type="dxa" w:w="4706"/>
          </w:tcPr>
          <w:p>
            <w:r>
              <w:t>Prix médian des appartements</w:t>
            </w:r>
          </w:p>
        </w:tc>
        <w:tc>
          <w:tcPr>
            <w:tcW w:type="dxa" w:w="4706"/>
          </w:tcPr>
          <w:p>
            <w:r>
              <w:t>2 687 €/m²</w:t>
            </w:r>
          </w:p>
        </w:tc>
      </w:tr>
      <w:tr>
        <w:tc>
          <w:tcPr>
            <w:tcW w:type="dxa" w:w="4706"/>
          </w:tcPr>
          <w:p>
            <w:r>
              <w:t>Écart interquartile — maisons</w:t>
            </w:r>
          </w:p>
        </w:tc>
        <w:tc>
          <w:tcPr>
            <w:tcW w:type="dxa" w:w="4706"/>
          </w:tcPr>
          <w:p>
            <w:r>
              <w:t>3 166 €/m² à 3 961 €/m²</w:t>
            </w:r>
          </w:p>
        </w:tc>
      </w:tr>
      <w:tr>
        <w:tc>
          <w:tcPr>
            <w:tcW w:type="dxa" w:w="4706"/>
          </w:tcPr>
          <w:p>
            <w:r>
              <w:t>Écart interquartile — appartements</w:t>
            </w:r>
          </w:p>
        </w:tc>
        <w:tc>
          <w:tcPr>
            <w:tcW w:type="dxa" w:w="4706"/>
          </w:tcPr>
          <w:p>
            <w:r>
              <w:t>2 238 €/m² à 3 240 €/m²</w:t>
            </w:r>
          </w:p>
        </w:tc>
      </w:tr>
    </w:tbl>
    <w:p>
      <w:r>
        <w:t>Effet de la taille du logement sur le prix au mètre carré, mêmes données :</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Surface</w:t>
            </w:r>
          </w:p>
        </w:tc>
        <w:tc>
          <w:tcPr>
            <w:tcW w:type="dxa" w:w="3137"/>
          </w:tcPr>
          <w:p>
            <w:r>
              <w:rPr>
                <w:b/>
              </w:rPr>
              <w:t>Ventes</w:t>
            </w:r>
          </w:p>
        </w:tc>
        <w:tc>
          <w:tcPr>
            <w:tcW w:type="dxa" w:w="3137"/>
          </w:tcPr>
          <w:p>
            <w:r>
              <w:rPr>
                <w:b/>
              </w:rPr>
              <w:t>Prix médian au m²</w:t>
            </w:r>
          </w:p>
        </w:tc>
      </w:tr>
      <w:tr>
        <w:tc>
          <w:tcPr>
            <w:tcW w:type="dxa" w:w="3137"/>
          </w:tcPr>
          <w:p>
            <w:r>
              <w:t>Moins de 45 m²</w:t>
            </w:r>
          </w:p>
        </w:tc>
        <w:tc>
          <w:tcPr>
            <w:tcW w:type="dxa" w:w="3137"/>
          </w:tcPr>
          <w:p>
            <w:r>
              <w:t>12</w:t>
            </w:r>
          </w:p>
        </w:tc>
        <w:tc>
          <w:tcPr>
            <w:tcW w:type="dxa" w:w="3137"/>
          </w:tcPr>
          <w:p>
            <w:r>
              <w:t>3 828 €/m²</w:t>
            </w:r>
          </w:p>
        </w:tc>
      </w:tr>
      <w:tr>
        <w:tc>
          <w:tcPr>
            <w:tcW w:type="dxa" w:w="3137"/>
          </w:tcPr>
          <w:p>
            <w:r>
              <w:t>45 à 70 m²</w:t>
            </w:r>
          </w:p>
        </w:tc>
        <w:tc>
          <w:tcPr>
            <w:tcW w:type="dxa" w:w="3137"/>
          </w:tcPr>
          <w:p>
            <w:r>
              <w:t>29</w:t>
            </w:r>
          </w:p>
        </w:tc>
        <w:tc>
          <w:tcPr>
            <w:tcW w:type="dxa" w:w="3137"/>
          </w:tcPr>
          <w:p>
            <w:r>
              <w:t>3 030 €/m²</w:t>
            </w:r>
          </w:p>
        </w:tc>
      </w:tr>
      <w:tr>
        <w:tc>
          <w:tcPr>
            <w:tcW w:type="dxa" w:w="3137"/>
          </w:tcPr>
          <w:p>
            <w:r>
              <w:t>70 à 100 m²</w:t>
            </w:r>
          </w:p>
        </w:tc>
        <w:tc>
          <w:tcPr>
            <w:tcW w:type="dxa" w:w="3137"/>
          </w:tcPr>
          <w:p>
            <w:r>
              <w:t>33</w:t>
            </w:r>
          </w:p>
        </w:tc>
        <w:tc>
          <w:tcPr>
            <w:tcW w:type="dxa" w:w="3137"/>
          </w:tcPr>
          <w:p>
            <w:r>
              <w:t>2 716 €/m²</w:t>
            </w:r>
          </w:p>
        </w:tc>
      </w:tr>
      <w:tr>
        <w:tc>
          <w:tcPr>
            <w:tcW w:type="dxa" w:w="3137"/>
          </w:tcPr>
          <w:p>
            <w:r>
              <w:t>Plus de 100 m²</w:t>
            </w:r>
          </w:p>
        </w:tc>
        <w:tc>
          <w:tcPr>
            <w:tcW w:type="dxa" w:w="3137"/>
          </w:tcPr>
          <w:p>
            <w:r>
              <w:t>15</w:t>
            </w:r>
          </w:p>
        </w:tc>
        <w:tc>
          <w:tcPr>
            <w:tcW w:type="dxa" w:w="3137"/>
          </w:tcPr>
          <w:p>
            <w:r>
              <w:t>2 720 €/m²</w:t>
            </w:r>
          </w:p>
        </w:tc>
      </w:tr>
    </w:tbl>
    <w:p>
      <w:pPr>
        <w:pStyle w:val="Heading2"/>
      </w:pPr>
      <w:r>
        <w:t>1.3 Simulation du montage en quatre lots, à Écouen</w:t>
      </w:r>
    </w:p>
    <w:tbl>
      <w:tblPr>
        <w:tblStyle w:val="TableGrid"/>
        <w:tblW w:type="auto" w:w="0"/>
        <w:tblLook w:firstColumn="1" w:firstRow="1" w:lastColumn="0" w:lastRow="0" w:noHBand="0" w:noVBand="1" w:val="04A0"/>
      </w:tblPr>
      <w:tblGrid>
        <w:gridCol w:w="4706"/>
        <w:gridCol w:w="4706"/>
      </w:tblGrid>
      <w:tr>
        <w:tc>
          <w:tcPr>
            <w:tcW w:type="dxa" w:w="4706"/>
          </w:tcPr>
          <w:p>
            <w:r>
              <w:rPr>
                <w:b/>
              </w:rPr>
              <w:t>Poste</w:t>
            </w:r>
          </w:p>
        </w:tc>
        <w:tc>
          <w:tcPr>
            <w:tcW w:type="dxa" w:w="4706"/>
          </w:tcPr>
          <w:p>
            <w:r>
              <w:rPr>
                <w:b/>
              </w:rPr>
              <w:t>Montant</w:t>
            </w:r>
          </w:p>
        </w:tc>
      </w:tr>
      <w:tr>
        <w:tc>
          <w:tcPr>
            <w:tcW w:type="dxa" w:w="4706"/>
          </w:tcPr>
          <w:p>
            <w:r>
              <w:t>Achat d'une maison de 104 m² à 3 302 €/m²</w:t>
            </w:r>
          </w:p>
        </w:tc>
        <w:tc>
          <w:tcPr>
            <w:tcW w:type="dxa" w:w="4706"/>
          </w:tcPr>
          <w:p>
            <w:r>
              <w:t>343 408 €</w:t>
            </w:r>
          </w:p>
        </w:tc>
      </w:tr>
      <w:tr>
        <w:tc>
          <w:tcPr>
            <w:tcW w:type="dxa" w:w="4706"/>
          </w:tcPr>
          <w:p>
            <w:r>
              <w:t>Revente en 4 lots de 26 m² à 3 828 €/m²</w:t>
            </w:r>
          </w:p>
        </w:tc>
        <w:tc>
          <w:tcPr>
            <w:tcW w:type="dxa" w:w="4706"/>
          </w:tcPr>
          <w:p>
            <w:r>
              <w:t>398 112 €</w:t>
            </w:r>
          </w:p>
        </w:tc>
      </w:tr>
      <w:tr>
        <w:tc>
          <w:tcPr>
            <w:tcW w:type="dxa" w:w="4706"/>
          </w:tcPr>
          <w:p>
            <w:r>
              <w:t>Gain de valorisation brut</w:t>
            </w:r>
          </w:p>
        </w:tc>
        <w:tc>
          <w:tcPr>
            <w:tcW w:type="dxa" w:w="4706"/>
          </w:tcPr>
          <w:p>
            <w:r>
              <w:t>+ 54 704 €</w:t>
            </w:r>
          </w:p>
        </w:tc>
      </w:tr>
      <w:tr>
        <w:tc>
          <w:tcPr>
            <w:tcW w:type="dxa" w:w="4706"/>
          </w:tcPr>
          <w:p>
            <w:r>
              <w:t>Travaux de division (4 cuisines, 4 salles d'eau, réseaux, portes, architecte, notaire, règlement de copropriété)</w:t>
            </w:r>
          </w:p>
        </w:tc>
        <w:tc>
          <w:tcPr>
            <w:tcW w:type="dxa" w:w="4706"/>
          </w:tcPr>
          <w:p>
            <w:r>
              <w:t>100 000 € à 200 000 €</w:t>
            </w:r>
          </w:p>
        </w:tc>
      </w:tr>
      <w:tr>
        <w:tc>
          <w:tcPr>
            <w:tcW w:type="dxa" w:w="4706"/>
          </w:tcPr>
          <w:p>
            <w:r>
              <w:t>Résultat</w:t>
            </w:r>
          </w:p>
        </w:tc>
        <w:tc>
          <w:tcPr>
            <w:tcW w:type="dxa" w:w="4706"/>
          </w:tcPr>
          <w:p>
            <w:r>
              <w:t>Fortement négatif</w:t>
            </w:r>
          </w:p>
        </w:tc>
      </w:tr>
    </w:tbl>
    <w:p>
      <w:r>
        <w:t>Le montage décrit par le camarade ne fonctionne pas à Écouen. Il fonctionne à Paris intra-muros, où une maison vaut environ 9 000 €/m² quand un 25 m² de qualité se vend au-delà de 13 000 €/m² : l'écart absorbe le coût des travaux. En banlieue pavillonnaire, l'écart observé est de l'ordre de 500 €/m², ce qui ne couvre même pas le cloisonnement.</w:t>
      </w:r>
    </w:p>
    <w:p>
      <w:pPr>
        <w:pStyle w:val="Heading1"/>
      </w:pPr>
      <w:r>
        <w:t>2. Le vrai levier</w:t>
      </w:r>
    </w:p>
    <w:p>
      <w:r>
        <w:t>Le levier réel n'est pas le terrain. C'est le nombre d'unités locatives par euro investi, et le régime fiscal applicable.</w:t>
      </w:r>
    </w:p>
    <w:p>
      <w:pPr>
        <w:pStyle w:val="ListNumber"/>
      </w:pPr>
      <w:r>
        <w:t>Nombre d'unités — diviser, convertir des combles, aménager un garage, exploiter une dépendance. Aucun terrain n'est nécessaire : le montage du camarade le démontre.</w:t>
      </w:r>
    </w:p>
    <w:p>
      <w:pPr>
        <w:pStyle w:val="ListNumber"/>
      </w:pPr>
      <w:r>
        <w:t>Écart à l'entrée — acheter au mètre carré bas, relouer ou revendre au mètre carré haut.</w:t>
      </w:r>
    </w:p>
    <w:p>
      <w:pPr>
        <w:pStyle w:val="ListNumber"/>
      </w:pPr>
      <w:r>
        <w:t>Régime fiscal — déterminant, et généralement ignoré.</w:t>
      </w:r>
    </w:p>
    <w:p>
      <w:r>
        <w:t>Sur le régime fiscal, trois dispositifs distincts s'appliquent au même immeuble :</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Régime</w:t>
            </w:r>
          </w:p>
        </w:tc>
        <w:tc>
          <w:tcPr>
            <w:tcW w:type="dxa" w:w="3137"/>
          </w:tcPr>
          <w:p>
            <w:r>
              <w:rPr>
                <w:b/>
              </w:rPr>
              <w:t>Fiscalité</w:t>
            </w:r>
          </w:p>
        </w:tc>
        <w:tc>
          <w:tcPr>
            <w:tcW w:type="dxa" w:w="3137"/>
          </w:tcPr>
          <w:p>
            <w:r>
              <w:rPr>
                <w:b/>
              </w:rPr>
              <w:t>Amortissement</w:t>
            </w:r>
          </w:p>
        </w:tc>
      </w:tr>
      <w:tr>
        <w:tc>
          <w:tcPr>
            <w:tcW w:type="dxa" w:w="3137"/>
          </w:tcPr>
          <w:p>
            <w:r>
              <w:t>Location nue — revenus fonciers</w:t>
            </w:r>
          </w:p>
        </w:tc>
        <w:tc>
          <w:tcPr>
            <w:tcW w:type="dxa" w:w="3137"/>
          </w:tcPr>
          <w:p>
            <w:r>
              <w:t>Prélèvements sociaux 17,2 %</w:t>
            </w:r>
          </w:p>
        </w:tc>
        <w:tc>
          <w:tcPr>
            <w:tcW w:type="dxa" w:w="3137"/>
          </w:tcPr>
          <w:p>
            <w:r>
              <w:t>Aucun</w:t>
            </w:r>
          </w:p>
        </w:tc>
      </w:tr>
      <w:tr>
        <w:tc>
          <w:tcPr>
            <w:tcW w:type="dxa" w:w="3137"/>
          </w:tcPr>
          <w:p>
            <w:r>
              <w:t>Location meublée — LMNP / BIC</w:t>
            </w:r>
          </w:p>
        </w:tc>
        <w:tc>
          <w:tcPr>
            <w:tcW w:type="dxa" w:w="3137"/>
          </w:tcPr>
          <w:p>
            <w:r>
              <w:t>Amortissement du bien</w:t>
            </w:r>
          </w:p>
        </w:tc>
        <w:tc>
          <w:tcPr>
            <w:tcW w:type="dxa" w:w="3137"/>
          </w:tcPr>
          <w:p>
            <w:r>
              <w:t>Oui, revenu imposable souvent quasi nul</w:t>
            </w:r>
          </w:p>
        </w:tc>
      </w:tr>
      <w:tr>
        <w:tc>
          <w:tcPr>
            <w:tcW w:type="dxa" w:w="3137"/>
          </w:tcPr>
          <w:p>
            <w:r>
              <w:t>Déficit foncier</w:t>
            </w:r>
          </w:p>
        </w:tc>
        <w:tc>
          <w:tcPr>
            <w:tcW w:type="dxa" w:w="3137"/>
          </w:tcPr>
          <w:p>
            <w:r>
              <w:t>Travaux imputables sur le revenu global jusqu'à 10 700 €/an</w:t>
            </w:r>
          </w:p>
        </w:tc>
        <w:tc>
          <w:tcPr>
            <w:tcW w:type="dxa" w:w="3137"/>
          </w:tcPr>
          <w:p>
            <w:r>
              <w:t>S'applique aux travaux</w:t>
            </w:r>
          </w:p>
        </w:tc>
      </w:tr>
    </w:tbl>
    <w:p>
      <w:r>
        <w:t>Le déficit foncier se déduit du revenu global, et non des seuls loyers. Au taux marginal d'un contribuable fortement imposé, une rénovation coûte donc son prix moins l'impôt non payé. Sur les travaux qu'exige une division, c'est le poste qui peut changer le signe de l'opération. Ce mécanisme est ici décrit à titre d'information ; les plafonds, conditions et réformes récentes exigent la validation d'un expert-comptable.</w:t>
      </w:r>
    </w:p>
    <w:p>
      <w:pPr>
        <w:pStyle w:val="Heading1"/>
      </w:pPr>
      <w:r>
        <w:t>3. L'idée de produit</w:t>
      </w:r>
    </w:p>
    <w:p>
      <w:r>
        <w:t>Proposition étudiée : créer un agent d'intelligence artificielle spécialisé dans l'achat immobilier, distribué sous licence à des utilisateurs — l'agent recherche des biens pour le compte du client, prépare les démarches, et l'accompagne jusqu'à l'acquisition.</w:t>
      </w:r>
    </w:p>
    <w:p>
      <w:r>
        <w:t>Après analyse, la forme initialement envisagée ne tient pas. Une forme voisine est en revanche viable. Les raisons figurent aux sections 4 à 7.</w:t>
      </w:r>
    </w:p>
    <w:p>
      <w:pPr>
        <w:pStyle w:val="Heading1"/>
      </w:pPr>
      <w:r>
        <w:t>4. Architecture proposée</w:t>
      </w:r>
    </w:p>
    <w:p>
      <w:r>
        <w:t>Quatre couches, dont la troisième constitue le cœur fonctionnel.</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Couche</w:t>
            </w:r>
          </w:p>
        </w:tc>
        <w:tc>
          <w:tcPr>
            <w:tcW w:type="dxa" w:w="3137"/>
          </w:tcPr>
          <w:p>
            <w:r>
              <w:rPr>
                <w:b/>
              </w:rPr>
              <w:t>Contenu</w:t>
            </w:r>
          </w:p>
        </w:tc>
        <w:tc>
          <w:tcPr>
            <w:tcW w:type="dxa" w:w="3137"/>
          </w:tcPr>
          <w:p>
            <w:r>
              <w:rPr>
                <w:b/>
              </w:rPr>
              <w:t>Rôle</w:t>
            </w:r>
          </w:p>
        </w:tc>
      </w:tr>
      <w:tr>
        <w:tc>
          <w:tcPr>
            <w:tcW w:type="dxa" w:w="3137"/>
          </w:tcPr>
          <w:p>
            <w:r>
              <w:t>1 — Données ouvertes</w:t>
            </w:r>
          </w:p>
        </w:tc>
        <w:tc>
          <w:tcPr>
            <w:tcW w:type="dxa" w:w="3137"/>
          </w:tcPr>
          <w:p>
            <w:r>
              <w:t>DVF (ventes signées), cadastre IGN, BAN, PLU, DPE/ADEME, carte des loyers</w:t>
            </w:r>
          </w:p>
        </w:tc>
        <w:tc>
          <w:tcPr>
            <w:tcW w:type="dxa" w:w="3137"/>
          </w:tcPr>
          <w:p>
            <w:r>
              <w:t>Gratuit, officiel, vérifiable. Aucune dépendance à un portail.</w:t>
            </w:r>
          </w:p>
        </w:tc>
      </w:tr>
      <w:tr>
        <w:tc>
          <w:tcPr>
            <w:tcW w:type="dxa" w:w="3137"/>
          </w:tcPr>
          <w:p>
            <w:r>
              <w:t>2 — Annonces fournies par le client</w:t>
            </w:r>
          </w:p>
        </w:tc>
        <w:tc>
          <w:tcPr>
            <w:tcW w:type="dxa" w:w="3137"/>
          </w:tcPr>
          <w:p>
            <w:r>
              <w:t>Le professionnel colle le lien ou le texte de l'annonce</w:t>
            </w:r>
          </w:p>
        </w:tc>
        <w:tc>
          <w:tcPr>
            <w:tcW w:type="dxa" w:w="3137"/>
          </w:tcPr>
          <w:p>
            <w:r>
              <w:t>Zéro extraction, zéro scraping, zéro risque juridique.</w:t>
            </w:r>
          </w:p>
        </w:tc>
      </w:tr>
      <w:tr>
        <w:tc>
          <w:tcPr>
            <w:tcW w:type="dxa" w:w="3137"/>
          </w:tcPr>
          <w:p>
            <w:r>
              <w:t>3 — Le moteur</w:t>
            </w:r>
          </w:p>
        </w:tc>
        <w:tc>
          <w:tcPr>
            <w:tcW w:type="dxa" w:w="3137"/>
          </w:tcPr>
          <w:p>
            <w:r>
              <w:t>Comparables de la rue, verdict sur le prix demandé, constructibilité, simulation locative, fiscalité, cash-flow après impôt</w:t>
            </w:r>
          </w:p>
        </w:tc>
        <w:tc>
          <w:tcPr>
            <w:tcW w:type="dxa" w:w="3137"/>
          </w:tcPr>
          <w:p>
            <w:r>
              <w:t>C'est ici que le travail est fait.</w:t>
            </w:r>
          </w:p>
        </w:tc>
      </w:tr>
      <w:tr>
        <w:tc>
          <w:tcPr>
            <w:tcW w:type="dxa" w:w="3137"/>
          </w:tcPr>
          <w:p>
            <w:r>
              <w:t>4 — Livraison</w:t>
            </w:r>
          </w:p>
        </w:tc>
        <w:tc>
          <w:tcPr>
            <w:tcW w:type="dxa" w:w="3137"/>
          </w:tcPr>
          <w:p>
            <w:r>
              <w:t>Dossier PDF par bien, tableau de suivi des mandats, alertes de seuil</w:t>
            </w:r>
          </w:p>
        </w:tc>
        <w:tc>
          <w:tcPr>
            <w:tcW w:type="dxa" w:w="3137"/>
          </w:tcPr>
          <w:p>
            <w:r>
              <w:t>Restitution exploitable.</w:t>
            </w:r>
          </w:p>
        </w:tc>
      </w:tr>
    </w:tbl>
    <w:p>
      <w:r>
        <w:t>Point de conception déterminant : l'outil est construit pour pouvoir dire non. Un outil d'aide à la décision incapable de rejeter une opération devient un mécanisme de validation des décisions déjà prises. Il trouvera toujours des comparables, et modélisera toujours un scénario favorable. Cette capacité de refus est la condition de son utilité.</w:t>
      </w:r>
    </w:p>
    <w:p>
      <w:pPr>
        <w:pStyle w:val="Heading1"/>
      </w:pPr>
      <w:r>
        <w:t>5. Réalité du marché, chiffres 2026</w:t>
      </w:r>
    </w:p>
    <w:p>
      <w:pPr>
        <w:pStyle w:val="Heading2"/>
      </w:pPr>
      <w:r>
        <w:t>5.1 Segments adressables</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Segment</w:t>
            </w:r>
          </w:p>
        </w:tc>
        <w:tc>
          <w:tcPr>
            <w:tcW w:type="dxa" w:w="3137"/>
          </w:tcPr>
          <w:p>
            <w:r>
              <w:rPr>
                <w:b/>
              </w:rPr>
              <w:t>Taille en France</w:t>
            </w:r>
          </w:p>
        </w:tc>
        <w:tc>
          <w:tcPr>
            <w:tcW w:type="dxa" w:w="3137"/>
          </w:tcPr>
          <w:p>
            <w:r>
              <w:rPr>
                <w:b/>
              </w:rPr>
              <w:t>Commentaire</w:t>
            </w:r>
          </w:p>
        </w:tc>
      </w:tr>
      <w:tr>
        <w:tc>
          <w:tcPr>
            <w:tcW w:type="dxa" w:w="3137"/>
          </w:tcPr>
          <w:p>
            <w:r>
              <w:t>Chasseurs immobiliers</w:t>
            </w:r>
          </w:p>
        </w:tc>
        <w:tc>
          <w:tcPr>
            <w:tcW w:type="dxa" w:w="3137"/>
          </w:tcPr>
          <w:p>
            <w:r>
              <w:t>Environ 200 à 300</w:t>
            </w:r>
          </w:p>
        </w:tc>
        <w:tc>
          <w:tcPr>
            <w:tcW w:type="dxa" w:w="3137"/>
          </w:tcPr>
          <w:p>
            <w:r>
              <w:t>Marché de niche. Le plus gros réseau en revendique 160.</w:t>
            </w:r>
          </w:p>
        </w:tc>
      </w:tr>
      <w:tr>
        <w:tc>
          <w:tcPr>
            <w:tcW w:type="dxa" w:w="3137"/>
          </w:tcPr>
          <w:p>
            <w:r>
              <w:t>Agents immobiliers</w:t>
            </w:r>
          </w:p>
        </w:tc>
        <w:tc>
          <w:tcPr>
            <w:tcW w:type="dxa" w:w="3137"/>
          </w:tcPr>
          <w:p>
            <w:r>
              <w:t>Dizaines de milliers</w:t>
            </w:r>
          </w:p>
        </w:tc>
        <w:tc>
          <w:tcPr>
            <w:tcW w:type="dxa" w:w="3137"/>
          </w:tcPr>
          <w:p>
            <w:r>
              <w:t>Disposent déjà des portails et d'un CRM.</w:t>
            </w:r>
          </w:p>
        </w:tc>
      </w:tr>
      <w:tr>
        <w:tc>
          <w:tcPr>
            <w:tcW w:type="dxa" w:w="3137"/>
          </w:tcPr>
          <w:p>
            <w:r>
              <w:t>Conseillers en gestion de patrimoine</w:t>
            </w:r>
          </w:p>
        </w:tc>
        <w:tc>
          <w:tcPr>
            <w:tcW w:type="dxa" w:w="3137"/>
          </w:tcPr>
          <w:p>
            <w:r>
              <w:t>Dizaines de milliers</w:t>
            </w:r>
          </w:p>
        </w:tc>
        <w:tc>
          <w:tcPr>
            <w:tcW w:type="dxa" w:w="3137"/>
          </w:tcPr>
          <w:p>
            <w:r>
              <w:t>Conseillent sur l'investissement locatif.</w:t>
            </w:r>
          </w:p>
        </w:tc>
      </w:tr>
    </w:tbl>
    <w:p>
      <w:r>
        <w:t>Corollaire : en retenant 100 % du marché des chasseurs, le chiffre d'affaires potentiel annuel se situe autour d'un million d'euros. Ce n'est pas un marché de capital-risque, c'est un business rentable à taille humaine.</w:t>
      </w:r>
    </w:p>
    <w:p>
      <w:pPr>
        <w:pStyle w:val="Heading2"/>
      </w:pPr>
      <w:r>
        <w:t>5.2 Prix du marché logiciel</w:t>
      </w:r>
    </w:p>
    <w:tbl>
      <w:tblPr>
        <w:tblStyle w:val="TableGrid"/>
        <w:tblW w:type="auto" w:w="0"/>
        <w:tblLook w:firstColumn="1" w:firstRow="1" w:lastColumn="0" w:lastRow="0" w:noHBand="0" w:noVBand="1" w:val="04A0"/>
      </w:tblPr>
      <w:tblGrid>
        <w:gridCol w:w="4706"/>
        <w:gridCol w:w="4706"/>
      </w:tblGrid>
      <w:tr>
        <w:tc>
          <w:tcPr>
            <w:tcW w:type="dxa" w:w="4706"/>
          </w:tcPr>
          <w:p>
            <w:r>
              <w:rPr>
                <w:b/>
              </w:rPr>
              <w:t>Configuration</w:t>
            </w:r>
          </w:p>
        </w:tc>
        <w:tc>
          <w:tcPr>
            <w:tcW w:type="dxa" w:w="4706"/>
          </w:tcPr>
          <w:p>
            <w:r>
              <w:rPr>
                <w:b/>
              </w:rPr>
              <w:t>Prix mensuel observé</w:t>
            </w:r>
          </w:p>
        </w:tc>
      </w:tr>
      <w:tr>
        <w:tc>
          <w:tcPr>
            <w:tcW w:type="dxa" w:w="4706"/>
          </w:tcPr>
          <w:p>
            <w:r>
              <w:t>Mandataire seul</w:t>
            </w:r>
          </w:p>
        </w:tc>
        <w:tc>
          <w:tcPr>
            <w:tcW w:type="dxa" w:w="4706"/>
          </w:tcPr>
          <w:p>
            <w:r>
              <w:t>49 à 150 €</w:t>
            </w:r>
          </w:p>
        </w:tc>
      </w:tr>
      <w:tr>
        <w:tc>
          <w:tcPr>
            <w:tcW w:type="dxa" w:w="4706"/>
          </w:tcPr>
          <w:p>
            <w:r>
              <w:t>Agence de 5 personnes</w:t>
            </w:r>
          </w:p>
        </w:tc>
        <w:tc>
          <w:tcPr>
            <w:tcW w:type="dxa" w:w="4706"/>
          </w:tcPr>
          <w:p>
            <w:r>
              <w:t>99 à 139 €</w:t>
            </w:r>
          </w:p>
        </w:tc>
      </w:tr>
      <w:tr>
        <w:tc>
          <w:tcPr>
            <w:tcW w:type="dxa" w:w="4706"/>
          </w:tcPr>
          <w:p>
            <w:r>
              <w:t>Agence multi-sites</w:t>
            </w:r>
          </w:p>
        </w:tc>
        <w:tc>
          <w:tcPr>
            <w:tcW w:type="dxa" w:w="4706"/>
          </w:tcPr>
          <w:p>
            <w:r>
              <w:t>800 € et plus</w:t>
            </w:r>
          </w:p>
        </w:tc>
      </w:tr>
    </w:tbl>
    <w:p>
      <w:r>
        <w:t>Une hypothèse tarifaire initiale de 290 €/mois pour un professionnel indépendant a été écartée après relevé : elle se situe au-dessus du marché. Fourchette retenue : 120 à 180 €/mois.</w:t>
      </w:r>
    </w:p>
    <w:p>
      <w:pPr>
        <w:pStyle w:val="Heading2"/>
      </w:pPr>
      <w:r>
        <w:t>5.3 Trois scénarios</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Scénario</w:t>
            </w:r>
          </w:p>
        </w:tc>
        <w:tc>
          <w:tcPr>
            <w:tcW w:type="dxa" w:w="3137"/>
          </w:tcPr>
          <w:p>
            <w:r>
              <w:rPr>
                <w:b/>
              </w:rPr>
              <w:t>Hypothèse</w:t>
            </w:r>
          </w:p>
        </w:tc>
        <w:tc>
          <w:tcPr>
            <w:tcW w:type="dxa" w:w="3137"/>
          </w:tcPr>
          <w:p>
            <w:r>
              <w:rPr>
                <w:b/>
              </w:rPr>
              <w:t>Chiffre d'affaires</w:t>
            </w:r>
          </w:p>
        </w:tc>
      </w:tr>
      <w:tr>
        <w:tc>
          <w:tcPr>
            <w:tcW w:type="dxa" w:w="3137"/>
          </w:tcPr>
          <w:p>
            <w:r>
              <w:t>A — chasseurs seuls</w:t>
            </w:r>
          </w:p>
        </w:tc>
        <w:tc>
          <w:tcPr>
            <w:tcW w:type="dxa" w:w="3137"/>
          </w:tcPr>
          <w:p>
            <w:r>
              <w:t>20 cabinets × 150 €/mois</w:t>
            </w:r>
          </w:p>
        </w:tc>
        <w:tc>
          <w:tcPr>
            <w:tcW w:type="dxa" w:w="3137"/>
          </w:tcPr>
          <w:p>
            <w:r>
              <w:t>3 000 €/mois — 36 k€/an</w:t>
            </w:r>
          </w:p>
        </w:tc>
      </w:tr>
      <w:tr>
        <w:tc>
          <w:tcPr>
            <w:tcW w:type="dxa" w:w="3137"/>
          </w:tcPr>
          <w:p>
            <w:r>
              <w:t>B — chasseurs et CGP</w:t>
            </w:r>
          </w:p>
        </w:tc>
        <w:tc>
          <w:tcPr>
            <w:tcW w:type="dxa" w:w="3137"/>
          </w:tcPr>
          <w:p>
            <w:r>
              <w:t>30 × 150 € + 100 × 120 €</w:t>
            </w:r>
          </w:p>
        </w:tc>
        <w:tc>
          <w:tcPr>
            <w:tcW w:type="dxa" w:w="3137"/>
          </w:tcPr>
          <w:p>
            <w:r>
              <w:t>16 500 €/mois — 198 k€/an</w:t>
            </w:r>
          </w:p>
        </w:tc>
      </w:tr>
      <w:tr>
        <w:tc>
          <w:tcPr>
            <w:tcW w:type="dxa" w:w="3137"/>
          </w:tcPr>
          <w:p>
            <w:r>
              <w:t>C — marque blanche pour un éditeur de CRM</w:t>
            </w:r>
          </w:p>
        </w:tc>
        <w:tc>
          <w:tcPr>
            <w:tcW w:type="dxa" w:w="3137"/>
          </w:tcPr>
          <w:p>
            <w:r>
              <w:t>1 intégration × 5 000 €/mois</w:t>
            </w:r>
          </w:p>
        </w:tc>
        <w:tc>
          <w:tcPr>
            <w:tcW w:type="dxa" w:w="3137"/>
          </w:tcPr>
          <w:p>
            <w:r>
              <w:t>5 000 €/mois — 60 k€/an</w:t>
            </w:r>
          </w:p>
        </w:tc>
      </w:tr>
    </w:tbl>
    <w:p>
      <w:r>
        <w:t>Les taux de conversion sous-jacents n'ont pas été validés. Ces chiffres sont des hypothèses de travail.</w:t>
      </w:r>
    </w:p>
    <w:p>
      <w:pPr>
        <w:pStyle w:val="Heading1"/>
      </w:pPr>
      <w:r>
        <w:t>6. Les deux contraintes juridiques</w:t>
      </w:r>
    </w:p>
    <w:p>
      <w:pPr>
        <w:pStyle w:val="Heading2"/>
      </w:pPr>
      <w:r>
        <w:t>6.1 Loi Hoguet — sanction pénale</w:t>
      </w:r>
    </w:p>
    <w:p>
      <w:r>
        <w:t>Article 14 de la loi n° 70-9 du 2 janvier 1970 : « Est puni de six mois d'emprisonnement et de 7 500 euros d'amende le fait de se livrer ou prêter son concours, d'une manière habituelle, même à titre accessoire, à des opérations visées à l'article 1er sans être titulaire de la carte professionnelle. »</w:t>
      </w:r>
    </w:p>
    <w:p>
      <w:r>
        <w:t>Les termes « prêter son concours » et « même à titre accessoire » fondent la contrainte de conception. Rechercher un bien pour un client et préparer ses démarches relève de cette qualification. La sanction est pénale, et elle vise explicitement l'activité accessoire. Conséquence : le produit doit être un logiciel que le client utilise lui-même, jamais un service d'entremise rendu à sa place. Le client agit, l'outil assiste.</w:t>
      </w:r>
    </w:p>
    <w:p>
      <w:pPr>
        <w:pStyle w:val="Heading2"/>
      </w:pPr>
      <w:r>
        <w:t>6.2 Droit sui generis des bases de données et jurisprudence</w:t>
      </w:r>
    </w:p>
    <w:p>
      <w:r>
        <w:t>L'extraction d'annonces immobilières depuis les portails se heurte moins aux conditions d'utilisation qu'au droit sui generis du producteur de base de données (article L341-1 du Code de la propriété intellectuelle), qui protège les extractions quantitativement ou qualitativement substantielles.</w:t>
      </w:r>
    </w:p>
    <w:p>
      <w:r>
        <w:t>La jurisprudence est récente et chiffrée : le 14 avril 2026, la cour d'appel de Versailles a condamné l'éditeur de l'application Jinka à verser 200 000 euros à Leboncoin, pour avoir extrait et republié ses annonces immobilières. La cour d'appel de Paris a confirmé la même analyse.</w:t>
      </w:r>
    </w:p>
    <w:p>
      <w:r>
        <w:t>Les conditions d'utilisation des portails interdisent par ailleurs l'extraction « à des fins commerciales ou non ». Même un usage personnel constitue donc une violation contractuelle, même si la poursuite d'un particulier isolé est en pratique improbable.</w:t>
      </w:r>
    </w:p>
    <w:p>
      <w:r>
        <w:t>Conclusion : le scraping est techniquement possible, juridiquement sans issue pour un produit commercial, et de toute façon insuffisant, puisque les portails ne couvrent qu'une partie du marché.</w:t>
      </w:r>
    </w:p>
    <w:p>
      <w:pPr>
        <w:pStyle w:val="Heading1"/>
      </w:pPr>
      <w:r>
        <w:t>7. Sources de données — état des accès</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Source</w:t>
            </w:r>
          </w:p>
        </w:tc>
        <w:tc>
          <w:tcPr>
            <w:tcW w:type="dxa" w:w="3137"/>
          </w:tcPr>
          <w:p>
            <w:r>
              <w:rPr>
                <w:b/>
              </w:rPr>
              <w:t>État</w:t>
            </w:r>
          </w:p>
        </w:tc>
        <w:tc>
          <w:tcPr>
            <w:tcW w:type="dxa" w:w="3137"/>
          </w:tcPr>
          <w:p>
            <w:r>
              <w:rPr>
                <w:b/>
              </w:rPr>
              <w:t>Détail</w:t>
            </w:r>
          </w:p>
        </w:tc>
      </w:tr>
      <w:tr>
        <w:tc>
          <w:tcPr>
            <w:tcW w:type="dxa" w:w="3137"/>
          </w:tcPr>
          <w:p>
            <w:r>
              <w:t>DVF — ventes immobilières</w:t>
            </w:r>
          </w:p>
        </w:tc>
        <w:tc>
          <w:tcPr>
            <w:tcW w:type="dxa" w:w="3137"/>
          </w:tcPr>
          <w:p>
            <w:r>
              <w:t>Ouvert</w:t>
            </w:r>
          </w:p>
        </w:tc>
        <w:tc>
          <w:tcPr>
            <w:tcW w:type="dxa" w:w="3137"/>
          </w:tcPr>
          <w:p>
            <w:r>
              <w:t>Fichiers complets par commune et par département, mise à prix et prix d'adjudication inclus pour les enchères.</w:t>
            </w:r>
          </w:p>
        </w:tc>
      </w:tr>
      <w:tr>
        <w:tc>
          <w:tcPr>
            <w:tcW w:type="dxa" w:w="3137"/>
          </w:tcPr>
          <w:p>
            <w:r>
              <w:t>Carte des loyers (ministère)</w:t>
            </w:r>
          </w:p>
        </w:tc>
        <w:tc>
          <w:tcPr>
            <w:tcW w:type="dxa" w:w="3137"/>
          </w:tcPr>
          <w:p>
            <w:r>
              <w:t>Ouvert</w:t>
            </w:r>
          </w:p>
        </w:tc>
        <w:tc>
          <w:tcPr>
            <w:tcW w:type="dxa" w:w="3137"/>
          </w:tcPr>
          <w:p>
            <w:r>
              <w:t>Loyers d'annonce estimés par commune, avec intervalle de confiance et nombre d'observations. Millésimes disponibles jusqu'à 2025.</w:t>
            </w:r>
          </w:p>
        </w:tc>
      </w:tr>
      <w:tr>
        <w:tc>
          <w:tcPr>
            <w:tcW w:type="dxa" w:w="3137"/>
          </w:tcPr>
          <w:p>
            <w:r>
              <w:t>Cadastre IGN / API Carto</w:t>
            </w:r>
          </w:p>
        </w:tc>
        <w:tc>
          <w:tcPr>
            <w:tcW w:type="dxa" w:w="3137"/>
          </w:tcPr>
          <w:p>
            <w:r>
              <w:t>Ouvert</w:t>
            </w:r>
          </w:p>
        </w:tc>
        <w:tc>
          <w:tcPr>
            <w:tcW w:type="dxa" w:w="3137"/>
          </w:tcPr>
          <w:p>
            <w:r>
              <w:t>Parcelles, contenances, bâti.</w:t>
            </w:r>
          </w:p>
        </w:tc>
      </w:tr>
      <w:tr>
        <w:tc>
          <w:tcPr>
            <w:tcW w:type="dxa" w:w="3137"/>
          </w:tcPr>
          <w:p>
            <w:r>
              <w:t>Base Adresse Nationale</w:t>
            </w:r>
          </w:p>
        </w:tc>
        <w:tc>
          <w:tcPr>
            <w:tcW w:type="dxa" w:w="3137"/>
          </w:tcPr>
          <w:p>
            <w:r>
              <w:t>Ouvert</w:t>
            </w:r>
          </w:p>
        </w:tc>
        <w:tc>
          <w:tcPr>
            <w:tcW w:type="dxa" w:w="3137"/>
          </w:tcPr>
          <w:p>
            <w:r>
              <w:t>Géocodage.</w:t>
            </w:r>
          </w:p>
        </w:tc>
      </w:tr>
      <w:tr>
        <w:tc>
          <w:tcPr>
            <w:tcW w:type="dxa" w:w="3137"/>
          </w:tcPr>
          <w:p>
            <w:r>
              <w:t>Géoportail de l'urbanisme</w:t>
            </w:r>
          </w:p>
        </w:tc>
        <w:tc>
          <w:tcPr>
            <w:tcW w:type="dxa" w:w="3137"/>
          </w:tcPr>
          <w:p>
            <w:r>
              <w:t>Ouvert</w:t>
            </w:r>
          </w:p>
        </w:tc>
        <w:tc>
          <w:tcPr>
            <w:tcW w:type="dxa" w:w="3137"/>
          </w:tcPr>
          <w:p>
            <w:r>
              <w:t>Documents de planification.</w:t>
            </w:r>
          </w:p>
        </w:tc>
      </w:tr>
      <w:tr>
        <w:tc>
          <w:tcPr>
            <w:tcW w:type="dxa" w:w="3137"/>
          </w:tcPr>
          <w:p>
            <w:r>
              <w:t>encheres-publiques.com</w:t>
            </w:r>
          </w:p>
        </w:tc>
        <w:tc>
          <w:tcPr>
            <w:tcW w:type="dxa" w:w="3137"/>
          </w:tcPr>
          <w:p>
            <w:r>
              <w:t>Bloqué</w:t>
            </w:r>
          </w:p>
        </w:tc>
        <w:tc>
          <w:tcPr>
            <w:tcW w:type="dxa" w:w="3137"/>
          </w:tcPr>
          <w:p>
            <w:r>
              <w:t>Défi JavaScript Cloudflare sur client HTTP simple. Le site indique par ailleurs refuser explicitement les robots d'IA.</w:t>
            </w:r>
          </w:p>
        </w:tc>
      </w:tr>
      <w:tr>
        <w:tc>
          <w:tcPr>
            <w:tcW w:type="dxa" w:w="3137"/>
          </w:tcPr>
          <w:p>
            <w:r>
              <w:t>interencheres.com</w:t>
            </w:r>
          </w:p>
        </w:tc>
        <w:tc>
          <w:tcPr>
            <w:tcW w:type="dxa" w:w="3137"/>
          </w:tcPr>
          <w:p>
            <w:r>
              <w:t>Bloqué</w:t>
            </w:r>
          </w:p>
        </w:tc>
        <w:tc>
          <w:tcPr>
            <w:tcW w:type="dxa" w:w="3137"/>
          </w:tcPr>
          <w:p>
            <w:r>
              <w:t>Protection Cloudflare identique.</w:t>
            </w:r>
          </w:p>
        </w:tc>
      </w:tr>
      <w:tr>
        <w:tc>
          <w:tcPr>
            <w:tcW w:type="dxa" w:w="3137"/>
          </w:tcPr>
          <w:p>
            <w:r>
              <w:t>immobilier.notaires.fr</w:t>
            </w:r>
          </w:p>
        </w:tc>
        <w:tc>
          <w:tcPr>
            <w:tcW w:type="dxa" w:w="3137"/>
          </w:tcPr>
          <w:p>
            <w:r>
              <w:t>Accessible</w:t>
            </w:r>
          </w:p>
        </w:tc>
        <w:tc>
          <w:tcPr>
            <w:tcW w:type="dxa" w:w="3137"/>
          </w:tcPr>
          <w:p>
            <w:r>
              <w:t>Répond 200, publie un sitemap, page rendue côté navigateur.</w:t>
            </w:r>
          </w:p>
        </w:tc>
      </w:tr>
      <w:tr>
        <w:tc>
          <w:tcPr>
            <w:tcW w:type="dxa" w:w="3137"/>
          </w:tcPr>
          <w:p>
            <w:r>
              <w:t>Portails d'annonces (SeLoger, Leboncoin, Bien'ici)</w:t>
            </w:r>
          </w:p>
        </w:tc>
        <w:tc>
          <w:tcPr>
            <w:tcW w:type="dxa" w:w="3137"/>
          </w:tcPr>
          <w:p>
            <w:r>
              <w:t>Fermé</w:t>
            </w:r>
          </w:p>
        </w:tc>
        <w:tc>
          <w:tcPr>
            <w:tcW w:type="dxa" w:w="3137"/>
          </w:tcPr>
          <w:p>
            <w:r>
              <w:t>Aucune API publique. Protection anti-robot. Accès partenaire réservé aux professionnels titulaires de mandats.</w:t>
            </w:r>
          </w:p>
        </w:tc>
      </w:tr>
    </w:tbl>
    <w:p>
      <w:pPr>
        <w:pStyle w:val="Heading1"/>
      </w:pPr>
      <w:r>
        <w:t>8. Méthode d'analyse appliquée</w:t>
      </w:r>
    </w:p>
    <w:p>
      <w:pPr>
        <w:pStyle w:val="ListNumber"/>
      </w:pPr>
      <w:r>
        <w:t>Extraire les mutations réelles depuis DVF pour le périmètre visé. Regrouper les lignes par identifiant de mutation : une mutation correspond à une vente, plusieurs lignes à plusieurs lots.</w:t>
      </w:r>
    </w:p>
    <w:p>
      <w:pPr>
        <w:pStyle w:val="ListNumber"/>
      </w:pPr>
      <w:r>
        <w:t>Écarter les mutations dont le logement ne représente pas la majorité de la surface déclarée — garages, caves, locaux commerciaux, ventes de quotes-parts. Cette étape est indispensable : sans elle, les prix au mètre carré obtenus sont faux d'un facteur deux.</w:t>
      </w:r>
    </w:p>
    <w:p>
      <w:pPr>
        <w:pStyle w:val="ListNumber"/>
      </w:pPr>
      <w:r>
        <w:t>Contrôler la vraisemblance des résultats à l'échelle départementale avant toute conclusion locale.</w:t>
      </w:r>
    </w:p>
    <w:p>
      <w:pPr>
        <w:pStyle w:val="ListNumber"/>
      </w:pPr>
      <w:r>
        <w:t>Croiser avec les loyers d'annonce par commune, en tenant compte du nombre d'observations disponibles.</w:t>
      </w:r>
    </w:p>
    <w:p>
      <w:pPr>
        <w:pStyle w:val="ListNumber"/>
      </w:pPr>
      <w:r>
        <w:t>Calculer le rendement brut, le mètre carré s'éliminant : rendement = loyer au m² × 12 / prix au m².</w:t>
      </w:r>
    </w:p>
    <w:p>
      <w:pPr>
        <w:pStyle w:val="ListNumber"/>
      </w:pPr>
      <w:r>
        <w:t>Déduire les charges non récupérables, la taxe foncière, l'assurance, la gestion et la vacance pour obtenir un net avant impôt.</w:t>
      </w:r>
    </w:p>
    <w:p>
      <w:pPr>
        <w:pStyle w:val="Heading1"/>
      </w:pPr>
      <w:r>
        <w:t>9. Résultats — Val-d'Oise, département 95</w:t>
      </w:r>
    </w:p>
    <w:p>
      <w:r>
        <w:t>Périmètre : appartements de 15 à 45 m². Ventes 2025, loyers d'annonce 2025. 57 communes analysées.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Pr>
                <w:b/>
              </w:rPr>
              <w:t>Rendement brut</w:t>
            </w:r>
          </w:p>
        </w:tc>
        <w:tc>
          <w:tcPr>
            <w:tcW w:type="dxa" w:w="1569"/>
          </w:tcPr>
          <w:p>
            <w:r>
              <w:rPr>
                <w:b/>
              </w:rPr>
              <w:t>Commune</w:t>
            </w:r>
          </w:p>
        </w:tc>
        <w:tc>
          <w:tcPr>
            <w:tcW w:type="dxa" w:w="1569"/>
          </w:tcPr>
          <w:p>
            <w:r>
              <w:rPr>
                <w:b/>
              </w:rPr>
              <w:t>Prix au m²</w:t>
            </w:r>
          </w:p>
        </w:tc>
        <w:tc>
          <w:tcPr>
            <w:tcW w:type="dxa" w:w="1569"/>
          </w:tcPr>
          <w:p>
            <w:r>
              <w:rPr>
                <w:b/>
              </w:rPr>
              <w:t>Loyer au m²</w:t>
            </w:r>
          </w:p>
        </w:tc>
        <w:tc>
          <w:tcPr>
            <w:tcW w:type="dxa" w:w="1569"/>
          </w:tcPr>
          <w:p>
            <w:r>
              <w:rPr>
                <w:b/>
              </w:rPr>
              <w:t>Ventes</w:t>
            </w:r>
          </w:p>
        </w:tc>
        <w:tc>
          <w:tcPr>
            <w:tcW w:type="dxa" w:w="1569"/>
          </w:tcPr>
          <w:p>
            <w:r>
              <w:rPr>
                <w:b/>
              </w:rPr>
              <w:t>Observations</w:t>
            </w:r>
          </w:p>
        </w:tc>
      </w:tr>
      <w:tr>
        <w:tc>
          <w:tcPr>
            <w:tcW w:type="dxa" w:w="1569"/>
          </w:tcPr>
          <w:p>
            <w:r>
              <w:t>10,21 %</w:t>
            </w:r>
          </w:p>
        </w:tc>
        <w:tc>
          <w:tcPr>
            <w:tcW w:type="dxa" w:w="1569"/>
          </w:tcPr>
          <w:p>
            <w:r>
              <w:t>Garges-lès-Gonesse</w:t>
            </w:r>
          </w:p>
        </w:tc>
        <w:tc>
          <w:tcPr>
            <w:tcW w:type="dxa" w:w="1569"/>
          </w:tcPr>
          <w:p>
            <w:r>
              <w:t>2 564 €</w:t>
            </w:r>
          </w:p>
        </w:tc>
        <w:tc>
          <w:tcPr>
            <w:tcW w:type="dxa" w:w="1569"/>
          </w:tcPr>
          <w:p>
            <w:r>
              <w:t>21,83 €</w:t>
            </w:r>
          </w:p>
        </w:tc>
        <w:tc>
          <w:tcPr>
            <w:tcW w:type="dxa" w:w="1569"/>
          </w:tcPr>
          <w:p>
            <w:r>
              <w:t>15</w:t>
            </w:r>
          </w:p>
        </w:tc>
        <w:tc>
          <w:tcPr>
            <w:tcW w:type="dxa" w:w="1569"/>
          </w:tcPr>
          <w:p>
            <w:r>
              <w:t>406</w:t>
            </w:r>
          </w:p>
        </w:tc>
      </w:tr>
      <w:tr>
        <w:tc>
          <w:tcPr>
            <w:tcW w:type="dxa" w:w="1569"/>
          </w:tcPr>
          <w:p>
            <w:r>
              <w:t>9,43 %</w:t>
            </w:r>
          </w:p>
        </w:tc>
        <w:tc>
          <w:tcPr>
            <w:tcW w:type="dxa" w:w="1569"/>
          </w:tcPr>
          <w:p>
            <w:r>
              <w:t>Villiers-le-Bel</w:t>
            </w:r>
          </w:p>
        </w:tc>
        <w:tc>
          <w:tcPr>
            <w:tcW w:type="dxa" w:w="1569"/>
          </w:tcPr>
          <w:p>
            <w:r>
              <w:t>2 727 €</w:t>
            </w:r>
          </w:p>
        </w:tc>
        <w:tc>
          <w:tcPr>
            <w:tcW w:type="dxa" w:w="1569"/>
          </w:tcPr>
          <w:p>
            <w:r>
              <w:t>21,44 €</w:t>
            </w:r>
          </w:p>
        </w:tc>
        <w:tc>
          <w:tcPr>
            <w:tcW w:type="dxa" w:w="1569"/>
          </w:tcPr>
          <w:p>
            <w:r>
              <w:t>28</w:t>
            </w:r>
          </w:p>
        </w:tc>
        <w:tc>
          <w:tcPr>
            <w:tcW w:type="dxa" w:w="1569"/>
          </w:tcPr>
          <w:p>
            <w:r>
              <w:t>871</w:t>
            </w:r>
          </w:p>
        </w:tc>
      </w:tr>
      <w:tr>
        <w:tc>
          <w:tcPr>
            <w:tcW w:type="dxa" w:w="1569"/>
          </w:tcPr>
          <w:p>
            <w:r>
              <w:t>8,34 %</w:t>
            </w:r>
          </w:p>
        </w:tc>
        <w:tc>
          <w:tcPr>
            <w:tcW w:type="dxa" w:w="1569"/>
          </w:tcPr>
          <w:p>
            <w:r>
              <w:t>Goussainville</w:t>
            </w:r>
          </w:p>
        </w:tc>
        <w:tc>
          <w:tcPr>
            <w:tcW w:type="dxa" w:w="1569"/>
          </w:tcPr>
          <w:p>
            <w:r>
              <w:t>3 101 €</w:t>
            </w:r>
          </w:p>
        </w:tc>
        <w:tc>
          <w:tcPr>
            <w:tcW w:type="dxa" w:w="1569"/>
          </w:tcPr>
          <w:p>
            <w:r>
              <w:t>21,57 €</w:t>
            </w:r>
          </w:p>
        </w:tc>
        <w:tc>
          <w:tcPr>
            <w:tcW w:type="dxa" w:w="1569"/>
          </w:tcPr>
          <w:p>
            <w:r>
              <w:t>16</w:t>
            </w:r>
          </w:p>
        </w:tc>
        <w:tc>
          <w:tcPr>
            <w:tcW w:type="dxa" w:w="1569"/>
          </w:tcPr>
          <w:p>
            <w:r>
              <w:t>718</w:t>
            </w:r>
          </w:p>
        </w:tc>
      </w:tr>
      <w:tr>
        <w:tc>
          <w:tcPr>
            <w:tcW w:type="dxa" w:w="1569"/>
          </w:tcPr>
          <w:p>
            <w:r>
              <w:t>8,03 %</w:t>
            </w:r>
          </w:p>
        </w:tc>
        <w:tc>
          <w:tcPr>
            <w:tcW w:type="dxa" w:w="1569"/>
          </w:tcPr>
          <w:p>
            <w:r>
              <w:t>Arnouville</w:t>
            </w:r>
          </w:p>
        </w:tc>
        <w:tc>
          <w:tcPr>
            <w:tcW w:type="dxa" w:w="1569"/>
          </w:tcPr>
          <w:p>
            <w:r>
              <w:t>3 178 €</w:t>
            </w:r>
          </w:p>
        </w:tc>
        <w:tc>
          <w:tcPr>
            <w:tcW w:type="dxa" w:w="1569"/>
          </w:tcPr>
          <w:p>
            <w:r>
              <w:t>21,28 €</w:t>
            </w:r>
          </w:p>
        </w:tc>
        <w:tc>
          <w:tcPr>
            <w:tcW w:type="dxa" w:w="1569"/>
          </w:tcPr>
          <w:p>
            <w:r>
              <w:t>12</w:t>
            </w:r>
          </w:p>
        </w:tc>
        <w:tc>
          <w:tcPr>
            <w:tcW w:type="dxa" w:w="1569"/>
          </w:tcPr>
          <w:p>
            <w:r>
              <w:t>271</w:t>
            </w:r>
          </w:p>
        </w:tc>
      </w:tr>
      <w:tr>
        <w:tc>
          <w:tcPr>
            <w:tcW w:type="dxa" w:w="1569"/>
          </w:tcPr>
          <w:p>
            <w:r>
              <w:t>7,46 %</w:t>
            </w:r>
          </w:p>
        </w:tc>
        <w:tc>
          <w:tcPr>
            <w:tcW w:type="dxa" w:w="1569"/>
          </w:tcPr>
          <w:p>
            <w:r>
              <w:t>Magny-en-Vexin</w:t>
            </w:r>
          </w:p>
        </w:tc>
        <w:tc>
          <w:tcPr>
            <w:tcW w:type="dxa" w:w="1569"/>
          </w:tcPr>
          <w:p>
            <w:r>
              <w:t>2 666 €</w:t>
            </w:r>
          </w:p>
        </w:tc>
        <w:tc>
          <w:tcPr>
            <w:tcW w:type="dxa" w:w="1569"/>
          </w:tcPr>
          <w:p>
            <w:r>
              <w:t>16,59 €</w:t>
            </w:r>
          </w:p>
        </w:tc>
        <w:tc>
          <w:tcPr>
            <w:tcW w:type="dxa" w:w="1569"/>
          </w:tcPr>
          <w:p>
            <w:r>
              <w:t>5</w:t>
            </w:r>
          </w:p>
        </w:tc>
        <w:tc>
          <w:tcPr>
            <w:tcW w:type="dxa" w:w="1569"/>
          </w:tcPr>
          <w:p>
            <w:r>
              <w:t>501</w:t>
            </w:r>
          </w:p>
        </w:tc>
      </w:tr>
      <w:tr>
        <w:tc>
          <w:tcPr>
            <w:tcW w:type="dxa" w:w="1569"/>
          </w:tcPr>
          <w:p>
            <w:r>
              <w:t>7,38 %</w:t>
            </w:r>
          </w:p>
        </w:tc>
        <w:tc>
          <w:tcPr>
            <w:tcW w:type="dxa" w:w="1569"/>
          </w:tcPr>
          <w:p>
            <w:r>
              <w:t>Sannois</w:t>
            </w:r>
          </w:p>
        </w:tc>
        <w:tc>
          <w:tcPr>
            <w:tcW w:type="dxa" w:w="1569"/>
          </w:tcPr>
          <w:p>
            <w:r>
              <w:t>3 741 €</w:t>
            </w:r>
          </w:p>
        </w:tc>
        <w:tc>
          <w:tcPr>
            <w:tcW w:type="dxa" w:w="1569"/>
          </w:tcPr>
          <w:p>
            <w:r>
              <w:t>23,00 €</w:t>
            </w:r>
          </w:p>
        </w:tc>
        <w:tc>
          <w:tcPr>
            <w:tcW w:type="dxa" w:w="1569"/>
          </w:tcPr>
          <w:p>
            <w:r>
              <w:t>32</w:t>
            </w:r>
          </w:p>
        </w:tc>
        <w:tc>
          <w:tcPr>
            <w:tcW w:type="dxa" w:w="1569"/>
          </w:tcPr>
          <w:p>
            <w:r>
              <w:t>1 495</w:t>
            </w:r>
          </w:p>
        </w:tc>
      </w:tr>
      <w:tr>
        <w:tc>
          <w:tcPr>
            <w:tcW w:type="dxa" w:w="1569"/>
          </w:tcPr>
          <w:p>
            <w:r>
              <w:t>7,30 %</w:t>
            </w:r>
          </w:p>
        </w:tc>
        <w:tc>
          <w:tcPr>
            <w:tcW w:type="dxa" w:w="1569"/>
          </w:tcPr>
          <w:p>
            <w:r>
              <w:t>Gonesse</w:t>
            </w:r>
          </w:p>
        </w:tc>
        <w:tc>
          <w:tcPr>
            <w:tcW w:type="dxa" w:w="1569"/>
          </w:tcPr>
          <w:p>
            <w:r>
              <w:t>3 436 €</w:t>
            </w:r>
          </w:p>
        </w:tc>
        <w:tc>
          <w:tcPr>
            <w:tcW w:type="dxa" w:w="1569"/>
          </w:tcPr>
          <w:p>
            <w:r>
              <w:t>20,92 €</w:t>
            </w:r>
          </w:p>
        </w:tc>
        <w:tc>
          <w:tcPr>
            <w:tcW w:type="dxa" w:w="1569"/>
          </w:tcPr>
          <w:p>
            <w:r>
              <w:t>28</w:t>
            </w:r>
          </w:p>
        </w:tc>
        <w:tc>
          <w:tcPr>
            <w:tcW w:type="dxa" w:w="1569"/>
          </w:tcPr>
          <w:p>
            <w:r>
              <w:t>965</w:t>
            </w:r>
          </w:p>
        </w:tc>
      </w:tr>
      <w:tr>
        <w:tc>
          <w:tcPr>
            <w:tcW w:type="dxa" w:w="1569"/>
          </w:tcPr>
          <w:p>
            <w:r>
              <w:t>7,17 %</w:t>
            </w:r>
          </w:p>
        </w:tc>
        <w:tc>
          <w:tcPr>
            <w:tcW w:type="dxa" w:w="1569"/>
          </w:tcPr>
          <w:p>
            <w:r>
              <w:t>Montmorency</w:t>
            </w:r>
          </w:p>
        </w:tc>
        <w:tc>
          <w:tcPr>
            <w:tcW w:type="dxa" w:w="1569"/>
          </w:tcPr>
          <w:p>
            <w:r>
              <w:t>3 929 €</w:t>
            </w:r>
          </w:p>
        </w:tc>
        <w:tc>
          <w:tcPr>
            <w:tcW w:type="dxa" w:w="1569"/>
          </w:tcPr>
          <w:p>
            <w:r>
              <w:t>23,48 €</w:t>
            </w:r>
          </w:p>
        </w:tc>
        <w:tc>
          <w:tcPr>
            <w:tcW w:type="dxa" w:w="1569"/>
          </w:tcPr>
          <w:p>
            <w:r>
              <w:t>48</w:t>
            </w:r>
          </w:p>
        </w:tc>
        <w:tc>
          <w:tcPr>
            <w:tcW w:type="dxa" w:w="1569"/>
          </w:tcPr>
          <w:p>
            <w:r>
              <w:t>1 716</w:t>
            </w:r>
          </w:p>
        </w:tc>
      </w:tr>
      <w:tr>
        <w:tc>
          <w:tcPr>
            <w:tcW w:type="dxa" w:w="1569"/>
          </w:tcPr>
          <w:p>
            <w:r>
              <w:t>6,84 %</w:t>
            </w:r>
          </w:p>
        </w:tc>
        <w:tc>
          <w:tcPr>
            <w:tcW w:type="dxa" w:w="1569"/>
          </w:tcPr>
          <w:p>
            <w:r>
              <w:t>Argenteuil</w:t>
            </w:r>
          </w:p>
        </w:tc>
        <w:tc>
          <w:tcPr>
            <w:tcW w:type="dxa" w:w="1569"/>
          </w:tcPr>
          <w:p>
            <w:r>
              <w:t>3 896 €</w:t>
            </w:r>
          </w:p>
        </w:tc>
        <w:tc>
          <w:tcPr>
            <w:tcW w:type="dxa" w:w="1569"/>
          </w:tcPr>
          <w:p>
            <w:r>
              <w:t>22,22 €</w:t>
            </w:r>
          </w:p>
        </w:tc>
        <w:tc>
          <w:tcPr>
            <w:tcW w:type="dxa" w:w="1569"/>
          </w:tcPr>
          <w:p>
            <w:r>
              <w:t>168</w:t>
            </w:r>
          </w:p>
        </w:tc>
        <w:tc>
          <w:tcPr>
            <w:tcW w:type="dxa" w:w="1569"/>
          </w:tcPr>
          <w:p>
            <w:r>
              <w:t>4 707</w:t>
            </w:r>
          </w:p>
        </w:tc>
      </w:tr>
      <w:tr>
        <w:tc>
          <w:tcPr>
            <w:tcW w:type="dxa" w:w="1569"/>
          </w:tcPr>
          <w:p>
            <w:r>
              <w:t>6,58 %</w:t>
            </w:r>
          </w:p>
        </w:tc>
        <w:tc>
          <w:tcPr>
            <w:tcW w:type="dxa" w:w="1569"/>
          </w:tcPr>
          <w:p>
            <w:r>
              <w:t>Médiane départementale</w:t>
            </w:r>
          </w:p>
        </w:tc>
        <w:tc>
          <w:tcPr>
            <w:tcW w:type="dxa" w:w="1569"/>
          </w:tcPr>
          <w:p>
            <w:r>
              <w:t>—</w:t>
            </w:r>
          </w:p>
        </w:tc>
        <w:tc>
          <w:tcPr>
            <w:tcW w:type="dxa" w:w="1569"/>
          </w:tcPr>
          <w:p>
            <w:r>
              <w:t>—</w:t>
            </w:r>
          </w:p>
        </w:tc>
        <w:tc>
          <w:tcPr>
            <w:tcW w:type="dxa" w:w="1569"/>
          </w:tcPr>
          <w:p>
            <w:r>
              <w:t>—</w:t>
            </w:r>
          </w:p>
        </w:tc>
        <w:tc>
          <w:tcPr>
            <w:tcW w:type="dxa" w:w="1569"/>
          </w:tcPr>
          <w:p>
            <w:r>
              <w:t>—</w:t>
            </w:r>
          </w:p>
        </w:tc>
      </w:tr>
    </w:tbl>
    <w:p>
      <w:r>
        <w:t>Lecture critique : les rendements les plus élevés correspondent aux communes où la demande locative est forte et la demande d'achat faible. Le loyer au mètre carré y est comparable à celui des communes plus recherchées, mais le prix d'achat est inférieur de 30 %. Un rendement de 10 % n'est pas un cadeau, c'est le prix que le marché attribue au risque : impayés, dégradation, copropriétés en difficulté, revente lente. L'écart entre 10,21 % et 6,58 % est la mesure de ce risque.</w:t>
      </w:r>
    </w:p>
    <w:p>
      <w:pPr>
        <w:pStyle w:val="Heading1"/>
      </w:pPr>
      <w:r>
        <w:t>10. Résultats — communes autour d'Écouen</w:t>
      </w:r>
    </w:p>
    <w:p>
      <w:r>
        <w:t>Périmètre : 16 communes du voisinage immédiat. Le budget de référence est de 100 000 € frais de notaire inclus, soit 92 592 € de prix de bien.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Pr>
                <w:b/>
              </w:rPr>
              <w:t>Rendement brut</w:t>
            </w:r>
          </w:p>
        </w:tc>
        <w:tc>
          <w:tcPr>
            <w:tcW w:type="dxa" w:w="1882"/>
          </w:tcPr>
          <w:p>
            <w:r>
              <w:rPr>
                <w:b/>
              </w:rPr>
              <w:t>Commune</w:t>
            </w:r>
          </w:p>
        </w:tc>
        <w:tc>
          <w:tcPr>
            <w:tcW w:type="dxa" w:w="1882"/>
          </w:tcPr>
          <w:p>
            <w:r>
              <w:rPr>
                <w:b/>
              </w:rPr>
              <w:t>Prix au m²</w:t>
            </w:r>
          </w:p>
        </w:tc>
        <w:tc>
          <w:tcPr>
            <w:tcW w:type="dxa" w:w="1882"/>
          </w:tcPr>
          <w:p>
            <w:r>
              <w:rPr>
                <w:b/>
              </w:rPr>
              <w:t>25 m² frais compris</w:t>
            </w:r>
          </w:p>
        </w:tc>
        <w:tc>
          <w:tcPr>
            <w:tcW w:type="dxa" w:w="1882"/>
          </w:tcPr>
          <w:p>
            <w:r>
              <w:rPr>
                <w:b/>
              </w:rPr>
              <w:t>Observations</w:t>
            </w:r>
          </w:p>
        </w:tc>
      </w:tr>
      <w:tr>
        <w:tc>
          <w:tcPr>
            <w:tcW w:type="dxa" w:w="1882"/>
          </w:tcPr>
          <w:p>
            <w:r>
              <w:t>9,43 %</w:t>
            </w:r>
          </w:p>
        </w:tc>
        <w:tc>
          <w:tcPr>
            <w:tcW w:type="dxa" w:w="1882"/>
          </w:tcPr>
          <w:p>
            <w:r>
              <w:t>Villiers-le-Bel</w:t>
            </w:r>
          </w:p>
        </w:tc>
        <w:tc>
          <w:tcPr>
            <w:tcW w:type="dxa" w:w="1882"/>
          </w:tcPr>
          <w:p>
            <w:r>
              <w:t>2 727 €</w:t>
            </w:r>
          </w:p>
        </w:tc>
        <w:tc>
          <w:tcPr>
            <w:tcW w:type="dxa" w:w="1882"/>
          </w:tcPr>
          <w:p>
            <w:r>
              <w:t>73 636 €</w:t>
            </w:r>
          </w:p>
        </w:tc>
        <w:tc>
          <w:tcPr>
            <w:tcW w:type="dxa" w:w="1882"/>
          </w:tcPr>
          <w:p>
            <w:r>
              <w:t>871</w:t>
            </w:r>
          </w:p>
        </w:tc>
      </w:tr>
      <w:tr>
        <w:tc>
          <w:tcPr>
            <w:tcW w:type="dxa" w:w="1882"/>
          </w:tcPr>
          <w:p>
            <w:r>
              <w:t>7,38 %</w:t>
            </w:r>
          </w:p>
        </w:tc>
        <w:tc>
          <w:tcPr>
            <w:tcW w:type="dxa" w:w="1882"/>
          </w:tcPr>
          <w:p>
            <w:r>
              <w:t>Sannois</w:t>
            </w:r>
          </w:p>
        </w:tc>
        <w:tc>
          <w:tcPr>
            <w:tcW w:type="dxa" w:w="1882"/>
          </w:tcPr>
          <w:p>
            <w:r>
              <w:t>3 741 €</w:t>
            </w:r>
          </w:p>
        </w:tc>
        <w:tc>
          <w:tcPr>
            <w:tcW w:type="dxa" w:w="1882"/>
          </w:tcPr>
          <w:p>
            <w:r>
              <w:t>101 025 €</w:t>
            </w:r>
          </w:p>
        </w:tc>
        <w:tc>
          <w:tcPr>
            <w:tcW w:type="dxa" w:w="1882"/>
          </w:tcPr>
          <w:p>
            <w:r>
              <w:t>1 495</w:t>
            </w:r>
          </w:p>
        </w:tc>
      </w:tr>
      <w:tr>
        <w:tc>
          <w:tcPr>
            <w:tcW w:type="dxa" w:w="1882"/>
          </w:tcPr>
          <w:p>
            <w:r>
              <w:t>7,23 %</w:t>
            </w:r>
          </w:p>
        </w:tc>
        <w:tc>
          <w:tcPr>
            <w:tcW w:type="dxa" w:w="1882"/>
          </w:tcPr>
          <w:p>
            <w:r>
              <w:t>Groslay</w:t>
            </w:r>
          </w:p>
        </w:tc>
        <w:tc>
          <w:tcPr>
            <w:tcW w:type="dxa" w:w="1882"/>
          </w:tcPr>
          <w:p>
            <w:r>
              <w:t>3 526 €</w:t>
            </w:r>
          </w:p>
        </w:tc>
        <w:tc>
          <w:tcPr>
            <w:tcW w:type="dxa" w:w="1882"/>
          </w:tcPr>
          <w:p>
            <w:r>
              <w:t>95 214 €</w:t>
            </w:r>
          </w:p>
        </w:tc>
        <w:tc>
          <w:tcPr>
            <w:tcW w:type="dxa" w:w="1882"/>
          </w:tcPr>
          <w:p>
            <w:r>
              <w:t>278</w:t>
            </w:r>
          </w:p>
        </w:tc>
      </w:tr>
      <w:tr>
        <w:tc>
          <w:tcPr>
            <w:tcW w:type="dxa" w:w="1882"/>
          </w:tcPr>
          <w:p>
            <w:r>
              <w:t>7,19 %</w:t>
            </w:r>
          </w:p>
        </w:tc>
        <w:tc>
          <w:tcPr>
            <w:tcW w:type="dxa" w:w="1882"/>
          </w:tcPr>
          <w:p>
            <w:r>
              <w:t>Sarcelles</w:t>
            </w:r>
          </w:p>
        </w:tc>
        <w:tc>
          <w:tcPr>
            <w:tcW w:type="dxa" w:w="1882"/>
          </w:tcPr>
          <w:p>
            <w:r>
              <w:t>3 570 €</w:t>
            </w:r>
          </w:p>
        </w:tc>
        <w:tc>
          <w:tcPr>
            <w:tcW w:type="dxa" w:w="1882"/>
          </w:tcPr>
          <w:p>
            <w:r>
              <w:t>96 405 €</w:t>
            </w:r>
          </w:p>
        </w:tc>
        <w:tc>
          <w:tcPr>
            <w:tcW w:type="dxa" w:w="1882"/>
          </w:tcPr>
          <w:p>
            <w:r>
              <w:t>687</w:t>
            </w:r>
          </w:p>
        </w:tc>
      </w:tr>
      <w:tr>
        <w:tc>
          <w:tcPr>
            <w:tcW w:type="dxa" w:w="1882"/>
          </w:tcPr>
          <w:p>
            <w:r>
              <w:t>7,17 %</w:t>
            </w:r>
          </w:p>
        </w:tc>
        <w:tc>
          <w:tcPr>
            <w:tcW w:type="dxa" w:w="1882"/>
          </w:tcPr>
          <w:p>
            <w:r>
              <w:t>Montmorency</w:t>
            </w:r>
          </w:p>
        </w:tc>
        <w:tc>
          <w:tcPr>
            <w:tcW w:type="dxa" w:w="1882"/>
          </w:tcPr>
          <w:p>
            <w:r>
              <w:t>3 929 €</w:t>
            </w:r>
          </w:p>
        </w:tc>
        <w:tc>
          <w:tcPr>
            <w:tcW w:type="dxa" w:w="1882"/>
          </w:tcPr>
          <w:p>
            <w:r>
              <w:t>106 103 €</w:t>
            </w:r>
          </w:p>
        </w:tc>
        <w:tc>
          <w:tcPr>
            <w:tcW w:type="dxa" w:w="1882"/>
          </w:tcPr>
          <w:p>
            <w:r>
              <w:t>1 716</w:t>
            </w:r>
          </w:p>
        </w:tc>
      </w:tr>
      <w:tr>
        <w:tc>
          <w:tcPr>
            <w:tcW w:type="dxa" w:w="1882"/>
          </w:tcPr>
          <w:p>
            <w:r>
              <w:t>7,05 %</w:t>
            </w:r>
          </w:p>
        </w:tc>
        <w:tc>
          <w:tcPr>
            <w:tcW w:type="dxa" w:w="1882"/>
          </w:tcPr>
          <w:p>
            <w:r>
              <w:t>Montmagny</w:t>
            </w:r>
          </w:p>
        </w:tc>
        <w:tc>
          <w:tcPr>
            <w:tcW w:type="dxa" w:w="1882"/>
          </w:tcPr>
          <w:p>
            <w:r>
              <w:t>3 866 €</w:t>
            </w:r>
          </w:p>
        </w:tc>
        <w:tc>
          <w:tcPr>
            <w:tcW w:type="dxa" w:w="1882"/>
          </w:tcPr>
          <w:p>
            <w:r>
              <w:t>104 400 €</w:t>
            </w:r>
          </w:p>
        </w:tc>
        <w:tc>
          <w:tcPr>
            <w:tcW w:type="dxa" w:w="1882"/>
          </w:tcPr>
          <w:p>
            <w:r>
              <w:t>488</w:t>
            </w:r>
          </w:p>
        </w:tc>
      </w:tr>
      <w:tr>
        <w:tc>
          <w:tcPr>
            <w:tcW w:type="dxa" w:w="1882"/>
          </w:tcPr>
          <w:p>
            <w:r>
              <w:t>6,80 %</w:t>
            </w:r>
          </w:p>
        </w:tc>
        <w:tc>
          <w:tcPr>
            <w:tcW w:type="dxa" w:w="1882"/>
          </w:tcPr>
          <w:p>
            <w:r>
              <w:t>Soisy-sous-Montmorency</w:t>
            </w:r>
          </w:p>
        </w:tc>
        <w:tc>
          <w:tcPr>
            <w:tcW w:type="dxa" w:w="1882"/>
          </w:tcPr>
          <w:p>
            <w:r>
              <w:t>3 906 €</w:t>
            </w:r>
          </w:p>
        </w:tc>
        <w:tc>
          <w:tcPr>
            <w:tcW w:type="dxa" w:w="1882"/>
          </w:tcPr>
          <w:p>
            <w:r>
              <w:t>105 468 €</w:t>
            </w:r>
          </w:p>
        </w:tc>
        <w:tc>
          <w:tcPr>
            <w:tcW w:type="dxa" w:w="1882"/>
          </w:tcPr>
          <w:p>
            <w:r>
              <w:t>910</w:t>
            </w:r>
          </w:p>
        </w:tc>
      </w:tr>
      <w:tr>
        <w:tc>
          <w:tcPr>
            <w:tcW w:type="dxa" w:w="1882"/>
          </w:tcPr>
          <w:p>
            <w:r>
              <w:t>6,79 %</w:t>
            </w:r>
          </w:p>
        </w:tc>
        <w:tc>
          <w:tcPr>
            <w:tcW w:type="dxa" w:w="1882"/>
          </w:tcPr>
          <w:p>
            <w:r>
              <w:t>Saint-Gratien</w:t>
            </w:r>
          </w:p>
        </w:tc>
        <w:tc>
          <w:tcPr>
            <w:tcW w:type="dxa" w:w="1882"/>
          </w:tcPr>
          <w:p>
            <w:r>
              <w:t>4 272 €</w:t>
            </w:r>
          </w:p>
        </w:tc>
        <w:tc>
          <w:tcPr>
            <w:tcW w:type="dxa" w:w="1882"/>
          </w:tcPr>
          <w:p>
            <w:r>
              <w:t>115 367 €</w:t>
            </w:r>
          </w:p>
        </w:tc>
        <w:tc>
          <w:tcPr>
            <w:tcW w:type="dxa" w:w="1882"/>
          </w:tcPr>
          <w:p>
            <w:r>
              <w:t>1 090</w:t>
            </w:r>
          </w:p>
        </w:tc>
      </w:tr>
      <w:tr>
        <w:tc>
          <w:tcPr>
            <w:tcW w:type="dxa" w:w="1882"/>
          </w:tcPr>
          <w:p>
            <w:r>
              <w:t>6,54 %</w:t>
            </w:r>
          </w:p>
        </w:tc>
        <w:tc>
          <w:tcPr>
            <w:tcW w:type="dxa" w:w="1882"/>
          </w:tcPr>
          <w:p>
            <w:r>
              <w:t>Franconville</w:t>
            </w:r>
          </w:p>
        </w:tc>
        <w:tc>
          <w:tcPr>
            <w:tcW w:type="dxa" w:w="1882"/>
          </w:tcPr>
          <w:p>
            <w:r>
              <w:t>3 934 €</w:t>
            </w:r>
          </w:p>
        </w:tc>
        <w:tc>
          <w:tcPr>
            <w:tcW w:type="dxa" w:w="1882"/>
          </w:tcPr>
          <w:p>
            <w:r>
              <w:t>106 241 €</w:t>
            </w:r>
          </w:p>
        </w:tc>
        <w:tc>
          <w:tcPr>
            <w:tcW w:type="dxa" w:w="1882"/>
          </w:tcPr>
          <w:p>
            <w:r>
              <w:t>2 503</w:t>
            </w:r>
          </w:p>
        </w:tc>
      </w:tr>
      <w:tr>
        <w:tc>
          <w:tcPr>
            <w:tcW w:type="dxa" w:w="1882"/>
          </w:tcPr>
          <w:p>
            <w:r>
              <w:t>5,42 %</w:t>
            </w:r>
          </w:p>
        </w:tc>
        <w:tc>
          <w:tcPr>
            <w:tcW w:type="dxa" w:w="1882"/>
          </w:tcPr>
          <w:p>
            <w:r>
              <w:t>Enghien-les-Bains</w:t>
            </w:r>
          </w:p>
        </w:tc>
        <w:tc>
          <w:tcPr>
            <w:tcW w:type="dxa" w:w="1882"/>
          </w:tcPr>
          <w:p>
            <w:r>
              <w:t>5 258 €</w:t>
            </w:r>
          </w:p>
        </w:tc>
        <w:tc>
          <w:tcPr>
            <w:tcW w:type="dxa" w:w="1882"/>
          </w:tcPr>
          <w:p>
            <w:r>
              <w:t>141 977 €</w:t>
            </w:r>
          </w:p>
        </w:tc>
        <w:tc>
          <w:tcPr>
            <w:tcW w:type="dxa" w:w="1882"/>
          </w:tcPr>
          <w:p>
            <w:r>
              <w:t>1 873</w:t>
            </w:r>
          </w:p>
        </w:tc>
      </w:tr>
    </w:tbl>
    <w:p>
      <w:r>
        <w:t>Constat principal : un logement de 25 m² coûte plus de 100 000 € dans douze des seize communes étudiées. Le budget n'est suffisant que dans quatre d'entre elles.</w:t>
      </w:r>
    </w:p>
    <w:p>
      <w:pPr>
        <w:pStyle w:val="Heading2"/>
      </w:pPr>
      <w:r>
        <w:t>10.1 Le quartier importe plus que la commune</w:t>
      </w:r>
    </w:p>
    <w:p>
      <w:r>
        <w:t>Écart de prix au mètre carré entre les rues d'une même commune, ventes 2025 :</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rPr>
              <w:t>Commune</w:t>
            </w:r>
          </w:p>
        </w:tc>
        <w:tc>
          <w:tcPr>
            <w:tcW w:type="dxa" w:w="2353"/>
          </w:tcPr>
          <w:p>
            <w:r>
              <w:rPr>
                <w:b/>
              </w:rPr>
              <w:t>Rue la moins chère</w:t>
            </w:r>
          </w:p>
        </w:tc>
        <w:tc>
          <w:tcPr>
            <w:tcW w:type="dxa" w:w="2353"/>
          </w:tcPr>
          <w:p>
            <w:r>
              <w:rPr>
                <w:b/>
              </w:rPr>
              <w:t>Rue la plus chère</w:t>
            </w:r>
          </w:p>
        </w:tc>
        <w:tc>
          <w:tcPr>
            <w:tcW w:type="dxa" w:w="2353"/>
          </w:tcPr>
          <w:p>
            <w:r>
              <w:rPr>
                <w:b/>
              </w:rPr>
              <w:t>Écart</w:t>
            </w:r>
          </w:p>
        </w:tc>
      </w:tr>
      <w:tr>
        <w:tc>
          <w:tcPr>
            <w:tcW w:type="dxa" w:w="2353"/>
          </w:tcPr>
          <w:p>
            <w:r>
              <w:t>Villiers-le-Bel</w:t>
            </w:r>
          </w:p>
        </w:tc>
        <w:tc>
          <w:tcPr>
            <w:tcW w:type="dxa" w:w="2353"/>
          </w:tcPr>
          <w:p>
            <w:r>
              <w:t>1 000 €/m²</w:t>
            </w:r>
          </w:p>
        </w:tc>
        <w:tc>
          <w:tcPr>
            <w:tcW w:type="dxa" w:w="2353"/>
          </w:tcPr>
          <w:p>
            <w:r>
              <w:t>4 406 €/m²</w:t>
            </w:r>
          </w:p>
        </w:tc>
        <w:tc>
          <w:tcPr>
            <w:tcW w:type="dxa" w:w="2353"/>
          </w:tcPr>
          <w:p>
            <w:r>
              <w:t>× 4,4</w:t>
            </w:r>
          </w:p>
        </w:tc>
      </w:tr>
      <w:tr>
        <w:tc>
          <w:tcPr>
            <w:tcW w:type="dxa" w:w="2353"/>
          </w:tcPr>
          <w:p>
            <w:r>
              <w:t>Sarcelles</w:t>
            </w:r>
          </w:p>
        </w:tc>
        <w:tc>
          <w:tcPr>
            <w:tcW w:type="dxa" w:w="2353"/>
          </w:tcPr>
          <w:p>
            <w:r>
              <w:t>1 881 €/m²</w:t>
            </w:r>
          </w:p>
        </w:tc>
        <w:tc>
          <w:tcPr>
            <w:tcW w:type="dxa" w:w="2353"/>
          </w:tcPr>
          <w:p>
            <w:r>
              <w:t>4 372 €/m²</w:t>
            </w:r>
          </w:p>
        </w:tc>
        <w:tc>
          <w:tcPr>
            <w:tcW w:type="dxa" w:w="2353"/>
          </w:tcPr>
          <w:p>
            <w:r>
              <w:t>× 2,3</w:t>
            </w:r>
          </w:p>
        </w:tc>
      </w:tr>
      <w:tr>
        <w:tc>
          <w:tcPr>
            <w:tcW w:type="dxa" w:w="2353"/>
          </w:tcPr>
          <w:p>
            <w:r>
              <w:t>Groslay</w:t>
            </w:r>
          </w:p>
        </w:tc>
        <w:tc>
          <w:tcPr>
            <w:tcW w:type="dxa" w:w="2353"/>
          </w:tcPr>
          <w:p>
            <w:r>
              <w:t>2 375 €/m²</w:t>
            </w:r>
          </w:p>
        </w:tc>
        <w:tc>
          <w:tcPr>
            <w:tcW w:type="dxa" w:w="2353"/>
          </w:tcPr>
          <w:p>
            <w:r>
              <w:t>4 171 €/m²</w:t>
            </w:r>
          </w:p>
        </w:tc>
        <w:tc>
          <w:tcPr>
            <w:tcW w:type="dxa" w:w="2353"/>
          </w:tcPr>
          <w:p>
            <w:r>
              <w:t>× 1,8</w:t>
            </w:r>
          </w:p>
        </w:tc>
      </w:tr>
    </w:tbl>
    <w:p>
      <w:r>
        <w:t>L'écart entre les rues d'une même commune est du même ordre que l'écart entre les communes. Choisir la bonne commune ne suffit donc pas. Ces écarts ne sont pas aléatoires : ils mesurent le risque, rue par rue. À Villiers-le-Bel, la rue de la Ceinture vaut 4 406 €/m² quand le boulevard Carnot vaut 1 903 €/m². Le marché ne se trompe pas sur ce type d'écart.</w:t>
      </w:r>
    </w:p>
    <w:p>
      <w:pPr>
        <w:pStyle w:val="Heading2"/>
      </w:pPr>
      <w:r>
        <w:t>10.2 Surfaces accessibles avec 100 000 €, par rue</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rPr>
              <w:t>Commune</w:t>
            </w:r>
          </w:p>
        </w:tc>
        <w:tc>
          <w:tcPr>
            <w:tcW w:type="dxa" w:w="2353"/>
          </w:tcPr>
          <w:p>
            <w:r>
              <w:rPr>
                <w:b/>
              </w:rPr>
              <w:t>Rue</w:t>
            </w:r>
          </w:p>
        </w:tc>
        <w:tc>
          <w:tcPr>
            <w:tcW w:type="dxa" w:w="2353"/>
          </w:tcPr>
          <w:p>
            <w:r>
              <w:rPr>
                <w:b/>
              </w:rPr>
              <w:t>Prix au m²</w:t>
            </w:r>
          </w:p>
        </w:tc>
        <w:tc>
          <w:tcPr>
            <w:tcW w:type="dxa" w:w="2353"/>
          </w:tcPr>
          <w:p>
            <w:r>
              <w:rPr>
                <w:b/>
              </w:rPr>
              <w:t>Surface accessible</w:t>
            </w:r>
          </w:p>
        </w:tc>
      </w:tr>
      <w:tr>
        <w:tc>
          <w:tcPr>
            <w:tcW w:type="dxa" w:w="2353"/>
          </w:tcPr>
          <w:p>
            <w:r>
              <w:t>Villiers-le-Bel</w:t>
            </w:r>
          </w:p>
        </w:tc>
        <w:tc>
          <w:tcPr>
            <w:tcW w:type="dxa" w:w="2353"/>
          </w:tcPr>
          <w:p>
            <w:r>
              <w:t>Rue Bourdelle</w:t>
            </w:r>
          </w:p>
        </w:tc>
        <w:tc>
          <w:tcPr>
            <w:tcW w:type="dxa" w:w="2353"/>
          </w:tcPr>
          <w:p>
            <w:r>
              <w:t>1 766 €</w:t>
            </w:r>
          </w:p>
        </w:tc>
        <w:tc>
          <w:tcPr>
            <w:tcW w:type="dxa" w:w="2353"/>
          </w:tcPr>
          <w:p>
            <w:r>
              <w:t>52 m²</w:t>
            </w:r>
          </w:p>
        </w:tc>
      </w:tr>
      <w:tr>
        <w:tc>
          <w:tcPr>
            <w:tcW w:type="dxa" w:w="2353"/>
          </w:tcPr>
          <w:p>
            <w:r>
              <w:t>Sarcelles</w:t>
            </w:r>
          </w:p>
        </w:tc>
        <w:tc>
          <w:tcPr>
            <w:tcW w:type="dxa" w:w="2353"/>
          </w:tcPr>
          <w:p>
            <w:r>
              <w:t>Route de Garges</w:t>
            </w:r>
          </w:p>
        </w:tc>
        <w:tc>
          <w:tcPr>
            <w:tcW w:type="dxa" w:w="2353"/>
          </w:tcPr>
          <w:p>
            <w:r>
              <w:t>1 881 €</w:t>
            </w:r>
          </w:p>
        </w:tc>
        <w:tc>
          <w:tcPr>
            <w:tcW w:type="dxa" w:w="2353"/>
          </w:tcPr>
          <w:p>
            <w:r>
              <w:t>49 m²</w:t>
            </w:r>
          </w:p>
        </w:tc>
      </w:tr>
      <w:tr>
        <w:tc>
          <w:tcPr>
            <w:tcW w:type="dxa" w:w="2353"/>
          </w:tcPr>
          <w:p>
            <w:r>
              <w:t>Villiers-le-Bel</w:t>
            </w:r>
          </w:p>
        </w:tc>
        <w:tc>
          <w:tcPr>
            <w:tcW w:type="dxa" w:w="2353"/>
          </w:tcPr>
          <w:p>
            <w:r>
              <w:t>Boulevard Carnot</w:t>
            </w:r>
          </w:p>
        </w:tc>
        <w:tc>
          <w:tcPr>
            <w:tcW w:type="dxa" w:w="2353"/>
          </w:tcPr>
          <w:p>
            <w:r>
              <w:t>1 903 €</w:t>
            </w:r>
          </w:p>
        </w:tc>
        <w:tc>
          <w:tcPr>
            <w:tcW w:type="dxa" w:w="2353"/>
          </w:tcPr>
          <w:p>
            <w:r>
              <w:t>48 m²</w:t>
            </w:r>
          </w:p>
        </w:tc>
      </w:tr>
      <w:tr>
        <w:tc>
          <w:tcPr>
            <w:tcW w:type="dxa" w:w="2353"/>
          </w:tcPr>
          <w:p>
            <w:r>
              <w:t>Sarcelles</w:t>
            </w:r>
          </w:p>
        </w:tc>
        <w:tc>
          <w:tcPr>
            <w:tcW w:type="dxa" w:w="2353"/>
          </w:tcPr>
          <w:p>
            <w:r>
              <w:t>Parc de Miraville</w:t>
            </w:r>
          </w:p>
        </w:tc>
        <w:tc>
          <w:tcPr>
            <w:tcW w:type="dxa" w:w="2353"/>
          </w:tcPr>
          <w:p>
            <w:r>
              <w:t>2 419 €</w:t>
            </w:r>
          </w:p>
        </w:tc>
        <w:tc>
          <w:tcPr>
            <w:tcW w:type="dxa" w:w="2353"/>
          </w:tcPr>
          <w:p>
            <w:r>
              <w:t>38 m²</w:t>
            </w:r>
          </w:p>
        </w:tc>
      </w:tr>
      <w:tr>
        <w:tc>
          <w:tcPr>
            <w:tcW w:type="dxa" w:w="2353"/>
          </w:tcPr>
          <w:p>
            <w:r>
              <w:t>Groslay</w:t>
            </w:r>
          </w:p>
        </w:tc>
        <w:tc>
          <w:tcPr>
            <w:tcW w:type="dxa" w:w="2353"/>
          </w:tcPr>
          <w:p>
            <w:r>
              <w:t>Rue Henri Dunant</w:t>
            </w:r>
          </w:p>
        </w:tc>
        <w:tc>
          <w:tcPr>
            <w:tcW w:type="dxa" w:w="2353"/>
          </w:tcPr>
          <w:p>
            <w:r>
              <w:t>2 666 €</w:t>
            </w:r>
          </w:p>
        </w:tc>
        <w:tc>
          <w:tcPr>
            <w:tcW w:type="dxa" w:w="2353"/>
          </w:tcPr>
          <w:p>
            <w:r>
              <w:t>34 m²</w:t>
            </w:r>
          </w:p>
        </w:tc>
      </w:tr>
      <w:tr>
        <w:tc>
          <w:tcPr>
            <w:tcW w:type="dxa" w:w="2353"/>
          </w:tcPr>
          <w:p>
            <w:r>
              <w:t>Groslay</w:t>
            </w:r>
          </w:p>
        </w:tc>
        <w:tc>
          <w:tcPr>
            <w:tcW w:type="dxa" w:w="2353"/>
          </w:tcPr>
          <w:p>
            <w:r>
              <w:t>Rue du Général Leclerc</w:t>
            </w:r>
          </w:p>
        </w:tc>
        <w:tc>
          <w:tcPr>
            <w:tcW w:type="dxa" w:w="2353"/>
          </w:tcPr>
          <w:p>
            <w:r>
              <w:t>3 339 €</w:t>
            </w:r>
          </w:p>
        </w:tc>
        <w:tc>
          <w:tcPr>
            <w:tcW w:type="dxa" w:w="2353"/>
          </w:tcPr>
          <w:p>
            <w:r>
              <w:t>27 m²</w:t>
            </w:r>
          </w:p>
        </w:tc>
      </w:tr>
      <w:tr>
        <w:tc>
          <w:tcPr>
            <w:tcW w:type="dxa" w:w="2353"/>
          </w:tcPr>
          <w:p>
            <w:r>
              <w:t>Sannois</w:t>
            </w:r>
          </w:p>
        </w:tc>
        <w:tc>
          <w:tcPr>
            <w:tcW w:type="dxa" w:w="2353"/>
          </w:tcPr>
          <w:p>
            <w:r>
              <w:t>Médiane communale</w:t>
            </w:r>
          </w:p>
        </w:tc>
        <w:tc>
          <w:tcPr>
            <w:tcW w:type="dxa" w:w="2353"/>
          </w:tcPr>
          <w:p>
            <w:r>
              <w:t>3 741 €</w:t>
            </w:r>
          </w:p>
        </w:tc>
        <w:tc>
          <w:tcPr>
            <w:tcW w:type="dxa" w:w="2353"/>
          </w:tcPr>
          <w:p>
            <w:r>
              <w:t>25 m²</w:t>
            </w:r>
          </w:p>
        </w:tc>
      </w:tr>
    </w:tbl>
    <w:p>
      <w:pPr>
        <w:pStyle w:val="Heading1"/>
      </w:pPr>
      <w:r>
        <w:t>11. Recommandation</w:t>
      </w:r>
    </w:p>
    <w:p>
      <w:r>
        <w:t>Pour un investisseur disposant de 100 000 € en fonds propres, sans recours au crédit, avec une aversion au risque déclarée et un budget de foyer déjà en déséquilibre mensuel, la recommandation est la suivante.</w:t>
      </w:r>
    </w:p>
    <w:tbl>
      <w:tblPr>
        <w:tblStyle w:val="TableGrid"/>
        <w:tblW w:type="auto" w:w="0"/>
        <w:tblLook w:firstColumn="1" w:firstRow="1" w:lastColumn="0" w:lastRow="0" w:noHBand="0" w:noVBand="1" w:val="04A0"/>
      </w:tblPr>
      <w:tblGrid>
        <w:gridCol w:w="4706"/>
        <w:gridCol w:w="4706"/>
      </w:tblGrid>
      <w:tr>
        <w:tc>
          <w:tcPr>
            <w:tcW w:type="dxa" w:w="4706"/>
          </w:tcPr>
          <w:p>
            <w:r>
              <w:rPr>
                <w:b/>
              </w:rPr>
              <w:t>Critère</w:t>
            </w:r>
          </w:p>
        </w:tc>
        <w:tc>
          <w:tcPr>
            <w:tcW w:type="dxa" w:w="4706"/>
          </w:tcPr>
          <w:p>
            <w:r>
              <w:rPr>
                <w:b/>
              </w:rPr>
              <w:t>Choix retenu</w:t>
            </w:r>
          </w:p>
        </w:tc>
      </w:tr>
      <w:tr>
        <w:tc>
          <w:tcPr>
            <w:tcW w:type="dxa" w:w="4706"/>
          </w:tcPr>
          <w:p>
            <w:r>
              <w:t>Commune</w:t>
            </w:r>
          </w:p>
        </w:tc>
        <w:tc>
          <w:tcPr>
            <w:tcW w:type="dxa" w:w="4706"/>
          </w:tcPr>
          <w:p>
            <w:r>
              <w:t>Groslay, ou Sannois en second choix</w:t>
            </w:r>
          </w:p>
        </w:tc>
      </w:tr>
      <w:tr>
        <w:tc>
          <w:tcPr>
            <w:tcW w:type="dxa" w:w="4706"/>
          </w:tcPr>
          <w:p>
            <w:r>
              <w:t>Pourquoi Groslay</w:t>
            </w:r>
          </w:p>
        </w:tc>
        <w:tc>
          <w:tcPr>
            <w:tcW w:type="dxa" w:w="4706"/>
          </w:tcPr>
          <w:p>
            <w:r>
              <w:t>Marché homogène : 2 375 à 4 171 €/m², soit un facteur 1,8 seulement. Il n'existe pas de rue à éviter. Rendement 7,23 %, au-dessus de la médiane du groupe (6,79 %). Un 25 m² revient à 95 214 € frais compris, dans le budget.</w:t>
            </w:r>
          </w:p>
        </w:tc>
      </w:tr>
      <w:tr>
        <w:tc>
          <w:tcPr>
            <w:tcW w:type="dxa" w:w="4706"/>
          </w:tcPr>
          <w:p>
            <w:r>
              <w:t>Réserve sur Groslay</w:t>
            </w:r>
          </w:p>
        </w:tc>
        <w:tc>
          <w:tcPr>
            <w:tcW w:type="dxa" w:w="4706"/>
          </w:tcPr>
          <w:p>
            <w:r>
              <w:t>8 ventes et 278 observations de loyer. Échantillon mince.</w:t>
            </w:r>
          </w:p>
        </w:tc>
      </w:tr>
      <w:tr>
        <w:tc>
          <w:tcPr>
            <w:tcW w:type="dxa" w:w="4706"/>
          </w:tcPr>
          <w:p>
            <w:r>
              <w:t>Pourquoi Sannois en second</w:t>
            </w:r>
          </w:p>
        </w:tc>
        <w:tc>
          <w:tcPr>
            <w:tcW w:type="dxa" w:w="4706"/>
          </w:tcPr>
          <w:p>
            <w:r>
              <w:t>7,38 % brut avec 1 495 observations : la donnée la plus solide du groupe. En revanche 101 025 € pour 25 m² dépasse légèrement le budget.</w:t>
            </w:r>
          </w:p>
        </w:tc>
      </w:tr>
      <w:tr>
        <w:tc>
          <w:tcPr>
            <w:tcW w:type="dxa" w:w="4706"/>
          </w:tcPr>
          <w:p>
            <w:r>
              <w:t>Quartier</w:t>
            </w:r>
          </w:p>
        </w:tc>
        <w:tc>
          <w:tcPr>
            <w:tcW w:type="dxa" w:w="4706"/>
          </w:tcPr>
          <w:p>
            <w:r>
              <w:t>Groslay : toute la commune. Sannois : centre-ville et abords de la gare. Éviter partout les rez-de-chaussée sur rue et les étages sans ascenseur au-delà du deuxième.</w:t>
            </w:r>
          </w:p>
        </w:tc>
      </w:tr>
      <w:tr>
        <w:tc>
          <w:tcPr>
            <w:tcW w:type="dxa" w:w="4706"/>
          </w:tcPr>
          <w:p>
            <w:r>
              <w:t>Le bien à chercher</w:t>
            </w:r>
          </w:p>
        </w:tc>
        <w:tc>
          <w:tcPr>
            <w:tcW w:type="dxa" w:w="4706"/>
          </w:tcPr>
          <w:p>
            <w:r>
              <w:t>Appartement de 30 à 45 m², deux pièces. Immeuble de 20 lots ou plus. DPE D ou mieux — les logements F sont interdits à la location en 2028, les E en 2034.</w:t>
            </w:r>
          </w:p>
        </w:tc>
      </w:tr>
      <w:tr>
        <w:tc>
          <w:tcPr>
            <w:tcW w:type="dxa" w:w="4706"/>
          </w:tcPr>
          <w:p>
            <w:r>
              <w:t>Prix plafond</w:t>
            </w:r>
          </w:p>
        </w:tc>
        <w:tc>
          <w:tcPr>
            <w:tcW w:type="dxa" w:w="4706"/>
          </w:tcPr>
          <w:p>
            <w:r>
              <w:t>95 000 € frais compris</w:t>
            </w:r>
          </w:p>
        </w:tc>
      </w:tr>
      <w:tr>
        <w:tc>
          <w:tcPr>
            <w:tcW w:type="dxa" w:w="4706"/>
          </w:tcPr>
          <w:p>
            <w:r>
              <w:t>À éviter malgré le rendement</w:t>
            </w:r>
          </w:p>
        </w:tc>
        <w:tc>
          <w:tcPr>
            <w:tcW w:type="dxa" w:w="4706"/>
          </w:tcPr>
          <w:p>
            <w:r>
              <w:t>Villiers-le-Bel boulevard Carnot et rue Bourdelle, et Sarcelles route de Garges : 1 766 à 1 903 €/m² et 9,4 % de rendement. Ce n'est pas une bonne affaire, c'est un prix qui exprime le jugement du marché sur le quartier.</w:t>
            </w:r>
          </w:p>
        </w:tc>
      </w:tr>
    </w:tbl>
    <w:p>
      <w:pPr>
        <w:pStyle w:val="Heading1"/>
      </w:pPr>
      <w:r>
        <w:t>12. À quoi sert Jev</w:t>
      </w:r>
    </w:p>
    <w:p>
      <w:r>
        <w:t>Jev (TypeSafe System One) a été testé sur un cas réel issu de cette analyse. Il tranche des questions bornées sur un texte : les réponses doivent être énumérables d'avance, aucun code ne doit pouvoir trancher, et le volume doit justifier l'appel. Trois primitives existent : noul (probabilité de oui), score (note sur une échelle) et choice (une option parmi N). Toutes les questions d'un document partent en un seul appel.</w:t>
      </w:r>
    </w:p>
    <w:p>
      <w:pPr>
        <w:pStyle w:val="Heading2"/>
      </w:pPr>
      <w:r>
        <w:t>12.1 Test mesuré</w:t>
      </w:r>
    </w:p>
    <w:p>
      <w:r>
        <w:t>Texte soumis : le contexte réel de l'investisseur, avec les quatre communes candidates et leurs chiffres, et la mention explicite que les charges de copropriété, l'état du bâtiment et la santé des copropriétés sont inconnus.</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Question</w:t>
            </w:r>
          </w:p>
        </w:tc>
        <w:tc>
          <w:tcPr>
            <w:tcW w:type="dxa" w:w="3137"/>
          </w:tcPr>
          <w:p>
            <w:r>
              <w:rPr>
                <w:b/>
              </w:rPr>
              <w:t>Réponse de Jev</w:t>
            </w:r>
          </w:p>
        </w:tc>
        <w:tc>
          <w:tcPr>
            <w:tcW w:type="dxa" w:w="3137"/>
          </w:tcPr>
          <w:p>
            <w:r>
              <w:rPr>
                <w:b/>
              </w:rPr>
              <w:t>Lecture</w:t>
            </w:r>
          </w:p>
        </w:tc>
      </w:tr>
      <w:tr>
        <w:tc>
          <w:tcPr>
            <w:tcW w:type="dxa" w:w="3137"/>
          </w:tcPr>
          <w:p>
            <w:r>
              <w:t>Quelle commune est la plus adaptée à cet investisseur ?</w:t>
            </w:r>
          </w:p>
        </w:tc>
        <w:tc>
          <w:tcPr>
            <w:tcW w:type="dxa" w:w="3137"/>
          </w:tcPr>
          <w:p>
            <w:r>
              <w:t>montmorency</w:t>
            </w:r>
          </w:p>
        </w:tc>
        <w:tc>
          <w:tcPr>
            <w:tcW w:type="dxa" w:w="3137"/>
          </w:tcPr>
          <w:p>
            <w:r>
              <w:t>Il n'a pas choisi le meilleur rendement. Garges (10,21 %) et Villiers-le-Bel (9,43 %) ont été écartés, Montmorency (7,17 %) retenu.</w:t>
            </w:r>
          </w:p>
        </w:tc>
      </w:tr>
      <w:tr>
        <w:tc>
          <w:tcPr>
            <w:tcW w:type="dxa" w:w="3137"/>
          </w:tcPr>
          <w:p>
            <w:r>
              <w:t>Les données suffisent-elles pour décider ?</w:t>
            </w:r>
          </w:p>
        </w:tc>
        <w:tc>
          <w:tcPr>
            <w:tcW w:type="dxa" w:w="3137"/>
          </w:tcPr>
          <w:p>
            <w:r>
              <w:t>0,06</w:t>
            </w:r>
          </w:p>
        </w:tc>
        <w:tc>
          <w:tcPr>
            <w:tcW w:type="dxa" w:w="3137"/>
          </w:tcPr>
          <w:p>
            <w:r>
              <w:t>Réponse claire : non. C'est le chiffre le plus utile du test.</w:t>
            </w:r>
          </w:p>
        </w:tc>
      </w:tr>
      <w:tr>
        <w:tc>
          <w:tcPr>
            <w:tcW w:type="dxa" w:w="3137"/>
          </w:tcPr>
          <w:p>
            <w:r>
              <w:t>Niveau de fiabilité de l'analyse ?</w:t>
            </w:r>
          </w:p>
        </w:tc>
        <w:tc>
          <w:tcPr>
            <w:tcW w:type="dxa" w:w="3137"/>
          </w:tcPr>
          <w:p>
            <w:r>
              <w:t>0,95</w:t>
            </w:r>
          </w:p>
        </w:tc>
        <w:tc>
          <w:tcPr>
            <w:tcW w:type="dxa" w:w="3137"/>
          </w:tcPr>
          <w:p>
            <w:r>
              <w:t>La primitive score renvoie un nombre alors qu'on lui a fourni quatre niveaux en texte. Comportement non conforme au contrat documenté.</w:t>
            </w:r>
          </w:p>
        </w:tc>
      </w:tr>
      <w:tr>
        <w:tc>
          <w:tcPr>
            <w:tcW w:type="dxa" w:w="3137"/>
          </w:tcPr>
          <w:p>
            <w:r>
              <w:t>Coût et latence</w:t>
            </w:r>
          </w:p>
        </w:tc>
        <w:tc>
          <w:tcPr>
            <w:tcW w:type="dxa" w:w="3137"/>
          </w:tcPr>
          <w:p>
            <w:r>
              <w:t>251 ms — 0,000037 $</w:t>
            </w:r>
          </w:p>
        </w:tc>
        <w:tc>
          <w:tcPr>
            <w:tcW w:type="dxa" w:w="3137"/>
          </w:tcPr>
          <w:p>
            <w:r>
              <w:t>Négligeable.</w:t>
            </w:r>
          </w:p>
        </w:tc>
      </w:tr>
    </w:tbl>
    <w:p>
      <w:pPr>
        <w:pStyle w:val="Heading2"/>
      </w:pPr>
      <w:r>
        <w:t>12.2 Ce que Jev fait bien</w:t>
      </w:r>
    </w:p>
    <w:p>
      <w:pPr>
        <w:pStyle w:val="ListBullet"/>
      </w:pPr>
      <w:r>
        <w:t>Il résiste à la réponse évidente. Confronté à un rendement de 10,21 %, il a choisi 7,17 % — parce que le texte signalait que la santé des copropriétés est inconnue. C'est exactement le comportement attendu d'un outil destiné à refuser une mauvaise opération.</w:t>
      </w:r>
    </w:p>
    <w:p>
      <w:pPr>
        <w:pStyle w:val="ListBullet"/>
      </w:pPr>
      <w:r>
        <w:t>Il traite un lot de questions pour le prix d'une seule. Vingt questions sur le même document coûtent le même appel.</w:t>
      </w:r>
    </w:p>
    <w:p>
      <w:pPr>
        <w:pStyle w:val="ListBullet"/>
      </w:pPr>
      <w:r>
        <w:t>Il est très bon marché et très rapide : les 502 appels passés depuis le 19 septembre représentent 0,017 dollar au total.</w:t>
      </w:r>
    </w:p>
    <w:p>
      <w:pPr>
        <w:pStyle w:val="Heading2"/>
      </w:pPr>
      <w:r>
        <w:t>12.3 Ce que Jev ne fait pas</w:t>
      </w:r>
    </w:p>
    <w:p>
      <w:pPr>
        <w:pStyle w:val="ListBullet"/>
      </w:pPr>
      <w:r>
        <w:t>Il ne calcule pas. Le rendement, les médianes et les surfaces se calculent en code, exactement. Sur 40 000 lignes, Jev est inutilisable ; sur un texte, il est utile.</w:t>
      </w:r>
    </w:p>
    <w:p>
      <w:pPr>
        <w:pStyle w:val="ListBullet"/>
      </w:pPr>
      <w:r>
        <w:t>Il ne cherche pas. Les portails sont fermés, et ce n'est pas un problème de modèle.</w:t>
      </w:r>
    </w:p>
    <w:p>
      <w:pPr>
        <w:pStyle w:val="ListBullet"/>
      </w:pPr>
      <w:r>
        <w:t>Il ne vérifie pas un fait au sens fort : 24 % de faux positifs ont été mesurés sur un usage de portillon.</w:t>
      </w:r>
    </w:p>
    <w:p>
      <w:pPr>
        <w:pStyle w:val="ListBullet"/>
      </w:pPr>
      <w:r>
        <w:t>Il ne remplace pas la visite : il ne voit pas l'état du bâti.</w:t>
      </w:r>
    </w:p>
    <w:p>
      <w:pPr>
        <w:pStyle w:val="ListBullet"/>
      </w:pPr>
      <w:r>
        <w:t>La primitive score a renvoyé un nombre là où un niveau textuel était attendu. À ne pas utiliser lorsqu'un libellé précis est nécessaire.</w:t>
      </w:r>
    </w:p>
    <w:p>
      <w:pPr>
        <w:pStyle w:val="ListBullet"/>
      </w:pPr>
      <w:r>
        <w:t>Deux appels ont échoué avant de trouver le format correct : la clé du type de question est « type » et non « primitive », et le champ « instructions » est obligatoire.</w:t>
      </w:r>
    </w:p>
    <w:p>
      <w:pPr>
        <w:pStyle w:val="Heading2"/>
      </w:pPr>
      <w:r>
        <w:t>12.4 Les usages réels dans un projet immobilier</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Document</w:t>
            </w:r>
          </w:p>
        </w:tc>
        <w:tc>
          <w:tcPr>
            <w:tcW w:type="dxa" w:w="3137"/>
          </w:tcPr>
          <w:p>
            <w:r>
              <w:rPr>
                <w:b/>
              </w:rPr>
              <w:t>Questions bornées</w:t>
            </w:r>
          </w:p>
        </w:tc>
        <w:tc>
          <w:tcPr>
            <w:tcW w:type="dxa" w:w="3137"/>
          </w:tcPr>
          <w:p>
            <w:r>
              <w:rPr>
                <w:b/>
              </w:rPr>
              <w:t>Enjeu</w:t>
            </w:r>
          </w:p>
        </w:tc>
      </w:tr>
      <w:tr>
        <w:tc>
          <w:tcPr>
            <w:tcW w:type="dxa" w:w="3137"/>
          </w:tcPr>
          <w:p>
            <w:r>
              <w:t>Procès-verbaux des trois dernières assemblées générales de copropriété</w:t>
            </w:r>
          </w:p>
        </w:tc>
        <w:tc>
          <w:tcPr>
            <w:tcW w:type="dxa" w:w="3137"/>
          </w:tcPr>
          <w:p>
            <w:r>
              <w:t>Des travaux ont-ils été votés et non réalisés ? Existe-t-il un impayé de copropriétaire ? Un diagnostic technique global a-t-il été voté ? La copropriété est-elle en procédure ?</w:t>
            </w:r>
          </w:p>
        </w:tc>
        <w:tc>
          <w:tcPr>
            <w:tcW w:type="dxa" w:w="3137"/>
          </w:tcPr>
          <w:p>
            <w:r>
              <w:t>C'est le principal angle mort identifié : aucune donnée ouverte ne renseigne la santé d'une copropriété.</w:t>
            </w:r>
          </w:p>
        </w:tc>
      </w:tr>
      <w:tr>
        <w:tc>
          <w:tcPr>
            <w:tcW w:type="dxa" w:w="3137"/>
          </w:tcPr>
          <w:p>
            <w:r>
              <w:t>Cahier des conditions de vente (ventes aux enchères, 50 à 100 pages)</w:t>
            </w:r>
          </w:p>
        </w:tc>
        <w:tc>
          <w:tcPr>
            <w:tcW w:type="dxa" w:w="3137"/>
          </w:tcPr>
          <w:p>
            <w:r>
              <w:t>Quelles sont les conditions suspensives ? Le bien est-il occupé ? Quel est le montant des charges impayées ?</w:t>
            </w:r>
          </w:p>
        </w:tc>
        <w:tc>
          <w:tcPr>
            <w:tcW w:type="dxa" w:w="3137"/>
          </w:tcPr>
          <w:p>
            <w:r>
              <w:t>Document juridique dense, à lire avant d'enchérir.</w:t>
            </w:r>
          </w:p>
        </w:tc>
      </w:tr>
      <w:tr>
        <w:tc>
          <w:tcPr>
            <w:tcW w:type="dxa" w:w="3137"/>
          </w:tcPr>
          <w:p>
            <w:r>
              <w:t>Arbitrage final entre plusieurs biens</w:t>
            </w:r>
          </w:p>
        </w:tc>
        <w:tc>
          <w:tcPr>
            <w:tcW w:type="dxa" w:w="3137"/>
          </w:tcPr>
          <w:p>
            <w:r>
              <w:t>Les mêmes critères appliqués à chaque bien, en un seul appel</w:t>
            </w:r>
          </w:p>
        </w:tc>
        <w:tc>
          <w:tcPr>
            <w:tcW w:type="dxa" w:w="3137"/>
          </w:tcPr>
          <w:p>
            <w:r>
              <w:t>Comparaison homogène.</w:t>
            </w:r>
          </w:p>
        </w:tc>
      </w:tr>
    </w:tbl>
    <w:p>
      <w:r>
        <w:t>Formulation retenue : Jev ne remplace pas l'analyse. Il lit les documents que l'on ne lit pas, et son premier réflexe est de refuser la réponse facile.</w:t>
      </w:r>
    </w:p>
    <w:p>
      <w:pPr>
        <w:pStyle w:val="Heading1"/>
      </w:pPr>
      <w:r>
        <w:t>13. Ce qu'il reste à établir</w:t>
      </w:r>
    </w:p>
    <w:tbl>
      <w:tblPr>
        <w:tblStyle w:val="TableGrid"/>
        <w:tblW w:type="auto" w:w="0"/>
        <w:tblLook w:firstColumn="1" w:firstRow="1" w:lastColumn="0" w:lastRow="0" w:noHBand="0" w:noVBand="1" w:val="04A0"/>
      </w:tblPr>
      <w:tblGrid>
        <w:gridCol w:w="4706"/>
        <w:gridCol w:w="4706"/>
      </w:tblGrid>
      <w:tr>
        <w:tc>
          <w:tcPr>
            <w:tcW w:type="dxa" w:w="4706"/>
          </w:tcPr>
          <w:p>
            <w:r>
              <w:rPr>
                <w:b/>
              </w:rPr>
              <w:t>Élément</w:t>
            </w:r>
          </w:p>
        </w:tc>
        <w:tc>
          <w:tcPr>
            <w:tcW w:type="dxa" w:w="4706"/>
          </w:tcPr>
          <w:p>
            <w:r>
              <w:rPr>
                <w:b/>
              </w:rPr>
              <w:t>État</w:t>
            </w:r>
          </w:p>
        </w:tc>
      </w:tr>
      <w:tr>
        <w:tc>
          <w:tcPr>
            <w:tcW w:type="dxa" w:w="4706"/>
          </w:tcPr>
          <w:p>
            <w:r>
              <w:t>Prix réels au m² par commune (DVF 2025)</w:t>
            </w:r>
          </w:p>
        </w:tc>
        <w:tc>
          <w:tcPr>
            <w:tcW w:type="dxa" w:w="4706"/>
          </w:tcPr>
          <w:p>
            <w:r>
              <w:t>Établi</w:t>
            </w:r>
          </w:p>
        </w:tc>
      </w:tr>
      <w:tr>
        <w:tc>
          <w:tcPr>
            <w:tcW w:type="dxa" w:w="4706"/>
          </w:tcPr>
          <w:p>
            <w:r>
              <w:t>Loyers par commune (carte des loyers 2025)</w:t>
            </w:r>
          </w:p>
        </w:tc>
        <w:tc>
          <w:tcPr>
            <w:tcW w:type="dxa" w:w="4706"/>
          </w:tcPr>
          <w:p>
            <w:r>
              <w:t>Établi</w:t>
            </w:r>
          </w:p>
        </w:tc>
      </w:tr>
      <w:tr>
        <w:tc>
          <w:tcPr>
            <w:tcW w:type="dxa" w:w="4706"/>
          </w:tcPr>
          <w:p>
            <w:r>
              <w:t>Rendements bruts par commune et par rue</w:t>
            </w:r>
          </w:p>
        </w:tc>
        <w:tc>
          <w:tcPr>
            <w:tcW w:type="dxa" w:w="4706"/>
          </w:tcPr>
          <w:p>
            <w:r>
              <w:t>Établi</w:t>
            </w:r>
          </w:p>
        </w:tc>
      </w:tr>
      <w:tr>
        <w:tc>
          <w:tcPr>
            <w:tcW w:type="dxa" w:w="4706"/>
          </w:tcPr>
          <w:p>
            <w:r>
              <w:t>État du bâti, DPE, travaux à prévoir</w:t>
            </w:r>
          </w:p>
        </w:tc>
        <w:tc>
          <w:tcPr>
            <w:tcW w:type="dxa" w:w="4706"/>
          </w:tcPr>
          <w:p>
            <w:r>
              <w:t>Non disponible en données ouvertes</w:t>
            </w:r>
          </w:p>
        </w:tc>
      </w:tr>
      <w:tr>
        <w:tc>
          <w:tcPr>
            <w:tcW w:type="dxa" w:w="4706"/>
          </w:tcPr>
          <w:p>
            <w:r>
              <w:t>Charges réelles de copropriété</w:t>
            </w:r>
          </w:p>
        </w:tc>
        <w:tc>
          <w:tcPr>
            <w:tcW w:type="dxa" w:w="4706"/>
          </w:tcPr>
          <w:p>
            <w:r>
              <w:t>À demander au syndic</w:t>
            </w:r>
          </w:p>
        </w:tc>
      </w:tr>
      <w:tr>
        <w:tc>
          <w:tcPr>
            <w:tcW w:type="dxa" w:w="4706"/>
          </w:tcPr>
          <w:p>
            <w:r>
              <w:t>Santé de la copropriété, procédures en cours</w:t>
            </w:r>
          </w:p>
        </w:tc>
        <w:tc>
          <w:tcPr>
            <w:tcW w:type="dxa" w:w="4706"/>
          </w:tcPr>
          <w:p>
            <w:r>
              <w:t>Aucun accès public — c'est ici que Jev intervient</w:t>
            </w:r>
          </w:p>
        </w:tc>
      </w:tr>
      <w:tr>
        <w:tc>
          <w:tcPr>
            <w:tcW w:type="dxa" w:w="4706"/>
          </w:tcPr>
          <w:p>
            <w:r>
              <w:t>Taux de vacance réel dans l'immeuble</w:t>
            </w:r>
          </w:p>
        </w:tc>
        <w:tc>
          <w:tcPr>
            <w:tcW w:type="dxa" w:w="4706"/>
          </w:tcPr>
          <w:p>
            <w:r>
              <w:t>Aucun accès</w:t>
            </w:r>
          </w:p>
        </w:tc>
      </w:tr>
      <w:tr>
        <w:tc>
          <w:tcPr>
            <w:tcW w:type="dxa" w:w="4706"/>
          </w:tcPr>
          <w:p>
            <w:r>
              <w:t>Validated willingness to pay des professionnels</w:t>
            </w:r>
          </w:p>
        </w:tc>
        <w:tc>
          <w:tcPr>
            <w:tcW w:type="dxa" w:w="4706"/>
          </w:tcPr>
          <w:p>
            <w:r>
              <w:t>Non testée — le test retenu est de présenter un dossier complet produit en cinq minutes à trois professionnels</w:t>
            </w:r>
          </w:p>
        </w:tc>
      </w:tr>
    </w:tbl>
    <w:p>
      <w:pPr>
        <w:pStyle w:val="Heading1"/>
      </w:pPr>
      <w:r>
        <w:t>Annexe — sources et reproductibilité</w:t>
      </w:r>
    </w:p>
    <w:p>
      <w:pPr>
        <w:pStyle w:val="ListBullet"/>
      </w:pPr>
      <w:r>
        <w:t>DVF — Demandes de valeurs foncières, fichiers geo-dvf par département et par commune. files.data.gouv.fr</w:t>
      </w:r>
    </w:p>
    <w:p>
      <w:pPr>
        <w:pStyle w:val="ListBullet"/>
      </w:pPr>
      <w:r>
        <w:t>« Carte des loyers » — indicateurs de loyers d'annonce par commune, millésime 2025. data.gouv.fr</w:t>
      </w:r>
    </w:p>
    <w:p>
      <w:pPr>
        <w:pStyle w:val="ListBullet"/>
      </w:pPr>
      <w:r>
        <w:t>Cadastre et API Carto. apicarto.ign.fr</w:t>
      </w:r>
    </w:p>
    <w:p>
      <w:pPr>
        <w:pStyle w:val="ListBullet"/>
      </w:pPr>
      <w:r>
        <w:t>Base Adresse Nationale. api-adresse.data.gouv.fr</w:t>
      </w:r>
    </w:p>
    <w:p>
      <w:pPr>
        <w:pStyle w:val="ListBullet"/>
      </w:pPr>
      <w:r>
        <w:t>Décision de justice citée : cour d'appel de Versailles, 14 avril 2026, société LBC France contre société Babel France (application Jinka), dommages-intérêts de 200 000 euros.</w:t>
      </w:r>
    </w:p>
    <w:p>
      <w:pPr>
        <w:pStyle w:val="ListBullet"/>
      </w:pPr>
      <w:r>
        <w:t>Loi n° 70-9 du 2 janvier 1970, dite loi Hoguet, article 14.</w:t>
      </w:r>
    </w:p>
    <w:p>
      <w:pPr>
        <w:pStyle w:val="ListBullet"/>
      </w:pPr>
      <w:r>
        <w:t>Code de la propriété intellectuelle, article L341-1 et suivants, droit sui generis du producteur de base de données.</w:t>
      </w:r>
    </w:p>
    <w:p>
      <w:pPr>
        <w:pStyle w:val="ListBullet"/>
      </w:pPr>
      <w:r>
        <w:t>API Jev — TypeSafe System One, modèle jev-1.13.0, endpoint api.typesafe.ai.</w:t>
      </w:r>
    </w:p>
    <w:p>
      <w:r>
        <w:t>L'ensemble des analyses chiffrées de ce dossier est reproductible : les fichiers sources sont publics et gratuits, et la méthode est décrite en section 8.</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Agent IA et investissement immobilier — dossier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