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B8860B"/>
          <w:sz w:val="26"/>
          <w:szCs w:val="26"/>
        </w:rPr>
        <w:t xml:space="preserve">RhoneyInc</w:t>
      </w:r>
    </w:p>
    <w:p>
      <w:pPr>
        <w:spacing w:after="60"/>
        <w:jc w:val="center"/>
      </w:pPr>
      <w:r>
        <w:rPr>
          <w:b/>
          <w:bCs/>
          <w:color w:val="1A1A1A"/>
          <w:sz w:val="64"/>
          <w:szCs w:val="64"/>
        </w:rPr>
        <w:t xml:space="preserve">VendeFlex</w:t>
      </w:r>
    </w:p>
    <w:p>
      <w:pPr>
        <w:spacing w:after="400"/>
        <w:jc w:val="center"/>
      </w:pPr>
      <w:r>
        <w:rPr>
          <w:i/>
          <w:iCs/>
          <w:color w:val="555555"/>
          <w:sz w:val="24"/>
          <w:szCs w:val="24"/>
        </w:rPr>
        <w:t xml:space="preserve">Documento Oficial de Requisitos de Produto (PRD)</w:t>
      </w:r>
    </w:p>
    <w:p>
      <w:pPr>
        <w:pBdr>
          <w:top w:val="single" w:color="3FA796" w:sz="6" w:space="10"/>
        </w:pBdr>
        <w:spacing w:after="40"/>
        <w:jc w:val="center"/>
      </w:pPr>
      <w:r>
        <w:rPr>
          <w:sz w:val="4"/>
          <w:szCs w:val="4"/>
        </w:rPr>
        <w:t xml:space="preserve"> </w:t>
      </w:r>
    </w:p>
    <w:p>
      <w:pPr>
        <w:spacing w:after="20" w:before="200"/>
        <w:jc w:val="center"/>
      </w:pPr>
      <w:r>
        <w:rPr>
          <w:color w:val="555555"/>
          <w:sz w:val="20"/>
          <w:szCs w:val="20"/>
        </w:rPr>
        <w:t xml:space="preserve">Versão em construção — geração por capítulos</w:t>
      </w:r>
    </w:p>
    <w:p>
      <w:pPr>
        <w:jc w:val="center"/>
      </w:pPr>
      <w:r>
        <w:rPr>
          <w:sz w:val="2"/>
          <w:szCs w:val="2"/>
        </w:rPr>
        <w:t xml:space="preserve"/>
      </w:r>
    </w:p>
    <w:p>
      <w:pPr>
        <w:pStyle w:val="Heading1"/>
        <w:pageBreakBefore/>
        <w:spacing w:after="240"/>
      </w:pPr>
      <w:r>
        <w:rPr>
          <w:b/>
          <w:bCs/>
          <w:color w:val="B8860B"/>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Bdr>
          <w:bottom w:val="single" w:color="3FA796" w:sz="6" w:space="8"/>
        </w:pBdr>
        <w:spacing w:after="240" w:before="0"/>
      </w:pPr>
      <w:r>
        <w:rPr>
          <w:b/>
          <w:bCs/>
          <w:color w:val="B8860B"/>
          <w:sz w:val="22"/>
          <w:szCs w:val="22"/>
        </w:rPr>
        <w:t xml:space="preserve">CAPÍTULO 1</w:t>
      </w:r>
      <w:r>
        <w:t xml:space="preserve">  </w:t>
      </w:r>
    </w:p>
    <w:p>
      <w:pPr>
        <w:pStyle w:val="Heading1"/>
        <w:spacing w:after="280" w:before="0"/>
      </w:pPr>
      <w:r>
        <w:rPr>
          <w:b/>
          <w:bCs/>
          <w:color w:val="1A1A1A"/>
          <w:sz w:val="36"/>
          <w:szCs w:val="36"/>
        </w:rPr>
        <w:t xml:space="preserve">Introdução e Visão do Produto</w:t>
      </w:r>
    </w:p>
    <w:p>
      <w:pPr>
        <w:pStyle w:val="Heading2"/>
        <w:spacing w:after="140" w:before="320"/>
      </w:pPr>
      <w:r>
        <w:rPr>
          <w:b/>
          <w:bCs/>
          <w:color w:val="B8860B"/>
          <w:sz w:val="26"/>
          <w:szCs w:val="26"/>
        </w:rPr>
        <w:t xml:space="preserve">1.1 Propósito deste Documento</w:t>
      </w:r>
    </w:p>
    <w:p>
      <w:pPr>
        <w:spacing w:after="140" w:line="300"/>
      </w:pPr>
      <w:r>
        <w:rPr>
          <w:sz w:val="21"/>
          <w:szCs w:val="21"/>
        </w:rPr>
        <w:t xml:space="preserve">Este documento é o PRD (Product Requirements Document) oficial do VendeFlex, produto do ecossistema RhoneyInc. Ele define, de forma vinculante, o que o produto é, para quem existe, como se comporta, como é estruturado tecnicamente e qual é o caminho de evolução planejado.</w:t>
      </w:r>
    </w:p>
    <w:p>
      <w:pPr>
        <w:spacing w:after="140" w:line="300"/>
      </w:pPr>
      <w:r>
        <w:rPr>
          <w:sz w:val="21"/>
          <w:szCs w:val="21"/>
        </w:rPr>
        <w:t xml:space="preserve">Toda decisão de desenvolvimento — design, banco de dados, prompts para o Claude Code, priorização de funcionalidades — deve ser rastreável a este documento. Alterações de escopo devem ser refletidas aqui antes de impactar o código, nunca depois.</w:t>
      </w:r>
    </w:p>
    <w:p>
      <w:pPr>
        <w:pBdr>
          <w:left w:val="single" w:color="3FA796" w:sz="18" w:space="12"/>
        </w:pBdr>
        <w:spacing w:after="200" w:before="120"/>
        <w:ind w:left="400"/>
      </w:pPr>
      <w:r>
        <w:rPr>
          <w:i/>
          <w:iCs/>
          <w:color w:val="555555"/>
          <w:sz w:val="21"/>
          <w:szCs w:val="21"/>
        </w:rPr>
        <w:t xml:space="preserve">Este PRD segue uma estratégia evolutiva: nenhuma decisão futura pode comprometer compatibilidade, integridade de dados ou segurança já estabelecidas em versões anteriores do produto.</w:t>
      </w:r>
    </w:p>
    <w:p>
      <w:pPr>
        <w:pStyle w:val="Heading2"/>
        <w:spacing w:after="140" w:before="320"/>
      </w:pPr>
      <w:r>
        <w:rPr>
          <w:b/>
          <w:bCs/>
          <w:color w:val="B8860B"/>
          <w:sz w:val="26"/>
          <w:szCs w:val="26"/>
        </w:rPr>
        <w:t xml:space="preserve">1.2 O que é o VendeFlex</w:t>
      </w:r>
    </w:p>
    <w:p>
      <w:pPr>
        <w:spacing w:after="140" w:line="300"/>
      </w:pPr>
      <w:r>
        <w:rPr>
          <w:sz w:val="21"/>
          <w:szCs w:val="21"/>
        </w:rPr>
        <w:t xml:space="preserve">O VendeFlex é uma plataforma de gestão empresarial voltada para o ciclo completo de operação comercial: entrada de mercadoria, catálogo, estoque, fornecedores, vendas, financeiro e relatórios. Diferente de um sistema de vendas isolado, o VendeFlex é desenhado como base extensível — um núcleo ("core") de gestão comercial sobre o qual módulos adicionais (CRM, BI, fidelidade, integrações fiscais) são adicionados nas fases seguintes de evolução do produto, conforme detalhado no Roadmap (Capítulo 22).</w:t>
      </w:r>
    </w:p>
    <w:p>
      <w:pPr>
        <w:spacing w:after="140" w:line="300"/>
      </w:pPr>
      <w:r>
        <w:rPr>
          <w:sz w:val="21"/>
          <w:szCs w:val="21"/>
        </w:rPr>
        <w:t xml:space="preserve">O produto nasce como sistema de vendas e estoque multissegmento — atendendo qualquer tipo de comércio (roupas, cosméticos, mercadinho, papelaria, eletrônicos, entre outros) — e evolui em direção a uma plataforma de gestão empresarial mais completa à medida que a base de clientes e a maturidade técnica do produto permitem.</w:t>
      </w:r>
    </w:p>
    <w:p>
      <w:pPr>
        <w:pStyle w:val="Heading2"/>
        <w:spacing w:after="140" w:before="320"/>
      </w:pPr>
      <w:r>
        <w:rPr>
          <w:b/>
          <w:bCs/>
          <w:color w:val="B8860B"/>
          <w:sz w:val="26"/>
          <w:szCs w:val="26"/>
        </w:rPr>
        <w:t xml:space="preserve">1.3 Objetivos do Produto</w:t>
      </w:r>
    </w:p>
    <w:p>
      <w:pPr>
        <w:pStyle w:val="ListParagraph"/>
        <w:numPr>
          <w:ilvl w:val="0"/>
          <w:numId w:val="2"/>
        </w:numPr>
        <w:spacing w:after="70"/>
      </w:pPr>
      <w:r>
        <w:rPr>
          <w:sz w:val="21"/>
          <w:szCs w:val="21"/>
        </w:rPr>
        <w:t xml:space="preserve">Oferecer controle comercial completo e confiável para pequenos e médios negócios, com curva de aprendizado mínima.</w:t>
      </w:r>
    </w:p>
    <w:p>
      <w:pPr>
        <w:pStyle w:val="ListParagraph"/>
        <w:numPr>
          <w:ilvl w:val="0"/>
          <w:numId w:val="2"/>
        </w:numPr>
        <w:spacing w:after="70"/>
      </w:pPr>
      <w:r>
        <w:rPr>
          <w:sz w:val="21"/>
          <w:szCs w:val="21"/>
        </w:rPr>
        <w:t xml:space="preserve">Crescer junto com o cliente: o negócio não deve precisar trocar de sistema à medida que se expande — o VendeFlex libera módulos e complexidade progressivamente.</w:t>
      </w:r>
    </w:p>
    <w:p>
      <w:pPr>
        <w:pStyle w:val="ListParagraph"/>
        <w:numPr>
          <w:ilvl w:val="0"/>
          <w:numId w:val="2"/>
        </w:numPr>
        <w:spacing w:after="70"/>
      </w:pPr>
      <w:r>
        <w:rPr>
          <w:sz w:val="21"/>
          <w:szCs w:val="21"/>
        </w:rPr>
        <w:t xml:space="preserve">Reduzir trabalho manual e erro humano por meio de automações e, progressivamente, de inteligência artificial aplicada a tarefas operacionais (cadastro, precificação, previsão de estoque).</w:t>
      </w:r>
    </w:p>
    <w:p>
      <w:pPr>
        <w:pStyle w:val="ListParagraph"/>
        <w:numPr>
          <w:ilvl w:val="0"/>
          <w:numId w:val="2"/>
        </w:numPr>
        <w:spacing w:after="70"/>
      </w:pPr>
      <w:r>
        <w:rPr>
          <w:sz w:val="21"/>
          <w:szCs w:val="21"/>
        </w:rPr>
        <w:t xml:space="preserve">Manter-se como parte de um ecossistema coeso (RhoneyInc), compartilhando login, identidade visual e infraestrutura com os demais produtos (MenuFlex, FinWise e futuros produtos).</w:t>
      </w:r>
    </w:p>
    <w:p>
      <w:pPr>
        <w:pStyle w:val="ListParagraph"/>
        <w:numPr>
          <w:ilvl w:val="0"/>
          <w:numId w:val="2"/>
        </w:numPr>
        <w:spacing w:after="70"/>
      </w:pPr>
      <w:r>
        <w:rPr>
          <w:sz w:val="21"/>
          <w:szCs w:val="21"/>
        </w:rPr>
        <w:t xml:space="preserve">Sustentar um modelo de monetização recorrente e escalável, com planos que acompanham o tamanho e a maturidade do negócio do cliente.</w:t>
      </w:r>
    </w:p>
    <w:p>
      <w:pPr>
        <w:pStyle w:val="Heading2"/>
        <w:spacing w:after="140" w:before="320"/>
      </w:pPr>
      <w:r>
        <w:rPr>
          <w:b/>
          <w:bCs/>
          <w:color w:val="B8860B"/>
          <w:sz w:val="26"/>
          <w:szCs w:val="26"/>
        </w:rPr>
        <w:t xml:space="preserve">1.4 Posicionamento no Ecossistema RhoneyInc</w:t>
      </w:r>
    </w:p>
    <w:p>
      <w:pPr>
        <w:spacing w:after="140" w:line="300"/>
      </w:pPr>
      <w:r>
        <w:rPr>
          <w:sz w:val="21"/>
          <w:szCs w:val="21"/>
        </w:rPr>
        <w:t xml:space="preserve">A RhoneyInc opera sob o conceito "Uma conta. Todos os softwares." — um hub de produtos SaaS com autenticação única e arquitetura técnica compartilhada. O VendeFlex ocupa, nesse ecossistema, o papel de módulo de gestão comercial e de estoque, complementando: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1A1A1A" w:val="clear"/>
            <w:tcMar>
              <w:top w:type="dxa" w:w="90"/>
              <w:left w:type="dxa" w:w="110"/>
              <w:bottom w:type="dxa" w:w="90"/>
              <w:right w:type="dxa" w:w="110"/>
            </w:tcMar>
          </w:tcPr>
          <w:p>
            <w:r>
              <w:rPr>
                <w:b/>
                <w:bCs/>
                <w:color w:val="FFFFFF"/>
                <w:sz w:val="19"/>
                <w:szCs w:val="19"/>
              </w:rPr>
              <w:t xml:space="preserve">Produto</w:t>
            </w:r>
          </w:p>
        </w:tc>
        <w:tc>
          <w:tcPr>
            <w:tcW w:type="dxa" w:w="7300"/>
            <w:shd w:fill="1A1A1A" w:val="clear"/>
            <w:tcMar>
              <w:top w:type="dxa" w:w="90"/>
              <w:left w:type="dxa" w:w="110"/>
              <w:bottom w:type="dxa" w:w="90"/>
              <w:right w:type="dxa" w:w="110"/>
            </w:tcMar>
          </w:tcPr>
          <w:p>
            <w:r>
              <w:rPr>
                <w:b/>
                <w:bCs/>
                <w:color w:val="FFFFFF"/>
                <w:sz w:val="19"/>
                <w:szCs w:val="19"/>
              </w:rPr>
              <w:t xml:space="preserve">Papel no ecossistema</w:t>
            </w:r>
          </w:p>
        </w:tc>
      </w:tr>
      <w:tr>
        <w:tc>
          <w:tcPr>
            <w:tcW w:type="dxa" w:w="2400"/>
            <w:tcMar>
              <w:top w:type="dxa" w:w="90"/>
              <w:left w:type="dxa" w:w="110"/>
              <w:bottom w:type="dxa" w:w="90"/>
              <w:right w:type="dxa" w:w="110"/>
            </w:tcMar>
          </w:tcPr>
          <w:p>
            <w:r>
              <w:rPr>
                <w:b w:val="false"/>
                <w:bCs w:val="false"/>
                <w:color w:val="1A1A1A"/>
                <w:sz w:val="19"/>
                <w:szCs w:val="19"/>
              </w:rPr>
              <w:t xml:space="preserve">MenuFlex</w:t>
            </w:r>
          </w:p>
        </w:tc>
        <w:tc>
          <w:tcPr>
            <w:tcW w:type="dxa" w:w="7300"/>
            <w:tcMar>
              <w:top w:type="dxa" w:w="90"/>
              <w:left w:type="dxa" w:w="110"/>
              <w:bottom w:type="dxa" w:w="90"/>
              <w:right w:type="dxa" w:w="110"/>
            </w:tcMar>
          </w:tcPr>
          <w:p>
            <w:r>
              <w:rPr>
                <w:b w:val="false"/>
                <w:bCs w:val="false"/>
                <w:color w:val="1A1A1A"/>
                <w:sz w:val="19"/>
                <w:szCs w:val="19"/>
              </w:rPr>
              <w:t xml:space="preserve">Cardápio digital e operação para negócios de alimentação (vertical)</w:t>
            </w:r>
          </w:p>
        </w:tc>
      </w:tr>
      <w:tr>
        <w:tc>
          <w:tcPr>
            <w:tcW w:type="dxa" w:w="2400"/>
            <w:tcMar>
              <w:top w:type="dxa" w:w="90"/>
              <w:left w:type="dxa" w:w="110"/>
              <w:bottom w:type="dxa" w:w="90"/>
              <w:right w:type="dxa" w:w="110"/>
            </w:tcMar>
          </w:tcPr>
          <w:p>
            <w:r>
              <w:rPr>
                <w:b w:val="false"/>
                <w:bCs w:val="false"/>
                <w:color w:val="1A1A1A"/>
                <w:sz w:val="19"/>
                <w:szCs w:val="19"/>
              </w:rPr>
              <w:t xml:space="preserve">VendeFlex</w:t>
            </w:r>
          </w:p>
        </w:tc>
        <w:tc>
          <w:tcPr>
            <w:tcW w:type="dxa" w:w="7300"/>
            <w:tcMar>
              <w:top w:type="dxa" w:w="90"/>
              <w:left w:type="dxa" w:w="110"/>
              <w:bottom w:type="dxa" w:w="90"/>
              <w:right w:type="dxa" w:w="110"/>
            </w:tcMar>
          </w:tcPr>
          <w:p>
            <w:r>
              <w:rPr>
                <w:b w:val="false"/>
                <w:bCs w:val="false"/>
                <w:color w:val="1A1A1A"/>
                <w:sz w:val="19"/>
                <w:szCs w:val="19"/>
              </w:rPr>
              <w:t xml:space="preserve">Gestão comercial e de estoque multissegmento (horizontal)</w:t>
            </w:r>
          </w:p>
        </w:tc>
      </w:tr>
      <w:tr>
        <w:tc>
          <w:tcPr>
            <w:tcW w:type="dxa" w:w="2400"/>
            <w:tcMar>
              <w:top w:type="dxa" w:w="90"/>
              <w:left w:type="dxa" w:w="110"/>
              <w:bottom w:type="dxa" w:w="90"/>
              <w:right w:type="dxa" w:w="110"/>
            </w:tcMar>
          </w:tcPr>
          <w:p>
            <w:r>
              <w:rPr>
                <w:b w:val="false"/>
                <w:bCs w:val="false"/>
                <w:color w:val="1A1A1A"/>
                <w:sz w:val="19"/>
                <w:szCs w:val="19"/>
              </w:rPr>
              <w:t xml:space="preserve">FinWise</w:t>
            </w:r>
          </w:p>
        </w:tc>
        <w:tc>
          <w:tcPr>
            <w:tcW w:type="dxa" w:w="7300"/>
            <w:tcMar>
              <w:top w:type="dxa" w:w="90"/>
              <w:left w:type="dxa" w:w="110"/>
              <w:bottom w:type="dxa" w:w="90"/>
              <w:right w:type="dxa" w:w="110"/>
            </w:tcMar>
          </w:tcPr>
          <w:p>
            <w:r>
              <w:rPr>
                <w:b w:val="false"/>
                <w:bCs w:val="false"/>
                <w:color w:val="1A1A1A"/>
                <w:sz w:val="19"/>
                <w:szCs w:val="19"/>
              </w:rPr>
              <w:t xml:space="preserve">Finanças pessoais do usuário final, com módulos de educação financeira</w:t>
            </w:r>
          </w:p>
        </w:tc>
      </w:tr>
    </w:tbl>
    <w:p>
      <w:pPr>
        <w:spacing w:after="140" w:line="300"/>
      </w:pPr>
      <w:r>
        <w:rPr>
          <w:sz w:val="21"/>
          <w:szCs w:val="21"/>
        </w:rPr>
        <w:t xml:space="preserve">Negócios que operam em mais de uma frente — por exemplo, uma hamburgueria (MenuFlex) que também revende bebidas no varejo (VendeFlex) — poderão, em fases futuras, compartilhar dados de estoque e produtos entre os dois sistemas, sempre respeitando o isolamento de tenant e as regras de segurança (RLS) detalhadas no Capítulo 15.</w:t>
      </w:r>
    </w:p>
    <w:p>
      <w:pPr>
        <w:pStyle w:val="Heading2"/>
        <w:spacing w:after="140" w:before="320"/>
      </w:pPr>
      <w:r>
        <w:rPr>
          <w:b/>
          <w:bCs/>
          <w:color w:val="B8860B"/>
          <w:sz w:val="26"/>
          <w:szCs w:val="26"/>
        </w:rPr>
        <w:t xml:space="preserve">1.5 Filosofia do Produto</w:t>
      </w:r>
    </w:p>
    <w:p>
      <w:pPr>
        <w:spacing w:after="140" w:line="300"/>
      </w:pPr>
      <w:r>
        <w:rPr>
          <w:sz w:val="21"/>
          <w:szCs w:val="21"/>
        </w:rPr>
        <w:t xml:space="preserve">O VendeFlex é guiado pelos seguintes atributos de produto, nesta ordem de prioridade quando houver conflito entre eles:</w:t>
      </w:r>
    </w:p>
    <w:p>
      <w:pPr>
        <w:pStyle w:val="ListParagraph"/>
        <w:numPr>
          <w:ilvl w:val="0"/>
          <w:numId w:val="3"/>
        </w:numPr>
        <w:spacing w:after="70"/>
      </w:pPr>
      <w:r>
        <w:rPr>
          <w:sz w:val="21"/>
          <w:szCs w:val="21"/>
        </w:rPr>
        <w:t xml:space="preserve">Confiabilidade — dados de estoque e financeiro nunca podem estar errados ou inconsistentes.</w:t>
      </w:r>
    </w:p>
    <w:p>
      <w:pPr>
        <w:pStyle w:val="ListParagraph"/>
        <w:numPr>
          <w:ilvl w:val="0"/>
          <w:numId w:val="3"/>
        </w:numPr>
        <w:spacing w:after="70"/>
      </w:pPr>
      <w:r>
        <w:rPr>
          <w:sz w:val="21"/>
          <w:szCs w:val="21"/>
        </w:rPr>
        <w:t xml:space="preserve">Simplicidade — cada fluxo deve ser executável com o menor número de cliques possível.</w:t>
      </w:r>
    </w:p>
    <w:p>
      <w:pPr>
        <w:pStyle w:val="ListParagraph"/>
        <w:numPr>
          <w:ilvl w:val="0"/>
          <w:numId w:val="3"/>
        </w:numPr>
        <w:spacing w:after="70"/>
      </w:pPr>
      <w:r>
        <w:rPr>
          <w:sz w:val="21"/>
          <w:szCs w:val="21"/>
        </w:rPr>
        <w:t xml:space="preserve">Velocidade — tempos de resposta baixos, inclusive em conexões instáveis (comércio de rua, conexões móveis).</w:t>
      </w:r>
    </w:p>
    <w:p>
      <w:pPr>
        <w:pStyle w:val="ListParagraph"/>
        <w:numPr>
          <w:ilvl w:val="0"/>
          <w:numId w:val="3"/>
        </w:numPr>
        <w:spacing w:after="70"/>
      </w:pPr>
      <w:r>
        <w:rPr>
          <w:sz w:val="21"/>
          <w:szCs w:val="21"/>
        </w:rPr>
        <w:t xml:space="preserve">Escalabilidade — arquitetura preparada para milhares de tenants simultâneos sem redesenho estrutural.</w:t>
      </w:r>
    </w:p>
    <w:p>
      <w:pPr>
        <w:pStyle w:val="ListParagraph"/>
        <w:numPr>
          <w:ilvl w:val="0"/>
          <w:numId w:val="3"/>
        </w:numPr>
        <w:spacing w:after="70"/>
      </w:pPr>
      <w:r>
        <w:rPr>
          <w:sz w:val="21"/>
          <w:szCs w:val="21"/>
        </w:rPr>
        <w:t xml:space="preserve">Modularidade — funcionalidades adicionadas como módulos independentes, sem acoplamento excessivo.</w:t>
      </w:r>
    </w:p>
    <w:p>
      <w:pPr>
        <w:pStyle w:val="ListParagraph"/>
        <w:numPr>
          <w:ilvl w:val="0"/>
          <w:numId w:val="3"/>
        </w:numPr>
        <w:spacing w:after="70"/>
      </w:pPr>
      <w:r>
        <w:rPr>
          <w:sz w:val="21"/>
          <w:szCs w:val="21"/>
        </w:rPr>
        <w:t xml:space="preserve">Inteligência — uso progressivo de IA para reduzir trabalho manual, sem nunca ser pré-requisito para o uso básico do sistema.</w:t>
      </w:r>
    </w:p>
    <w:p>
      <w:pPr>
        <w:pStyle w:val="ListParagraph"/>
        <w:numPr>
          <w:ilvl w:val="0"/>
          <w:numId w:val="3"/>
        </w:numPr>
        <w:spacing w:after="70"/>
      </w:pPr>
      <w:r>
        <w:rPr>
          <w:sz w:val="21"/>
          <w:szCs w:val="21"/>
        </w:rPr>
        <w:t xml:space="preserve">Elegância visual — consistente com a identidade visual RhoneyInc, sem parecer um ERP genérico ou datado.</w:t>
      </w:r>
    </w:p>
    <w:p>
      <w:pPr>
        <w:pStyle w:val="Heading2"/>
        <w:spacing w:after="140" w:before="320"/>
      </w:pPr>
      <w:r>
        <w:rPr>
          <w:b/>
          <w:bCs/>
          <w:color w:val="B8860B"/>
          <w:sz w:val="26"/>
          <w:szCs w:val="26"/>
        </w:rPr>
        <w:t xml:space="preserve">1.6 Princípios Técnicos Norteadores</w:t>
      </w:r>
    </w:p>
    <w:p>
      <w:pPr>
        <w:spacing w:after="140" w:line="300"/>
      </w:pPr>
      <w:r>
        <w:rPr>
          <w:sz w:val="21"/>
          <w:szCs w:val="21"/>
        </w:rPr>
        <w:t xml:space="preserve">Estes princípios se aplicam a toda decisão de arquitetura e implementação ao longo deste PRD:</w:t>
      </w:r>
    </w:p>
    <w:p>
      <w:pPr>
        <w:pStyle w:val="ListParagraph"/>
        <w:numPr>
          <w:ilvl w:val="0"/>
          <w:numId w:val="3"/>
        </w:numPr>
        <w:spacing w:after="70"/>
      </w:pPr>
      <w:r>
        <w:rPr>
          <w:sz w:val="21"/>
          <w:szCs w:val="21"/>
        </w:rPr>
        <w:t xml:space="preserve">Clean Architecture e separação clara de responsabilidades entre camadas.</w:t>
      </w:r>
    </w:p>
    <w:p>
      <w:pPr>
        <w:pStyle w:val="ListParagraph"/>
        <w:numPr>
          <w:ilvl w:val="0"/>
          <w:numId w:val="3"/>
        </w:numPr>
        <w:spacing w:after="70"/>
      </w:pPr>
      <w:r>
        <w:rPr>
          <w:sz w:val="21"/>
          <w:szCs w:val="21"/>
        </w:rPr>
        <w:t xml:space="preserve">Princípios SOLID aplicados de forma pragmática — sem abstração prematura.</w:t>
      </w:r>
    </w:p>
    <w:p>
      <w:pPr>
        <w:pStyle w:val="ListParagraph"/>
        <w:numPr>
          <w:ilvl w:val="0"/>
          <w:numId w:val="3"/>
        </w:numPr>
        <w:spacing w:after="70"/>
      </w:pPr>
      <w:r>
        <w:rPr>
          <w:sz w:val="21"/>
          <w:szCs w:val="21"/>
        </w:rPr>
        <w:t xml:space="preserve">Componentização de UI reutilizável, alinhada ao Design System (Capítulo 12).</w:t>
      </w:r>
    </w:p>
    <w:p>
      <w:pPr>
        <w:pStyle w:val="ListParagraph"/>
        <w:numPr>
          <w:ilvl w:val="0"/>
          <w:numId w:val="3"/>
        </w:numPr>
        <w:spacing w:after="70"/>
      </w:pPr>
      <w:r>
        <w:rPr>
          <w:sz w:val="21"/>
          <w:szCs w:val="21"/>
        </w:rPr>
        <w:t xml:space="preserve">Baixo acoplamento entre módulos; alta coesão dentro de cada módulo.</w:t>
      </w:r>
    </w:p>
    <w:p>
      <w:pPr>
        <w:pStyle w:val="ListParagraph"/>
        <w:numPr>
          <w:ilvl w:val="0"/>
          <w:numId w:val="3"/>
        </w:numPr>
        <w:spacing w:after="70"/>
      </w:pPr>
      <w:r>
        <w:rPr>
          <w:sz w:val="21"/>
          <w:szCs w:val="21"/>
        </w:rPr>
        <w:t xml:space="preserve">Toda alteração de schema é uma migração versionada, nunca uma edição destrutiva direta em produção.</w:t>
      </w:r>
    </w:p>
    <w:p>
      <w:pPr>
        <w:pStyle w:val="ListParagraph"/>
        <w:numPr>
          <w:ilvl w:val="0"/>
          <w:numId w:val="3"/>
        </w:numPr>
        <w:spacing w:after="70"/>
      </w:pPr>
      <w:r>
        <w:rPr>
          <w:sz w:val="21"/>
          <w:szCs w:val="21"/>
        </w:rPr>
        <w:t xml:space="preserve">Segurança por padrão: RLS ativo em toda tabela multi-tenant desde a criação, nunca adicionado depois.</w:t>
      </w:r>
    </w:p>
    <w:p>
      <w:pPr>
        <w:pStyle w:val="ListParagraph"/>
        <w:numPr>
          <w:ilvl w:val="0"/>
          <w:numId w:val="3"/>
        </w:numPr>
        <w:spacing w:after="70"/>
      </w:pPr>
      <w:r>
        <w:rPr>
          <w:sz w:val="21"/>
          <w:szCs w:val="21"/>
        </w:rPr>
        <w:t xml:space="preserve">Nenhuma mudança futura pode quebrar contratos de API, estrutura de dados ou funcionalidades já entregues sem um plano de migração explícito.</w:t>
      </w:r>
    </w:p>
    <w:p>
      <w:pPr>
        <w:pStyle w:val="Heading2"/>
        <w:spacing w:after="140" w:before="320"/>
      </w:pPr>
      <w:r>
        <w:rPr>
          <w:b/>
          <w:bCs/>
          <w:color w:val="B8860B"/>
          <w:sz w:val="26"/>
          <w:szCs w:val="26"/>
        </w:rPr>
        <w:t xml:space="preserve">1.7 O Papel da Inteligência Artificial</w:t>
      </w:r>
    </w:p>
    <w:p>
      <w:pPr>
        <w:spacing w:after="140" w:line="300"/>
      </w:pPr>
      <w:r>
        <w:rPr>
          <w:sz w:val="21"/>
          <w:szCs w:val="21"/>
        </w:rPr>
        <w:t xml:space="preserve">A IA é tratada como um diferencial competitivo transversal, não como um módulo isolado. Ela aparece de forma progressiva em funcionalidades como cadastro assistido de produtos, sugestão de categoria e precificação, previsão de necessidade de compra, e geração de insights sobre vendas e estoque. O detalhamento completo de cada aplicação de IA, por módulo, está no Capítulo 13.</w:t>
      </w:r>
    </w:p>
    <w:p>
      <w:pPr>
        <w:spacing w:after="140" w:line="300"/>
      </w:pPr>
      <w:r>
        <w:rPr>
          <w:sz w:val="21"/>
          <w:szCs w:val="21"/>
        </w:rPr>
        <w:t xml:space="preserve">Importante: nenhuma funcionalidade essencial do sistema depende de IA para funcionar. A IA sempre atua como camada de assistência e aceleração sobre um fluxo manual que já funciona de forma independente — isso garante robustez mesmo em caso de indisponibilidade do serviço de IA.</w:t>
      </w:r>
    </w:p>
    <w:p>
      <w:pPr>
        <w:pStyle w:val="Heading2"/>
        <w:spacing w:after="140" w:before="320"/>
      </w:pPr>
      <w:r>
        <w:rPr>
          <w:b/>
          <w:bCs/>
          <w:color w:val="B8860B"/>
          <w:sz w:val="26"/>
          <w:szCs w:val="26"/>
        </w:rPr>
        <w:t xml:space="preserve">1.8 Escopo deste Documento</w:t>
      </w:r>
    </w:p>
    <w:p>
      <w:pPr>
        <w:spacing w:after="140" w:line="300"/>
      </w:pPr>
      <w:r>
        <w:rPr>
          <w:sz w:val="21"/>
          <w:szCs w:val="21"/>
        </w:rPr>
        <w:t xml:space="preserve">Este PRD cobre a visão completa do produto, incluindo funcionalidades que serão entregues em fases futuras (V2, V3) e não apenas o MVP. Cada requisito funcional, no Capítulo 7, é classificado por fase de entrega. O Capítulo 22 (Roadmap) consolida essa visão em um cronograma de evolução.</w:t>
      </w:r>
    </w:p>
    <w:p>
      <w:pPr>
        <w:spacing w:after="140" w:line="300"/>
      </w:pPr>
      <w:r>
        <w:rPr>
          <w:sz w:val="21"/>
          <w:szCs w:val="21"/>
        </w:rPr>
        <w:t xml:space="preserve">Esta abordagem permite que decisões de arquitetura tomadas hoje já considerem a direção de longo prazo do produto, evitando retrabalho estrutural nas fases seguintes — sem, no entanto, obrigar que tudo seja construído de uma vez.</w:t>
      </w:r>
    </w:p>
    <w:p>
      <w:pPr>
        <w:pStyle w:val="Heading2"/>
        <w:spacing w:after="140" w:before="320"/>
      </w:pPr>
      <w:r>
        <w:rPr>
          <w:b/>
          <w:bCs/>
          <w:color w:val="B8860B"/>
          <w:sz w:val="26"/>
          <w:szCs w:val="26"/>
        </w:rPr>
        <w:t xml:space="preserve">1.9 Como Usar Este PRD</w:t>
      </w:r>
    </w:p>
    <w:p>
      <w:pPr>
        <w:pStyle w:val="ListParagraph"/>
        <w:numPr>
          <w:ilvl w:val="0"/>
          <w:numId w:val="3"/>
        </w:numPr>
        <w:spacing w:after="70"/>
      </w:pPr>
      <w:r>
        <w:rPr>
          <w:sz w:val="21"/>
          <w:szCs w:val="21"/>
        </w:rPr>
        <w:t xml:space="preserve">Product/Founder: usar como fonte única de verdade para decisões de priorização.</w:t>
      </w:r>
    </w:p>
    <w:p>
      <w:pPr>
        <w:pStyle w:val="ListParagraph"/>
        <w:numPr>
          <w:ilvl w:val="0"/>
          <w:numId w:val="3"/>
        </w:numPr>
        <w:spacing w:after="70"/>
      </w:pPr>
      <w:r>
        <w:rPr>
          <w:sz w:val="21"/>
          <w:szCs w:val="21"/>
        </w:rPr>
        <w:t xml:space="preserve">Desenvolvimento (Claude Code e afins): cada capítulo técnico (4 a 9) deve ser convertido em prompts de implementação, respeitando as fases definidas no Roadmap.</w:t>
      </w:r>
    </w:p>
    <w:p>
      <w:pPr>
        <w:pStyle w:val="ListParagraph"/>
        <w:numPr>
          <w:ilvl w:val="0"/>
          <w:numId w:val="3"/>
        </w:numPr>
        <w:spacing w:after="70"/>
      </w:pPr>
      <w:r>
        <w:rPr>
          <w:sz w:val="21"/>
          <w:szCs w:val="21"/>
        </w:rPr>
        <w:t xml:space="preserve">Revisão externa: qualquer sugestão de mudança deve referenciar a seção específica deste documento a ser alterada, mantendo rastreabilidade.</w:t>
      </w:r>
    </w:p>
    <w:p>
      <w:pPr>
        <w:pStyle w:val="Heading1"/>
        <w:pageBreakBefore/>
        <w:pBdr>
          <w:bottom w:val="single" w:color="3FA796" w:sz="6" w:space="8"/>
        </w:pBdr>
        <w:spacing w:after="240" w:before="0"/>
      </w:pPr>
      <w:r>
        <w:rPr>
          <w:b/>
          <w:bCs/>
          <w:color w:val="B8860B"/>
          <w:sz w:val="22"/>
          <w:szCs w:val="22"/>
        </w:rPr>
        <w:t xml:space="preserve">CAPÍTULO 2</w:t>
      </w:r>
      <w:r>
        <w:t xml:space="preserve">  </w:t>
      </w:r>
    </w:p>
    <w:p>
      <w:pPr>
        <w:pStyle w:val="Heading1"/>
        <w:spacing w:after="280" w:before="0"/>
      </w:pPr>
      <w:r>
        <w:rPr>
          <w:b/>
          <w:bCs/>
          <w:color w:val="1A1A1A"/>
          <w:sz w:val="36"/>
          <w:szCs w:val="36"/>
        </w:rPr>
        <w:t xml:space="preserve">Personas e Público-Alvo</w:t>
      </w:r>
    </w:p>
    <w:p>
      <w:pPr>
        <w:pStyle w:val="Heading2"/>
        <w:spacing w:after="140" w:before="320"/>
      </w:pPr>
      <w:r>
        <w:rPr>
          <w:b/>
          <w:bCs/>
          <w:color w:val="B8860B"/>
          <w:sz w:val="26"/>
          <w:szCs w:val="26"/>
        </w:rPr>
        <w:t xml:space="preserve">2.1 Segmentação de Público</w:t>
      </w:r>
    </w:p>
    <w:p>
      <w:pPr>
        <w:spacing w:after="140" w:line="300"/>
      </w:pPr>
      <w:r>
        <w:rPr>
          <w:sz w:val="21"/>
          <w:szCs w:val="21"/>
        </w:rPr>
        <w:t xml:space="preserve">O VendeFlex atende três estágios de maturidade de negócio, cada um com necessidades e expectativas distintas de complexidade. O produto é desenhado para que o mesmo cliente avance entre estágios sem trocar de sistema — apenas ativando módulos e planos superiores.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500"/>
      </w:tblGrid>
      <w:tr>
        <w:tc>
          <w:tcPr>
            <w:tcW w:type="dxa" w:w="2400"/>
            <w:shd w:fill="1A1A1A" w:val="clear"/>
            <w:tcMar>
              <w:top w:type="dxa" w:w="90"/>
              <w:left w:type="dxa" w:w="110"/>
              <w:bottom w:type="dxa" w:w="90"/>
              <w:right w:type="dxa" w:w="110"/>
            </w:tcMar>
          </w:tcPr>
          <w:p>
            <w:r>
              <w:rPr>
                <w:b/>
                <w:bCs/>
                <w:color w:val="FFFFFF"/>
                <w:sz w:val="19"/>
                <w:szCs w:val="19"/>
              </w:rPr>
              <w:t xml:space="preserve">Estágio</w:t>
            </w:r>
          </w:p>
        </w:tc>
        <w:tc>
          <w:tcPr>
            <w:tcW w:type="dxa" w:w="4800"/>
            <w:shd w:fill="1A1A1A" w:val="clear"/>
            <w:tcMar>
              <w:top w:type="dxa" w:w="90"/>
              <w:left w:type="dxa" w:w="110"/>
              <w:bottom w:type="dxa" w:w="90"/>
              <w:right w:type="dxa" w:w="110"/>
            </w:tcMar>
          </w:tcPr>
          <w:p>
            <w:r>
              <w:rPr>
                <w:b/>
                <w:bCs/>
                <w:color w:val="FFFFFF"/>
                <w:sz w:val="19"/>
                <w:szCs w:val="19"/>
              </w:rPr>
              <w:t xml:space="preserve">Perfil</w:t>
            </w:r>
          </w:p>
        </w:tc>
        <w:tc>
          <w:tcPr>
            <w:tcW w:type="dxa" w:w="2500"/>
            <w:shd w:fill="1A1A1A" w:val="clear"/>
            <w:tcMar>
              <w:top w:type="dxa" w:w="90"/>
              <w:left w:type="dxa" w:w="110"/>
              <w:bottom w:type="dxa" w:w="90"/>
              <w:right w:type="dxa" w:w="110"/>
            </w:tcMar>
          </w:tcPr>
          <w:p>
            <w:r>
              <w:rPr>
                <w:b/>
                <w:bCs/>
                <w:color w:val="FFFFFF"/>
                <w:sz w:val="19"/>
                <w:szCs w:val="19"/>
              </w:rPr>
              <w:t xml:space="preserve">Fase de atendimento</w:t>
            </w:r>
          </w:p>
        </w:tc>
      </w:tr>
      <w:tr>
        <w:tc>
          <w:tcPr>
            <w:tcW w:type="dxa" w:w="2400"/>
            <w:tcMar>
              <w:top w:type="dxa" w:w="90"/>
              <w:left w:type="dxa" w:w="110"/>
              <w:bottom w:type="dxa" w:w="90"/>
              <w:right w:type="dxa" w:w="110"/>
            </w:tcMar>
          </w:tcPr>
          <w:p>
            <w:r>
              <w:rPr>
                <w:b w:val="false"/>
                <w:bCs w:val="false"/>
                <w:color w:val="1A1A1A"/>
                <w:sz w:val="19"/>
                <w:szCs w:val="19"/>
              </w:rPr>
              <w:t xml:space="preserve">MEI / Autônomo</w:t>
            </w:r>
          </w:p>
        </w:tc>
        <w:tc>
          <w:tcPr>
            <w:tcW w:type="dxa" w:w="4800"/>
            <w:tcMar>
              <w:top w:type="dxa" w:w="90"/>
              <w:left w:type="dxa" w:w="110"/>
              <w:bottom w:type="dxa" w:w="90"/>
              <w:right w:type="dxa" w:w="110"/>
            </w:tcMar>
          </w:tcPr>
          <w:p>
            <w:r>
              <w:rPr>
                <w:b w:val="false"/>
                <w:bCs w:val="false"/>
                <w:color w:val="1A1A1A"/>
                <w:sz w:val="19"/>
                <w:szCs w:val="19"/>
              </w:rPr>
              <w:t xml:space="preserve">1 pessoa, baixo volume, controle informal hoje (caderno, planilha, WhatsApp)</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2400"/>
            <w:tcMar>
              <w:top w:type="dxa" w:w="90"/>
              <w:left w:type="dxa" w:w="110"/>
              <w:bottom w:type="dxa" w:w="90"/>
              <w:right w:type="dxa" w:w="110"/>
            </w:tcMar>
          </w:tcPr>
          <w:p>
            <w:r>
              <w:rPr>
                <w:b w:val="false"/>
                <w:bCs w:val="false"/>
                <w:color w:val="1A1A1A"/>
                <w:sz w:val="19"/>
                <w:szCs w:val="19"/>
              </w:rPr>
              <w:t xml:space="preserve">Pequena empresa</w:t>
            </w:r>
          </w:p>
        </w:tc>
        <w:tc>
          <w:tcPr>
            <w:tcW w:type="dxa" w:w="4800"/>
            <w:tcMar>
              <w:top w:type="dxa" w:w="90"/>
              <w:left w:type="dxa" w:w="110"/>
              <w:bottom w:type="dxa" w:w="90"/>
              <w:right w:type="dxa" w:w="110"/>
            </w:tcMar>
          </w:tcPr>
          <w:p>
            <w:r>
              <w:rPr>
                <w:b w:val="false"/>
                <w:bCs w:val="false"/>
                <w:color w:val="1A1A1A"/>
                <w:sz w:val="19"/>
                <w:szCs w:val="19"/>
              </w:rPr>
              <w:t xml:space="preserve">2 a 10 funcionários, 1 ou poucos pontos de venda, já sente dor de estoque</w:t>
            </w:r>
          </w:p>
        </w:tc>
        <w:tc>
          <w:tcPr>
            <w:tcW w:type="dxa" w:w="2500"/>
            <w:tcMar>
              <w:top w:type="dxa" w:w="90"/>
              <w:left w:type="dxa" w:w="110"/>
              <w:bottom w:type="dxa" w:w="90"/>
              <w:right w:type="dxa" w:w="110"/>
            </w:tcMar>
          </w:tcPr>
          <w:p>
            <w:r>
              <w:rPr>
                <w:b w:val="false"/>
                <w:bCs w:val="false"/>
                <w:color w:val="1A1A1A"/>
                <w:sz w:val="19"/>
                <w:szCs w:val="19"/>
              </w:rPr>
              <w:t xml:space="preserve">MVP / V2</w:t>
            </w:r>
          </w:p>
        </w:tc>
      </w:tr>
      <w:tr>
        <w:tc>
          <w:tcPr>
            <w:tcW w:type="dxa" w:w="2400"/>
            <w:tcMar>
              <w:top w:type="dxa" w:w="90"/>
              <w:left w:type="dxa" w:w="110"/>
              <w:bottom w:type="dxa" w:w="90"/>
              <w:right w:type="dxa" w:w="110"/>
            </w:tcMar>
          </w:tcPr>
          <w:p>
            <w:r>
              <w:rPr>
                <w:b w:val="false"/>
                <w:bCs w:val="false"/>
                <w:color w:val="1A1A1A"/>
                <w:sz w:val="19"/>
                <w:szCs w:val="19"/>
              </w:rPr>
              <w:t xml:space="preserve">Média empresa</w:t>
            </w:r>
          </w:p>
        </w:tc>
        <w:tc>
          <w:tcPr>
            <w:tcW w:type="dxa" w:w="4800"/>
            <w:tcMar>
              <w:top w:type="dxa" w:w="90"/>
              <w:left w:type="dxa" w:w="110"/>
              <w:bottom w:type="dxa" w:w="90"/>
              <w:right w:type="dxa" w:w="110"/>
            </w:tcMar>
          </w:tcPr>
          <w:p>
            <w:r>
              <w:rPr>
                <w:b w:val="false"/>
                <w:bCs w:val="false"/>
                <w:color w:val="1A1A1A"/>
                <w:sz w:val="19"/>
                <w:szCs w:val="19"/>
              </w:rPr>
              <w:t xml:space="preserve">Múltiplas filiais, equipe de vendas, necessidade de relatórios gerenciais</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2400"/>
            <w:tcMar>
              <w:top w:type="dxa" w:w="90"/>
              <w:left w:type="dxa" w:w="110"/>
              <w:bottom w:type="dxa" w:w="90"/>
              <w:right w:type="dxa" w:w="110"/>
            </w:tcMar>
          </w:tcPr>
          <w:p>
            <w:r>
              <w:rPr>
                <w:b w:val="false"/>
                <w:bCs w:val="false"/>
                <w:color w:val="1A1A1A"/>
                <w:sz w:val="19"/>
                <w:szCs w:val="19"/>
              </w:rPr>
              <w:t xml:space="preserve">Grande empresa</w:t>
            </w:r>
          </w:p>
        </w:tc>
        <w:tc>
          <w:tcPr>
            <w:tcW w:type="dxa" w:w="4800"/>
            <w:tcMar>
              <w:top w:type="dxa" w:w="90"/>
              <w:left w:type="dxa" w:w="110"/>
              <w:bottom w:type="dxa" w:w="90"/>
              <w:right w:type="dxa" w:w="110"/>
            </w:tcMar>
          </w:tcPr>
          <w:p>
            <w:r>
              <w:rPr>
                <w:b w:val="false"/>
                <w:bCs w:val="false"/>
                <w:color w:val="1A1A1A"/>
                <w:sz w:val="19"/>
                <w:szCs w:val="19"/>
              </w:rPr>
              <w:t xml:space="preserve">Operação complexa, integrações fiscais, múltiplos centros de custo</w:t>
            </w:r>
          </w:p>
        </w:tc>
        <w:tc>
          <w:tcPr>
            <w:tcW w:type="dxa" w:w="25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2.2 Persona 1 — Autônomo / MEI</w:t>
      </w:r>
    </w:p>
    <w:p>
      <w:pPr>
        <w:spacing w:after="90"/>
      </w:pPr>
      <w:r>
        <w:rPr>
          <w:b/>
          <w:bCs/>
          <w:sz w:val="21"/>
          <w:szCs w:val="21"/>
        </w:rPr>
        <w:t xml:space="preserve">Nome fictício: </w:t>
      </w:r>
      <w:r>
        <w:rPr>
          <w:sz w:val="21"/>
          <w:szCs w:val="21"/>
        </w:rPr>
        <w:t xml:space="preserve">Marcela, 32 anos, revendedora de cosméticos</w:t>
      </w:r>
    </w:p>
    <w:p>
      <w:pPr>
        <w:spacing w:after="90"/>
      </w:pPr>
      <w:r>
        <w:rPr>
          <w:b/>
          <w:bCs/>
          <w:sz w:val="21"/>
          <w:szCs w:val="21"/>
        </w:rPr>
        <w:t xml:space="preserve">Contexto atual: </w:t>
      </w:r>
      <w:r>
        <w:rPr>
          <w:sz w:val="21"/>
          <w:szCs w:val="21"/>
        </w:rPr>
        <w:t xml:space="preserve">Controla estoque e vendas por caderno e WhatsApp; não sabe seu lucro real no fim do mês</w:t>
      </w:r>
    </w:p>
    <w:p>
      <w:pPr>
        <w:spacing w:after="90"/>
      </w:pPr>
      <w:r>
        <w:rPr>
          <w:b/>
          <w:bCs/>
          <w:sz w:val="21"/>
          <w:szCs w:val="21"/>
        </w:rPr>
        <w:t xml:space="preserve">Dor principal: </w:t>
      </w:r>
      <w:r>
        <w:rPr>
          <w:sz w:val="21"/>
          <w:szCs w:val="21"/>
        </w:rPr>
        <w:t xml:space="preserve">Perde vendas por não saber o que tem em estoque; não consegue precificar com margem correta</w:t>
      </w:r>
    </w:p>
    <w:p>
      <w:pPr>
        <w:spacing w:after="90"/>
      </w:pPr>
      <w:r>
        <w:rPr>
          <w:b/>
          <w:bCs/>
          <w:sz w:val="21"/>
          <w:szCs w:val="21"/>
        </w:rPr>
        <w:t xml:space="preserve">O que busca no VendeFlex: </w:t>
      </w:r>
      <w:r>
        <w:rPr>
          <w:sz w:val="21"/>
          <w:szCs w:val="21"/>
        </w:rPr>
        <w:t xml:space="preserve">Cadastro rápido de produtos, controle de estoque simples, registro de venda em poucos toques, visão clara do lucro</w:t>
      </w:r>
    </w:p>
    <w:p>
      <w:pPr>
        <w:spacing w:after="90"/>
      </w:pPr>
      <w:r>
        <w:rPr>
          <w:b/>
          <w:bCs/>
          <w:sz w:val="21"/>
          <w:szCs w:val="21"/>
        </w:rPr>
        <w:t xml:space="preserve">Nível de tolerância a complexidade: </w:t>
      </w:r>
      <w:r>
        <w:rPr>
          <w:sz w:val="21"/>
          <w:szCs w:val="21"/>
        </w:rPr>
        <w:t xml:space="preserve">Baixo — qualquer fricção no onboarding gera abandono</w:t>
      </w:r>
    </w:p>
    <w:p>
      <w:pPr>
        <w:pStyle w:val="Heading2"/>
        <w:spacing w:after="140" w:before="320"/>
      </w:pPr>
      <w:r>
        <w:rPr>
          <w:b/>
          <w:bCs/>
          <w:color w:val="B8860B"/>
          <w:sz w:val="26"/>
          <w:szCs w:val="26"/>
        </w:rPr>
        <w:t xml:space="preserve">2.3 Persona 2 — Pequeno Varejista Físico</w:t>
      </w:r>
    </w:p>
    <w:p>
      <w:pPr>
        <w:spacing w:after="90"/>
      </w:pPr>
      <w:r>
        <w:rPr>
          <w:b/>
          <w:bCs/>
          <w:sz w:val="21"/>
          <w:szCs w:val="21"/>
        </w:rPr>
        <w:t xml:space="preserve">Nome fictício: </w:t>
      </w:r>
      <w:r>
        <w:rPr>
          <w:sz w:val="21"/>
          <w:szCs w:val="21"/>
        </w:rPr>
        <w:t xml:space="preserve">Roberto, 45 anos, dono de mercadinho de bairro</w:t>
      </w:r>
    </w:p>
    <w:p>
      <w:pPr>
        <w:spacing w:after="90"/>
      </w:pPr>
      <w:r>
        <w:rPr>
          <w:b/>
          <w:bCs/>
          <w:sz w:val="21"/>
          <w:szCs w:val="21"/>
        </w:rPr>
        <w:t xml:space="preserve">Contexto atual: </w:t>
      </w:r>
      <w:r>
        <w:rPr>
          <w:sz w:val="21"/>
          <w:szCs w:val="21"/>
        </w:rPr>
        <w:t xml:space="preserve">Usa sistema de PDV antigo, desatualizado, sem relatórios úteis; controla fornecedores em planilha separada</w:t>
      </w:r>
    </w:p>
    <w:p>
      <w:pPr>
        <w:spacing w:after="90"/>
      </w:pPr>
      <w:r>
        <w:rPr>
          <w:b/>
          <w:bCs/>
          <w:sz w:val="21"/>
          <w:szCs w:val="21"/>
        </w:rPr>
        <w:t xml:space="preserve">Dor principal: </w:t>
      </w:r>
      <w:r>
        <w:rPr>
          <w:sz w:val="21"/>
          <w:szCs w:val="21"/>
        </w:rPr>
        <w:t xml:space="preserve">Falta de integração entre estoque, compras e caixa; não identifica produtos com baixo giro</w:t>
      </w:r>
    </w:p>
    <w:p>
      <w:pPr>
        <w:spacing w:after="90"/>
      </w:pPr>
      <w:r>
        <w:rPr>
          <w:b/>
          <w:bCs/>
          <w:sz w:val="21"/>
          <w:szCs w:val="21"/>
        </w:rPr>
        <w:t xml:space="preserve">O que busca no VendeFlex: </w:t>
      </w:r>
      <w:r>
        <w:rPr>
          <w:sz w:val="21"/>
          <w:szCs w:val="21"/>
        </w:rPr>
        <w:t xml:space="preserve">PDV rápido com leitor de código de barras, controle de fornecedores e compras, alertas de estoque mínimo</w:t>
      </w:r>
    </w:p>
    <w:p>
      <w:pPr>
        <w:spacing w:after="90"/>
      </w:pPr>
      <w:r>
        <w:rPr>
          <w:b/>
          <w:bCs/>
          <w:sz w:val="21"/>
          <w:szCs w:val="21"/>
        </w:rPr>
        <w:t xml:space="preserve">Nível de tolerância a complexidade: </w:t>
      </w:r>
      <w:r>
        <w:rPr>
          <w:sz w:val="21"/>
          <w:szCs w:val="21"/>
        </w:rPr>
        <w:t xml:space="preserve">Médio — aceita mais telas desde que o fluxo diário (abrir caixa, vender, fechar caixa) seja rápido</w:t>
      </w:r>
    </w:p>
    <w:p>
      <w:pPr>
        <w:pStyle w:val="Heading2"/>
        <w:spacing w:after="140" w:before="320"/>
      </w:pPr>
      <w:r>
        <w:rPr>
          <w:b/>
          <w:bCs/>
          <w:color w:val="B8860B"/>
          <w:sz w:val="26"/>
          <w:szCs w:val="26"/>
        </w:rPr>
        <w:t xml:space="preserve">2.4 Persona 3 — Gestor de Média Empresa (visão V2)</w:t>
      </w:r>
    </w:p>
    <w:p>
      <w:pPr>
        <w:spacing w:after="90"/>
      </w:pPr>
      <w:r>
        <w:rPr>
          <w:b/>
          <w:bCs/>
          <w:sz w:val="21"/>
          <w:szCs w:val="21"/>
        </w:rPr>
        <w:t xml:space="preserve">Nome fictício: </w:t>
      </w:r>
      <w:r>
        <w:rPr>
          <w:sz w:val="21"/>
          <w:szCs w:val="21"/>
        </w:rPr>
        <w:t xml:space="preserve">Camila, 38 anos, gestora de rede de duas lojas de roupas</w:t>
      </w:r>
    </w:p>
    <w:p>
      <w:pPr>
        <w:spacing w:after="90"/>
      </w:pPr>
      <w:r>
        <w:rPr>
          <w:b/>
          <w:bCs/>
          <w:sz w:val="21"/>
          <w:szCs w:val="21"/>
        </w:rPr>
        <w:t xml:space="preserve">Contexto atual: </w:t>
      </w:r>
      <w:r>
        <w:rPr>
          <w:sz w:val="21"/>
          <w:szCs w:val="21"/>
        </w:rPr>
        <w:t xml:space="preserve">Usa planilhas para consolidar dados das duas lojas; equipe de vendas sem controle de metas e comissões</w:t>
      </w:r>
    </w:p>
    <w:p>
      <w:pPr>
        <w:spacing w:after="90"/>
      </w:pPr>
      <w:r>
        <w:rPr>
          <w:b/>
          <w:bCs/>
          <w:sz w:val="21"/>
          <w:szCs w:val="21"/>
        </w:rPr>
        <w:t xml:space="preserve">Dor principal: </w:t>
      </w:r>
      <w:r>
        <w:rPr>
          <w:sz w:val="21"/>
          <w:szCs w:val="21"/>
        </w:rPr>
        <w:t xml:space="preserve">Falta de visão consolidada entre filiais; dificuldade de acompanhar desempenho da equipe</w:t>
      </w:r>
    </w:p>
    <w:p>
      <w:pPr>
        <w:spacing w:after="90"/>
      </w:pPr>
      <w:r>
        <w:rPr>
          <w:b/>
          <w:bCs/>
          <w:sz w:val="21"/>
          <w:szCs w:val="21"/>
        </w:rPr>
        <w:t xml:space="preserve">O que busca no VendeFlex: </w:t>
      </w:r>
      <w:r>
        <w:rPr>
          <w:sz w:val="21"/>
          <w:szCs w:val="21"/>
        </w:rPr>
        <w:t xml:space="preserve">Relatórios consolidados multi-loja, metas e comissões por vendedor, transferência de estoque entre filiais</w:t>
      </w:r>
    </w:p>
    <w:p>
      <w:pPr>
        <w:pStyle w:val="Heading2"/>
        <w:spacing w:after="140" w:before="320"/>
      </w:pPr>
      <w:r>
        <w:rPr>
          <w:b/>
          <w:bCs/>
          <w:color w:val="B8860B"/>
          <w:sz w:val="26"/>
          <w:szCs w:val="26"/>
        </w:rPr>
        <w:t xml:space="preserve">2.5 Persona 4 — Operação de Grande Porte (visão V3)</w:t>
      </w:r>
    </w:p>
    <w:p>
      <w:pPr>
        <w:spacing w:after="90"/>
      </w:pPr>
      <w:r>
        <w:rPr>
          <w:b/>
          <w:bCs/>
          <w:sz w:val="21"/>
          <w:szCs w:val="21"/>
        </w:rPr>
        <w:t xml:space="preserve">Nome fictício: </w:t>
      </w:r>
      <w:r>
        <w:rPr>
          <w:sz w:val="21"/>
          <w:szCs w:val="21"/>
        </w:rPr>
        <w:t xml:space="preserve">Diretoria de rede varejista com múltiplos centros de distribuição</w:t>
      </w:r>
    </w:p>
    <w:p>
      <w:pPr>
        <w:spacing w:after="90"/>
      </w:pPr>
      <w:r>
        <w:rPr>
          <w:b/>
          <w:bCs/>
          <w:sz w:val="21"/>
          <w:szCs w:val="21"/>
        </w:rPr>
        <w:t xml:space="preserve">Contexto atual: </w:t>
      </w:r>
      <w:r>
        <w:rPr>
          <w:sz w:val="21"/>
          <w:szCs w:val="21"/>
        </w:rPr>
        <w:t xml:space="preserve">Usa ERP tradicional caro e rígido, com implementação lenta e suporte distante</w:t>
      </w:r>
    </w:p>
    <w:p>
      <w:pPr>
        <w:spacing w:after="90"/>
      </w:pPr>
      <w:r>
        <w:rPr>
          <w:b/>
          <w:bCs/>
          <w:sz w:val="21"/>
          <w:szCs w:val="21"/>
        </w:rPr>
        <w:t xml:space="preserve">Dor principal: </w:t>
      </w:r>
      <w:r>
        <w:rPr>
          <w:sz w:val="21"/>
          <w:szCs w:val="21"/>
        </w:rPr>
        <w:t xml:space="preserve">Custo alto, baixa flexibilidade, dificuldade de integração com ferramentas modernas</w:t>
      </w:r>
    </w:p>
    <w:p>
      <w:pPr>
        <w:spacing w:after="90"/>
      </w:pPr>
      <w:r>
        <w:rPr>
          <w:b/>
          <w:bCs/>
          <w:sz w:val="21"/>
          <w:szCs w:val="21"/>
        </w:rPr>
        <w:t xml:space="preserve">O que busca no VendeFlex: </w:t>
      </w:r>
      <w:r>
        <w:rPr>
          <w:sz w:val="21"/>
          <w:szCs w:val="21"/>
        </w:rPr>
        <w:t xml:space="preserve">Módulos fiscais avançados, BI robusto, integrações via API, suporte a múltiplos centros de custo e almoxarifados</w:t>
      </w:r>
    </w:p>
    <w:p>
      <w:pPr>
        <w:spacing w:after="140" w:line="300"/>
      </w:pPr>
      <w:r>
        <w:rPr>
          <w:sz w:val="21"/>
          <w:szCs w:val="21"/>
        </w:rPr>
        <w:t xml:space="preserve">Nota de escopo: esta persona orienta decisões arquiteturais de longo prazo (Capítulo 4), mas nenhuma funcionalidade específica para ela é construída antes da fase V3, conforme o Roadmap (Capítulo 22).</w:t>
      </w:r>
    </w:p>
    <w:p>
      <w:pPr>
        <w:pStyle w:val="Heading2"/>
        <w:spacing w:after="140" w:before="320"/>
      </w:pPr>
      <w:r>
        <w:rPr>
          <w:b/>
          <w:bCs/>
          <w:color w:val="B8860B"/>
          <w:sz w:val="26"/>
          <w:szCs w:val="26"/>
        </w:rPr>
        <w:t xml:space="preserve">2.6 Jobs-to-be-Done Centrais</w:t>
      </w:r>
    </w:p>
    <w:p>
      <w:pPr>
        <w:spacing w:after="140" w:line="300"/>
      </w:pPr>
      <w:r>
        <w:rPr>
          <w:sz w:val="21"/>
          <w:szCs w:val="21"/>
        </w:rPr>
        <w:t xml:space="preserve">Independentemente do porte, os seguintes "trabalhos" resumem por que um negócio contrata o VendeFlex:</w:t>
      </w:r>
    </w:p>
    <w:p>
      <w:pPr>
        <w:pStyle w:val="ListParagraph"/>
        <w:numPr>
          <w:ilvl w:val="0"/>
          <w:numId w:val="3"/>
        </w:numPr>
        <w:spacing w:after="70"/>
      </w:pPr>
      <w:r>
        <w:rPr>
          <w:sz w:val="21"/>
          <w:szCs w:val="21"/>
        </w:rPr>
        <w:t xml:space="preserve">Quando eu recebo mercadoria, quero registrá-la rápido para saber exatamente o que tenho disponível.</w:t>
      </w:r>
    </w:p>
    <w:p>
      <w:pPr>
        <w:pStyle w:val="ListParagraph"/>
        <w:numPr>
          <w:ilvl w:val="0"/>
          <w:numId w:val="3"/>
        </w:numPr>
        <w:spacing w:after="70"/>
      </w:pPr>
      <w:r>
        <w:rPr>
          <w:sz w:val="21"/>
          <w:szCs w:val="21"/>
        </w:rPr>
        <w:t xml:space="preserve">Quando eu vendo um produto, quero que o estoque seja atualizado automaticamente, sem trabalho manual duplicado.</w:t>
      </w:r>
    </w:p>
    <w:p>
      <w:pPr>
        <w:pStyle w:val="ListParagraph"/>
        <w:numPr>
          <w:ilvl w:val="0"/>
          <w:numId w:val="3"/>
        </w:numPr>
        <w:spacing w:after="70"/>
      </w:pPr>
      <w:r>
        <w:rPr>
          <w:sz w:val="21"/>
          <w:szCs w:val="21"/>
        </w:rPr>
        <w:t xml:space="preserve">Quando eu preciso saber se estou lucrando, quero uma resposta clara sem precisar calcular manualmente.</w:t>
      </w:r>
    </w:p>
    <w:p>
      <w:pPr>
        <w:pStyle w:val="ListParagraph"/>
        <w:numPr>
          <w:ilvl w:val="0"/>
          <w:numId w:val="3"/>
        </w:numPr>
        <w:spacing w:after="70"/>
      </w:pPr>
      <w:r>
        <w:rPr>
          <w:sz w:val="21"/>
          <w:szCs w:val="21"/>
        </w:rPr>
        <w:t xml:space="preserve">Quando meu estoque está acabando, quero ser avisado antes de perder a venda.</w:t>
      </w:r>
    </w:p>
    <w:p>
      <w:pPr>
        <w:pStyle w:val="ListParagraph"/>
        <w:numPr>
          <w:ilvl w:val="0"/>
          <w:numId w:val="3"/>
        </w:numPr>
        <w:spacing w:after="70"/>
      </w:pPr>
      <w:r>
        <w:rPr>
          <w:sz w:val="21"/>
          <w:szCs w:val="21"/>
        </w:rPr>
        <w:t xml:space="preserve">Quando eu cresço (mais produtos, mais vendedores, mais lojas), quero que o sistema acompanhe sem me obrigar a migrar de plataforma.</w:t>
      </w:r>
    </w:p>
    <w:p>
      <w:pPr>
        <w:pStyle w:val="Heading2"/>
        <w:spacing w:after="140" w:before="320"/>
      </w:pPr>
      <w:r>
        <w:rPr>
          <w:b/>
          <w:bCs/>
          <w:color w:val="B8860B"/>
          <w:sz w:val="26"/>
          <w:szCs w:val="26"/>
        </w:rPr>
        <w:t xml:space="preserve">2.7 Fora de Escopo (todas as fases)</w:t>
      </w:r>
    </w:p>
    <w:p>
      <w:pPr>
        <w:spacing w:after="140" w:line="300"/>
      </w:pPr>
      <w:r>
        <w:rPr>
          <w:sz w:val="21"/>
          <w:szCs w:val="21"/>
        </w:rPr>
        <w:t xml:space="preserve">Para manter o foco do produto, os seguintes públicos e casos de uso são explicitamente não atendidos, mesmo na fase V3:</w:t>
      </w:r>
    </w:p>
    <w:p>
      <w:pPr>
        <w:pStyle w:val="ListParagraph"/>
        <w:numPr>
          <w:ilvl w:val="0"/>
          <w:numId w:val="3"/>
        </w:numPr>
        <w:spacing w:after="70"/>
      </w:pPr>
      <w:r>
        <w:rPr>
          <w:sz w:val="21"/>
          <w:szCs w:val="21"/>
        </w:rPr>
        <w:t xml:space="preserve">Indústria com controle de produção/manufatura (MRP) — fora do escopo de gestão comercial</w:t>
      </w:r>
    </w:p>
    <w:p>
      <w:pPr>
        <w:pStyle w:val="ListParagraph"/>
        <w:numPr>
          <w:ilvl w:val="0"/>
          <w:numId w:val="3"/>
        </w:numPr>
        <w:spacing w:after="70"/>
      </w:pPr>
      <w:r>
        <w:rPr>
          <w:sz w:val="21"/>
          <w:szCs w:val="21"/>
        </w:rPr>
        <w:t xml:space="preserve">E-commerce completo com carrinho público e checkout próprio — tratado como integração externa, não como módulo nativo</w:t>
      </w:r>
    </w:p>
    <w:p>
      <w:pPr>
        <w:pStyle w:val="ListParagraph"/>
        <w:numPr>
          <w:ilvl w:val="0"/>
          <w:numId w:val="3"/>
        </w:numPr>
        <w:spacing w:after="70"/>
      </w:pPr>
      <w:r>
        <w:rPr>
          <w:sz w:val="21"/>
          <w:szCs w:val="21"/>
        </w:rPr>
        <w:t xml:space="preserve">Folha de pagamento e gestão de RH — integração futura com sistemas especializados, não construção própria</w:t>
      </w:r>
    </w:p>
    <w:p>
      <w:pPr>
        <w:pStyle w:val="Heading1"/>
        <w:pageBreakBefore/>
        <w:pBdr>
          <w:bottom w:val="single" w:color="3FA796" w:sz="6" w:space="8"/>
        </w:pBdr>
        <w:spacing w:after="240" w:before="0"/>
      </w:pPr>
      <w:r>
        <w:rPr>
          <w:b/>
          <w:bCs/>
          <w:color w:val="B8860B"/>
          <w:sz w:val="22"/>
          <w:szCs w:val="22"/>
        </w:rPr>
        <w:t xml:space="preserve">CAPÍTULO 3</w:t>
      </w:r>
      <w:r>
        <w:t xml:space="preserve">  </w:t>
      </w:r>
    </w:p>
    <w:p>
      <w:pPr>
        <w:pStyle w:val="Heading1"/>
        <w:spacing w:after="280" w:before="0"/>
      </w:pPr>
      <w:r>
        <w:rPr>
          <w:b/>
          <w:bCs/>
          <w:color w:val="1A1A1A"/>
          <w:sz w:val="36"/>
          <w:szCs w:val="36"/>
        </w:rPr>
        <w:t xml:space="preserve">Ecossistema RhoneyInc</w:t>
      </w:r>
    </w:p>
    <w:p>
      <w:pPr>
        <w:pStyle w:val="Heading2"/>
        <w:spacing w:after="140" w:before="320"/>
      </w:pPr>
      <w:r>
        <w:rPr>
          <w:b/>
          <w:bCs/>
          <w:color w:val="B8860B"/>
          <w:sz w:val="26"/>
          <w:szCs w:val="26"/>
        </w:rPr>
        <w:t xml:space="preserve">3.1 Visão do Ecossistema</w:t>
      </w:r>
    </w:p>
    <w:p>
      <w:pPr>
        <w:spacing w:after="140" w:line="300"/>
      </w:pPr>
      <w:r>
        <w:rPr>
          <w:sz w:val="21"/>
          <w:szCs w:val="21"/>
        </w:rPr>
        <w:t xml:space="preserve">A RhoneyInc opera sob o conceito "Uma conta. Todos os softwares.": um hub de produtos SaaS independentes que compartilham autenticação, identidade visual e infraestrutura técnica. O VendeFlex é um nó desse ecossistema, não um produto isolado — toda decisão de arquitetura deste PRD assume essa integração como padrão, não como extensão futura.</w:t>
      </w:r>
    </w:p>
    <w:p>
      <w:pPr>
        <w:spacing w:after="140" w:line="300"/>
      </w:pPr>
      <w:r>
        <w:rPr>
          <w:sz w:val="21"/>
          <w:szCs w:val="21"/>
        </w:rPr>
        <w:t xml:space="preserve">A relação entre os produtos segue um fluxo conceitual de complementaridade, não de dependência obrigatória: um tenant pode usar apenas o VendeFlex, apenas o MenuFlex, ou os dois simultaneamente, com dados compartilhados quando fizer sentido para o negócio.</w:t>
      </w:r>
    </w:p>
    <w:p>
      <w:pPr>
        <w:pStyle w:val="Heading2"/>
        <w:spacing w:after="140" w:before="320"/>
      </w:pPr>
      <w:r>
        <w:rPr>
          <w:b/>
          <w:bCs/>
          <w:color w:val="B8860B"/>
          <w:sz w:val="26"/>
          <w:szCs w:val="26"/>
        </w:rPr>
        <w:t xml:space="preserve">3.2 Mapa do Ecossistema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c>
          <w:tcPr>
            <w:tcW w:type="dxa" w:w="2000"/>
            <w:shd w:fill="1A1A1A" w:val="clear"/>
            <w:tcMar>
              <w:top w:type="dxa" w:w="90"/>
              <w:left w:type="dxa" w:w="110"/>
              <w:bottom w:type="dxa" w:w="90"/>
              <w:right w:type="dxa" w:w="110"/>
            </w:tcMar>
          </w:tcPr>
          <w:p>
            <w:r>
              <w:rPr>
                <w:b/>
                <w:bCs/>
                <w:color w:val="FFFFFF"/>
                <w:sz w:val="19"/>
                <w:szCs w:val="19"/>
              </w:rPr>
              <w:t xml:space="preserve">Produto</w:t>
            </w:r>
          </w:p>
        </w:tc>
        <w:tc>
          <w:tcPr>
            <w:tcW w:type="dxa" w:w="3600"/>
            <w:shd w:fill="1A1A1A" w:val="clear"/>
            <w:tcMar>
              <w:top w:type="dxa" w:w="90"/>
              <w:left w:type="dxa" w:w="110"/>
              <w:bottom w:type="dxa" w:w="90"/>
              <w:right w:type="dxa" w:w="110"/>
            </w:tcMar>
          </w:tcPr>
          <w:p>
            <w:r>
              <w:rPr>
                <w:b/>
                <w:bCs/>
                <w:color w:val="FFFFFF"/>
                <w:sz w:val="19"/>
                <w:szCs w:val="19"/>
              </w:rPr>
              <w:t xml:space="preserve">Função</w:t>
            </w:r>
          </w:p>
        </w:tc>
        <w:tc>
          <w:tcPr>
            <w:tcW w:type="dxa" w:w="3700"/>
            <w:shd w:fill="1A1A1A" w:val="clear"/>
            <w:tcMar>
              <w:top w:type="dxa" w:w="90"/>
              <w:left w:type="dxa" w:w="110"/>
              <w:bottom w:type="dxa" w:w="90"/>
              <w:right w:type="dxa" w:w="110"/>
            </w:tcMar>
          </w:tcPr>
          <w:p>
            <w:r>
              <w:rPr>
                <w:b/>
                <w:bCs/>
                <w:color w:val="FFFFFF"/>
                <w:sz w:val="19"/>
                <w:szCs w:val="19"/>
              </w:rPr>
              <w:t xml:space="preserve">Relação com o VendeFlex</w:t>
            </w:r>
          </w:p>
        </w:tc>
      </w:tr>
      <w:tr>
        <w:tc>
          <w:tcPr>
            <w:tcW w:type="dxa" w:w="2000"/>
            <w:tcMar>
              <w:top w:type="dxa" w:w="90"/>
              <w:left w:type="dxa" w:w="110"/>
              <w:bottom w:type="dxa" w:w="90"/>
              <w:right w:type="dxa" w:w="110"/>
            </w:tcMar>
          </w:tcPr>
          <w:p>
            <w:r>
              <w:rPr>
                <w:b w:val="false"/>
                <w:bCs w:val="false"/>
                <w:color w:val="1A1A1A"/>
                <w:sz w:val="19"/>
                <w:szCs w:val="19"/>
              </w:rPr>
              <w:t xml:space="preserve">MenuFlex</w:t>
            </w:r>
          </w:p>
        </w:tc>
        <w:tc>
          <w:tcPr>
            <w:tcW w:type="dxa" w:w="3600"/>
            <w:tcMar>
              <w:top w:type="dxa" w:w="90"/>
              <w:left w:type="dxa" w:w="110"/>
              <w:bottom w:type="dxa" w:w="90"/>
              <w:right w:type="dxa" w:w="110"/>
            </w:tcMar>
          </w:tcPr>
          <w:p>
            <w:r>
              <w:rPr>
                <w:b w:val="false"/>
                <w:bCs w:val="false"/>
                <w:color w:val="1A1A1A"/>
                <w:sz w:val="19"/>
                <w:szCs w:val="19"/>
              </w:rPr>
              <w:t xml:space="preserve">Cardápio digital e operação de food service</w:t>
            </w:r>
          </w:p>
        </w:tc>
        <w:tc>
          <w:tcPr>
            <w:tcW w:type="dxa" w:w="3700"/>
            <w:tcMar>
              <w:top w:type="dxa" w:w="90"/>
              <w:left w:type="dxa" w:w="110"/>
              <w:bottom w:type="dxa" w:w="90"/>
              <w:right w:type="dxa" w:w="110"/>
            </w:tcMar>
          </w:tcPr>
          <w:p>
            <w:r>
              <w:rPr>
                <w:b w:val="false"/>
                <w:bCs w:val="false"/>
                <w:color w:val="1A1A1A"/>
                <w:sz w:val="19"/>
                <w:szCs w:val="19"/>
              </w:rPr>
              <w:t xml:space="preserve">Pode compartilhar catálogo de produtos e estoque quando o mesmo tenant vende itens de varejo além da alimentação</w:t>
            </w:r>
          </w:p>
        </w:tc>
      </w:tr>
      <w:tr>
        <w:tc>
          <w:tcPr>
            <w:tcW w:type="dxa" w:w="2000"/>
            <w:tcMar>
              <w:top w:type="dxa" w:w="90"/>
              <w:left w:type="dxa" w:w="110"/>
              <w:bottom w:type="dxa" w:w="90"/>
              <w:right w:type="dxa" w:w="110"/>
            </w:tcMar>
          </w:tcPr>
          <w:p>
            <w:r>
              <w:rPr>
                <w:b w:val="false"/>
                <w:bCs w:val="false"/>
                <w:color w:val="1A1A1A"/>
                <w:sz w:val="19"/>
                <w:szCs w:val="19"/>
              </w:rPr>
              <w:t xml:space="preserve">VendeFlex</w:t>
            </w:r>
          </w:p>
        </w:tc>
        <w:tc>
          <w:tcPr>
            <w:tcW w:type="dxa" w:w="3600"/>
            <w:tcMar>
              <w:top w:type="dxa" w:w="90"/>
              <w:left w:type="dxa" w:w="110"/>
              <w:bottom w:type="dxa" w:w="90"/>
              <w:right w:type="dxa" w:w="110"/>
            </w:tcMar>
          </w:tcPr>
          <w:p>
            <w:r>
              <w:rPr>
                <w:b w:val="false"/>
                <w:bCs w:val="false"/>
                <w:color w:val="1A1A1A"/>
                <w:sz w:val="19"/>
                <w:szCs w:val="19"/>
              </w:rPr>
              <w:t xml:space="preserve">Gestão comercial e de estoque multissegmento</w:t>
            </w:r>
          </w:p>
        </w:tc>
        <w:tc>
          <w:tcPr>
            <w:tcW w:type="dxa" w:w="3700"/>
            <w:tcMar>
              <w:top w:type="dxa" w:w="90"/>
              <w:left w:type="dxa" w:w="110"/>
              <w:bottom w:type="dxa" w:w="90"/>
              <w:right w:type="dxa" w:w="110"/>
            </w:tcMar>
          </w:tcPr>
          <w:p>
            <w:r>
              <w:rPr>
                <w:b w:val="false"/>
                <w:bCs w:val="false"/>
                <w:color w:val="1A1A1A"/>
                <w:sz w:val="19"/>
                <w:szCs w:val="19"/>
              </w:rPr>
              <w:t xml:space="preserve">—</w:t>
            </w:r>
          </w:p>
        </w:tc>
      </w:tr>
      <w:tr>
        <w:tc>
          <w:tcPr>
            <w:tcW w:type="dxa" w:w="2000"/>
            <w:tcMar>
              <w:top w:type="dxa" w:w="90"/>
              <w:left w:type="dxa" w:w="110"/>
              <w:bottom w:type="dxa" w:w="90"/>
              <w:right w:type="dxa" w:w="110"/>
            </w:tcMar>
          </w:tcPr>
          <w:p>
            <w:r>
              <w:rPr>
                <w:b w:val="false"/>
                <w:bCs w:val="false"/>
                <w:color w:val="1A1A1A"/>
                <w:sz w:val="19"/>
                <w:szCs w:val="19"/>
              </w:rPr>
              <w:t xml:space="preserve">FinWise</w:t>
            </w:r>
          </w:p>
        </w:tc>
        <w:tc>
          <w:tcPr>
            <w:tcW w:type="dxa" w:w="3600"/>
            <w:tcMar>
              <w:top w:type="dxa" w:w="90"/>
              <w:left w:type="dxa" w:w="110"/>
              <w:bottom w:type="dxa" w:w="90"/>
              <w:right w:type="dxa" w:w="110"/>
            </w:tcMar>
          </w:tcPr>
          <w:p>
            <w:r>
              <w:rPr>
                <w:b w:val="false"/>
                <w:bCs w:val="false"/>
                <w:color w:val="1A1A1A"/>
                <w:sz w:val="19"/>
                <w:szCs w:val="19"/>
              </w:rPr>
              <w:t xml:space="preserve">Finanças pessoais e educação financeira do usuário final</w:t>
            </w:r>
          </w:p>
        </w:tc>
        <w:tc>
          <w:tcPr>
            <w:tcW w:type="dxa" w:w="3700"/>
            <w:tcMar>
              <w:top w:type="dxa" w:w="90"/>
              <w:left w:type="dxa" w:w="110"/>
              <w:bottom w:type="dxa" w:w="90"/>
              <w:right w:type="dxa" w:w="110"/>
            </w:tcMar>
          </w:tcPr>
          <w:p>
            <w:r>
              <w:rPr>
                <w:b w:val="false"/>
                <w:bCs w:val="false"/>
                <w:color w:val="1A1A1A"/>
                <w:sz w:val="19"/>
                <w:szCs w:val="19"/>
              </w:rPr>
              <w:t xml:space="preserve">Pode consumir dados agregados de lucro do VendeFlex para o dono do negócio que também usa o FinWise como pessoa física</w:t>
            </w:r>
          </w:p>
        </w:tc>
      </w:tr>
      <w:tr>
        <w:tc>
          <w:tcPr>
            <w:tcW w:type="dxa" w:w="2000"/>
            <w:tcMar>
              <w:top w:type="dxa" w:w="90"/>
              <w:left w:type="dxa" w:w="110"/>
              <w:bottom w:type="dxa" w:w="90"/>
              <w:right w:type="dxa" w:w="110"/>
            </w:tcMar>
          </w:tcPr>
          <w:p>
            <w:r>
              <w:rPr>
                <w:b w:val="false"/>
                <w:bCs w:val="false"/>
                <w:color w:val="1A1A1A"/>
                <w:sz w:val="19"/>
                <w:szCs w:val="19"/>
              </w:rPr>
              <w:t xml:space="preserve">Futuros produtos</w:t>
            </w:r>
          </w:p>
        </w:tc>
        <w:tc>
          <w:tcPr>
            <w:tcW w:type="dxa" w:w="3600"/>
            <w:tcMar>
              <w:top w:type="dxa" w:w="90"/>
              <w:left w:type="dxa" w:w="110"/>
              <w:bottom w:type="dxa" w:w="90"/>
              <w:right w:type="dxa" w:w="110"/>
            </w:tcMar>
          </w:tcPr>
          <w:p>
            <w:r>
              <w:rPr>
                <w:b w:val="false"/>
                <w:bCs w:val="false"/>
                <w:color w:val="1A1A1A"/>
                <w:sz w:val="19"/>
                <w:szCs w:val="19"/>
              </w:rPr>
              <w:t xml:space="preserve">A definir</w:t>
            </w:r>
          </w:p>
        </w:tc>
        <w:tc>
          <w:tcPr>
            <w:tcW w:type="dxa" w:w="3700"/>
            <w:tcMar>
              <w:top w:type="dxa" w:w="90"/>
              <w:left w:type="dxa" w:w="110"/>
              <w:bottom w:type="dxa" w:w="90"/>
              <w:right w:type="dxa" w:w="110"/>
            </w:tcMar>
          </w:tcPr>
          <w:p>
            <w:r>
              <w:rPr>
                <w:b w:val="false"/>
                <w:bCs w:val="false"/>
                <w:color w:val="1A1A1A"/>
                <w:sz w:val="19"/>
                <w:szCs w:val="19"/>
              </w:rPr>
              <w:t xml:space="preserve">Entram no hub seguindo o mesmo padrão de login único e tenant</w:t>
            </w:r>
          </w:p>
        </w:tc>
      </w:tr>
    </w:tbl>
    <w:p>
      <w:pPr>
        <w:pStyle w:val="Heading2"/>
        <w:spacing w:after="140" w:before="320"/>
      </w:pPr>
      <w:r>
        <w:rPr>
          <w:b/>
          <w:bCs/>
          <w:color w:val="B8860B"/>
          <w:sz w:val="26"/>
          <w:szCs w:val="26"/>
        </w:rPr>
        <w:t xml:space="preserve">3.3 Login Único (Single Sign-On)</w:t>
      </w:r>
    </w:p>
    <w:p>
      <w:pPr>
        <w:spacing w:after="140" w:line="300"/>
      </w:pPr>
      <w:r>
        <w:rPr>
          <w:sz w:val="21"/>
          <w:szCs w:val="21"/>
        </w:rPr>
        <w:t xml:space="preserve">Autenticação centralizada via Supabase Auth, compartilhada entre todos os produtos do hub. O usuário cria uma única conta RhoneyInc e, a partir dela, ativa os produtos que deseja usar. Cada ativação cria um vínculo usuario-tenant específico do produto, mas a identidade (e-mail, senha, dados de perfil) é única.</w:t>
      </w:r>
    </w:p>
    <w:p>
      <w:pPr>
        <w:pStyle w:val="ListParagraph"/>
        <w:numPr>
          <w:ilvl w:val="0"/>
          <w:numId w:val="3"/>
        </w:numPr>
        <w:spacing w:after="70"/>
      </w:pPr>
      <w:r>
        <w:rPr>
          <w:sz w:val="21"/>
          <w:szCs w:val="21"/>
        </w:rPr>
        <w:t xml:space="preserve">Um usuário pode ter papéis diferentes em produtos diferentes (ex: dono no VendeFlex, usuário comum no FinWise).</w:t>
      </w:r>
    </w:p>
    <w:p>
      <w:pPr>
        <w:pStyle w:val="ListParagraph"/>
        <w:numPr>
          <w:ilvl w:val="0"/>
          <w:numId w:val="3"/>
        </w:numPr>
        <w:spacing w:after="70"/>
      </w:pPr>
      <w:r>
        <w:rPr>
          <w:sz w:val="21"/>
          <w:szCs w:val="21"/>
        </w:rPr>
        <w:t xml:space="preserve">Troca entre produtos do ecossistema sem necessidade de novo login, dentro da mesma sessão autenticada.</w:t>
      </w:r>
    </w:p>
    <w:p>
      <w:pPr>
        <w:pStyle w:val="ListParagraph"/>
        <w:numPr>
          <w:ilvl w:val="0"/>
          <w:numId w:val="3"/>
        </w:numPr>
        <w:spacing w:after="70"/>
      </w:pPr>
      <w:r>
        <w:rPr>
          <w:sz w:val="21"/>
          <w:szCs w:val="21"/>
        </w:rPr>
        <w:t xml:space="preserve">Recuperação de senha, alteração de e-mail e exclusão de conta são operações centralizadas no hub, refletidas automaticamente em todos os produtos.</w:t>
      </w:r>
    </w:p>
    <w:p>
      <w:pPr>
        <w:pStyle w:val="Heading2"/>
        <w:spacing w:after="140" w:before="320"/>
      </w:pPr>
      <w:r>
        <w:rPr>
          <w:b/>
          <w:bCs/>
          <w:color w:val="B8860B"/>
          <w:sz w:val="26"/>
          <w:szCs w:val="26"/>
        </w:rPr>
        <w:t xml:space="preserve">3.4 Tenant Compartilhado vs. Tenant Próprio</w:t>
      </w:r>
    </w:p>
    <w:p>
      <w:pPr>
        <w:spacing w:after="140" w:line="300"/>
      </w:pPr>
      <w:r>
        <w:rPr>
          <w:sz w:val="21"/>
          <w:szCs w:val="21"/>
        </w:rPr>
        <w:t xml:space="preserve">Cada produto mantém seu próprio conceito de tenant (o "negócio" dentro daquele produto), mas todos referenciam a mesma identidade de conta RhoneyInc. Isso permite, por exemplo, que um restaurante tenha um tenant no MenuFlex e um tenant no VendeFlex, ambos vinculados à mesma conta, mas com dados de catálogo potencialmente sincronizados (ver 3.5).</w:t>
      </w:r>
    </w:p>
    <w:p>
      <w:pPr>
        <w:pStyle w:val="Heading2"/>
        <w:spacing w:after="140" w:before="320"/>
      </w:pPr>
      <w:r>
        <w:rPr>
          <w:b/>
          <w:bCs/>
          <w:color w:val="B8860B"/>
          <w:sz w:val="26"/>
          <w:szCs w:val="26"/>
        </w:rPr>
        <w:t xml:space="preserve">3.5 Compartilhamento de Dados entre Produtos</w:t>
      </w:r>
    </w:p>
    <w:p>
      <w:pPr>
        <w:spacing w:after="140" w:line="300"/>
      </w:pPr>
      <w:r>
        <w:rPr>
          <w:sz w:val="21"/>
          <w:szCs w:val="21"/>
        </w:rPr>
        <w:t xml:space="preserve">O compartilhamento de dados entre produtos do ecossistema é opcional e configurável pelo tenant, nunca automático por padrão, respeitando o princípio de menor superfície de dados compartilhados:</w:t>
      </w:r>
    </w:p>
    <w:p>
      <w:pPr>
        <w:pStyle w:val="ListParagraph"/>
        <w:numPr>
          <w:ilvl w:val="0"/>
          <w:numId w:val="3"/>
        </w:numPr>
        <w:spacing w:after="70"/>
      </w:pPr>
      <w:r>
        <w:rPr>
          <w:sz w:val="21"/>
          <w:szCs w:val="21"/>
        </w:rPr>
        <w:t xml:space="preserve">Estoque e catálogo — um produto cadastrado no VendeFlex pode ser espelhado no MenuFlex (e vice-versa) para negócios híbridos, mediante ativação explícita da integração</w:t>
      </w:r>
    </w:p>
    <w:p>
      <w:pPr>
        <w:pStyle w:val="ListParagraph"/>
        <w:numPr>
          <w:ilvl w:val="0"/>
          <w:numId w:val="3"/>
        </w:numPr>
        <w:spacing w:after="70"/>
      </w:pPr>
      <w:r>
        <w:rPr>
          <w:sz w:val="21"/>
          <w:szCs w:val="21"/>
        </w:rPr>
        <w:t xml:space="preserve">Indicadores financeiros agregados — o VendeFlex pode expor um resumo de lucro/faturamento para consumo do FinWise, sem expor dados granulares de venda individual</w:t>
      </w:r>
    </w:p>
    <w:p>
      <w:pPr>
        <w:pStyle w:val="ListParagraph"/>
        <w:numPr>
          <w:ilvl w:val="0"/>
          <w:numId w:val="3"/>
        </w:numPr>
        <w:spacing w:after="70"/>
      </w:pPr>
      <w:r>
        <w:rPr>
          <w:sz w:val="21"/>
          <w:szCs w:val="21"/>
        </w:rPr>
        <w:t xml:space="preserve">Nenhum dado de cliente final (CRM) é compartilhado entre produtos sem consentimento explícito e finalidade declarada, conforme LGPD (Capítulo 15)</w:t>
      </w:r>
    </w:p>
    <w:p>
      <w:pPr>
        <w:pStyle w:val="Heading2"/>
        <w:spacing w:after="140" w:before="320"/>
      </w:pPr>
      <w:r>
        <w:rPr>
          <w:b/>
          <w:bCs/>
          <w:color w:val="B8860B"/>
          <w:sz w:val="26"/>
          <w:szCs w:val="26"/>
        </w:rPr>
        <w:t xml:space="preserve">3.6 Identidade Visual Compartilhada</w:t>
      </w:r>
    </w:p>
    <w:p>
      <w:pPr>
        <w:spacing w:after="140" w:line="300"/>
      </w:pPr>
      <w:r>
        <w:rPr>
          <w:sz w:val="21"/>
          <w:szCs w:val="21"/>
        </w:rPr>
        <w:t xml:space="preserve">Todos os produtos seguem a mesma base de Design System (paleta, tipografia, componentes-base), com variações de tom por produto — o VendeFlex adota uma paleta mais neutra e orientada a dados, coerente com seu uso operacional intenso, mantendo a cor primária dourada da marca RhoneyInc como elemento de reconhecimento (Capítulo 12).</w:t>
      </w:r>
    </w:p>
    <w:p>
      <w:pPr>
        <w:pStyle w:val="Heading2"/>
        <w:spacing w:after="140" w:before="320"/>
      </w:pPr>
      <w:r>
        <w:rPr>
          <w:b/>
          <w:bCs/>
          <w:color w:val="B8860B"/>
          <w:sz w:val="26"/>
          <w:szCs w:val="26"/>
        </w:rPr>
        <w:t xml:space="preserve">3.7 Central Administrativa RhoneyInc</w:t>
      </w:r>
    </w:p>
    <w:p>
      <w:pPr>
        <w:spacing w:after="140" w:line="300"/>
      </w:pPr>
      <w:r>
        <w:rPr>
          <w:sz w:val="21"/>
          <w:szCs w:val="21"/>
        </w:rPr>
        <w:t xml:space="preserve">Um painel interno único permite à equipe RhoneyInc administrar todos os tenants de todos os produtos do ecossistema a partir de um só lugar, incluindo suporte, faturamento consolidado e monitoramento de uso. O detalhamento completo deste painel está no Capítulo 19.</w:t>
      </w:r>
    </w:p>
    <w:p>
      <w:pPr>
        <w:pStyle w:val="Heading2"/>
        <w:spacing w:after="140" w:before="320"/>
      </w:pPr>
      <w:r>
        <w:rPr>
          <w:b/>
          <w:bCs/>
          <w:color w:val="B8860B"/>
          <w:sz w:val="26"/>
          <w:szCs w:val="26"/>
        </w:rPr>
        <w:t xml:space="preserve">3.8 Roadmap de Expansão do Ecossistema</w:t>
      </w:r>
    </w:p>
    <w:p>
      <w:pPr>
        <w:spacing w:after="140" w:line="300"/>
      </w:pPr>
      <w:r>
        <w:rPr>
          <w:sz w:val="21"/>
          <w:szCs w:val="21"/>
        </w:rPr>
        <w:t xml:space="preserve">Novos produtos entram no ecossistema seguindo um checklist mínimo de integração: autenticação via Supabase Auth compartilhado, padrão is_admin() para RLS, identidade visual base do Design System RhoneyInc, e registro no painel administrativo central. Este checklist é pré-requisito de lançamento para qualquer produto futuro, incluindo o próprio VendeFlex.</w:t>
      </w:r>
    </w:p>
    <w:p>
      <w:pPr>
        <w:pStyle w:val="Heading1"/>
        <w:pageBreakBefore/>
        <w:pBdr>
          <w:bottom w:val="single" w:color="3FA796" w:sz="6" w:space="8"/>
        </w:pBdr>
        <w:spacing w:after="240" w:before="0"/>
      </w:pPr>
      <w:r>
        <w:rPr>
          <w:b/>
          <w:bCs/>
          <w:color w:val="B8860B"/>
          <w:sz w:val="22"/>
          <w:szCs w:val="22"/>
        </w:rPr>
        <w:t xml:space="preserve">CAPÍTULO 4</w:t>
      </w:r>
      <w:r>
        <w:t xml:space="preserve">  </w:t>
      </w:r>
    </w:p>
    <w:p>
      <w:pPr>
        <w:pStyle w:val="Heading1"/>
        <w:spacing w:after="280" w:before="0"/>
      </w:pPr>
      <w:r>
        <w:rPr>
          <w:b/>
          <w:bCs/>
          <w:color w:val="1A1A1A"/>
          <w:sz w:val="36"/>
          <w:szCs w:val="36"/>
        </w:rPr>
        <w:t xml:space="preserve">Arquitetura de Módulos</w:t>
      </w:r>
    </w:p>
    <w:p>
      <w:pPr>
        <w:pStyle w:val="Heading2"/>
        <w:spacing w:after="140" w:before="320"/>
      </w:pPr>
      <w:r>
        <w:rPr>
          <w:b/>
          <w:bCs/>
          <w:color w:val="B8860B"/>
          <w:sz w:val="26"/>
          <w:szCs w:val="26"/>
        </w:rPr>
        <w:t xml:space="preserve">4.1 Visão Geral</w:t>
      </w:r>
    </w:p>
    <w:p>
      <w:pPr>
        <w:spacing w:after="140" w:line="300"/>
      </w:pPr>
      <w:r>
        <w:rPr>
          <w:sz w:val="21"/>
          <w:szCs w:val="21"/>
        </w:rPr>
        <w:t xml:space="preserve">O VendeFlex é organizado em módulos independentes que se comunicam por meio de um núcleo comum (tenant, autenticação, catálogo de produtos e estoque). Cada módulo pode ser ativado ou desativado por tenant, conforme o plano contratado, sem exigir alterações estruturais no restante do sistema.</w:t>
      </w:r>
    </w:p>
    <w:p>
      <w:pPr>
        <w:pStyle w:val="Heading2"/>
        <w:spacing w:after="140" w:before="320"/>
      </w:pPr>
      <w:r>
        <w:rPr>
          <w:b/>
          <w:bCs/>
          <w:color w:val="B8860B"/>
          <w:sz w:val="26"/>
          <w:szCs w:val="26"/>
        </w:rPr>
        <w:t xml:space="preserve">4.2 Mapa de Módulos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500"/>
      </w:tblGrid>
      <w:tr>
        <w:tc>
          <w:tcPr>
            <w:tcW w:type="dxa" w:w="3600"/>
            <w:shd w:fill="1A1A1A" w:val="clear"/>
            <w:tcMar>
              <w:top w:type="dxa" w:w="90"/>
              <w:left w:type="dxa" w:w="110"/>
              <w:bottom w:type="dxa" w:w="90"/>
              <w:right w:type="dxa" w:w="110"/>
            </w:tcMar>
          </w:tcPr>
          <w:p>
            <w:r>
              <w:rPr>
                <w:b/>
                <w:bCs/>
                <w:color w:val="FFFFFF"/>
                <w:sz w:val="19"/>
                <w:szCs w:val="19"/>
              </w:rPr>
              <w:t xml:space="preserve">Módulo</w:t>
            </w:r>
          </w:p>
        </w:tc>
        <w:tc>
          <w:tcPr>
            <w:tcW w:type="dxa" w:w="3600"/>
            <w:shd w:fill="1A1A1A" w:val="clear"/>
            <w:tcMar>
              <w:top w:type="dxa" w:w="90"/>
              <w:left w:type="dxa" w:w="110"/>
              <w:bottom w:type="dxa" w:w="90"/>
              <w:right w:type="dxa" w:w="110"/>
            </w:tcMar>
          </w:tcPr>
          <w:p>
            <w:r>
              <w:rPr>
                <w:b/>
                <w:bCs/>
                <w:color w:val="FFFFFF"/>
                <w:sz w:val="19"/>
                <w:szCs w:val="19"/>
              </w:rPr>
              <w:t xml:space="preserve">Categoria</w:t>
            </w:r>
          </w:p>
        </w:tc>
        <w:tc>
          <w:tcPr>
            <w:tcW w:type="dxa" w:w="2500"/>
            <w:shd w:fill="1A1A1A" w:val="clear"/>
            <w:tcMar>
              <w:top w:type="dxa" w:w="90"/>
              <w:left w:type="dxa" w:w="110"/>
              <w:bottom w:type="dxa" w:w="90"/>
              <w:right w:type="dxa" w:w="110"/>
            </w:tcMar>
          </w:tcPr>
          <w:p>
            <w:r>
              <w:rPr>
                <w:b/>
                <w:bCs/>
                <w:color w:val="FFFFFF"/>
                <w:sz w:val="19"/>
                <w:szCs w:val="19"/>
              </w:rPr>
              <w:t xml:space="preserve">Fase</w:t>
            </w:r>
          </w:p>
        </w:tc>
      </w:tr>
      <w:tr>
        <w:tc>
          <w:tcPr>
            <w:tcW w:type="dxa" w:w="3600"/>
            <w:tcMar>
              <w:top w:type="dxa" w:w="90"/>
              <w:left w:type="dxa" w:w="110"/>
              <w:bottom w:type="dxa" w:w="90"/>
              <w:right w:type="dxa" w:w="110"/>
            </w:tcMar>
          </w:tcPr>
          <w:p>
            <w:r>
              <w:rPr>
                <w:b w:val="false"/>
                <w:bCs w:val="false"/>
                <w:color w:val="1A1A1A"/>
                <w:sz w:val="19"/>
                <w:szCs w:val="19"/>
              </w:rPr>
              <w:t xml:space="preserve">Cadastro Inteligente por Segmento</w:t>
            </w:r>
          </w:p>
        </w:tc>
        <w:tc>
          <w:tcPr>
            <w:tcW w:type="dxa" w:w="3600"/>
            <w:tcMar>
              <w:top w:type="dxa" w:w="90"/>
              <w:left w:type="dxa" w:w="110"/>
              <w:bottom w:type="dxa" w:w="90"/>
              <w:right w:type="dxa" w:w="110"/>
            </w:tcMar>
          </w:tcPr>
          <w:p>
            <w:r>
              <w:rPr>
                <w:b w:val="false"/>
                <w:bCs w:val="false"/>
                <w:color w:val="1A1A1A"/>
                <w:sz w:val="19"/>
                <w:szCs w:val="19"/>
              </w:rPr>
              <w:t xml:space="preserve">Ativação</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Onboarding Inteligente</w:t>
            </w:r>
          </w:p>
        </w:tc>
        <w:tc>
          <w:tcPr>
            <w:tcW w:type="dxa" w:w="3600"/>
            <w:tcMar>
              <w:top w:type="dxa" w:w="90"/>
              <w:left w:type="dxa" w:w="110"/>
              <w:bottom w:type="dxa" w:w="90"/>
              <w:right w:type="dxa" w:w="110"/>
            </w:tcMar>
          </w:tcPr>
          <w:p>
            <w:r>
              <w:rPr>
                <w:b w:val="false"/>
                <w:bCs w:val="false"/>
                <w:color w:val="1A1A1A"/>
                <w:sz w:val="19"/>
                <w:szCs w:val="19"/>
              </w:rPr>
              <w:t xml:space="preserve">Ativação</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Produtos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Categorias e Marcas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Fornecedores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Compras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Estoque</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PDV / Vendas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Caixa</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Financeiro básico (lucro, perda, margem)</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Dashboard Executivo</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Relatórios básicos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Permissões e usuários</w:t>
            </w:r>
          </w:p>
        </w:tc>
        <w:tc>
          <w:tcPr>
            <w:tcW w:type="dxa" w:w="3600"/>
            <w:tcMar>
              <w:top w:type="dxa" w:w="90"/>
              <w:left w:type="dxa" w:w="110"/>
              <w:bottom w:type="dxa" w:w="90"/>
              <w:right w:type="dxa" w:w="110"/>
            </w:tcMar>
          </w:tcPr>
          <w:p>
            <w:r>
              <w:rPr>
                <w:b w:val="false"/>
                <w:bCs w:val="false"/>
                <w:color w:val="1A1A1A"/>
                <w:sz w:val="19"/>
                <w:szCs w:val="19"/>
              </w:rPr>
              <w:t xml:space="preserve">Core</w:t>
            </w:r>
          </w:p>
        </w:tc>
        <w:tc>
          <w:tcPr>
            <w:tcW w:type="dxa" w:w="2500"/>
            <w:tcMar>
              <w:top w:type="dxa" w:w="90"/>
              <w:left w:type="dxa" w:w="110"/>
              <w:bottom w:type="dxa" w:w="90"/>
              <w:right w:type="dxa" w:w="110"/>
            </w:tcMar>
          </w:tcPr>
          <w:p>
            <w:r>
              <w:rPr>
                <w:b w:val="false"/>
                <w:bCs w:val="false"/>
                <w:color w:val="1A1A1A"/>
                <w:sz w:val="19"/>
                <w:szCs w:val="19"/>
              </w:rPr>
              <w:t xml:space="preserve">MVP</w:t>
            </w:r>
          </w:p>
        </w:tc>
      </w:tr>
      <w:tr>
        <w:tc>
          <w:tcPr>
            <w:tcW w:type="dxa" w:w="3600"/>
            <w:tcMar>
              <w:top w:type="dxa" w:w="90"/>
              <w:left w:type="dxa" w:w="110"/>
              <w:bottom w:type="dxa" w:w="90"/>
              <w:right w:type="dxa" w:w="110"/>
            </w:tcMar>
          </w:tcPr>
          <w:p>
            <w:r>
              <w:rPr>
                <w:b w:val="false"/>
                <w:bCs w:val="false"/>
                <w:color w:val="1A1A1A"/>
                <w:sz w:val="19"/>
                <w:szCs w:val="19"/>
              </w:rPr>
              <w:t xml:space="preserve">Modo Offline (PDV)</w:t>
            </w:r>
          </w:p>
        </w:tc>
        <w:tc>
          <w:tcPr>
            <w:tcW w:type="dxa" w:w="3600"/>
            <w:tcMar>
              <w:top w:type="dxa" w:w="90"/>
              <w:left w:type="dxa" w:w="110"/>
              <w:bottom w:type="dxa" w:w="90"/>
              <w:right w:type="dxa" w:w="110"/>
            </w:tcMar>
          </w:tcPr>
          <w:p>
            <w:r>
              <w:rPr>
                <w:b w:val="false"/>
                <w:bCs w:val="false"/>
                <w:color w:val="1A1A1A"/>
                <w:sz w:val="19"/>
                <w:szCs w:val="19"/>
              </w:rPr>
              <w:t xml:space="preserve">Estoque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Inventário (contagem cíclica)</w:t>
            </w:r>
          </w:p>
        </w:tc>
        <w:tc>
          <w:tcPr>
            <w:tcW w:type="dxa" w:w="3600"/>
            <w:tcMar>
              <w:top w:type="dxa" w:w="90"/>
              <w:left w:type="dxa" w:w="110"/>
              <w:bottom w:type="dxa" w:w="90"/>
              <w:right w:type="dxa" w:w="110"/>
            </w:tcMar>
          </w:tcPr>
          <w:p>
            <w:r>
              <w:rPr>
                <w:b w:val="false"/>
                <w:bCs w:val="false"/>
                <w:color w:val="1A1A1A"/>
                <w:sz w:val="19"/>
                <w:szCs w:val="19"/>
              </w:rPr>
              <w:t xml:space="preserve">Estoque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Transferências entre filiais</w:t>
            </w:r>
          </w:p>
        </w:tc>
        <w:tc>
          <w:tcPr>
            <w:tcW w:type="dxa" w:w="3600"/>
            <w:tcMar>
              <w:top w:type="dxa" w:w="90"/>
              <w:left w:type="dxa" w:w="110"/>
              <w:bottom w:type="dxa" w:w="90"/>
              <w:right w:type="dxa" w:w="110"/>
            </w:tcMar>
          </w:tcPr>
          <w:p>
            <w:r>
              <w:rPr>
                <w:b w:val="false"/>
                <w:bCs w:val="false"/>
                <w:color w:val="1A1A1A"/>
                <w:sz w:val="19"/>
                <w:szCs w:val="19"/>
              </w:rPr>
              <w:t xml:space="preserve">Estoque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Contas a pagar / receber</w:t>
            </w:r>
          </w:p>
        </w:tc>
        <w:tc>
          <w:tcPr>
            <w:tcW w:type="dxa" w:w="3600"/>
            <w:tcMar>
              <w:top w:type="dxa" w:w="90"/>
              <w:left w:type="dxa" w:w="110"/>
              <w:bottom w:type="dxa" w:w="90"/>
              <w:right w:type="dxa" w:w="110"/>
            </w:tcMar>
          </w:tcPr>
          <w:p>
            <w:r>
              <w:rPr>
                <w:b w:val="false"/>
                <w:bCs w:val="false"/>
                <w:color w:val="1A1A1A"/>
                <w:sz w:val="19"/>
                <w:szCs w:val="19"/>
              </w:rPr>
              <w:t xml:space="preserve">Financeiro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Fluxo de caixa projetado</w:t>
            </w:r>
          </w:p>
        </w:tc>
        <w:tc>
          <w:tcPr>
            <w:tcW w:type="dxa" w:w="3600"/>
            <w:tcMar>
              <w:top w:type="dxa" w:w="90"/>
              <w:left w:type="dxa" w:w="110"/>
              <w:bottom w:type="dxa" w:w="90"/>
              <w:right w:type="dxa" w:w="110"/>
            </w:tcMar>
          </w:tcPr>
          <w:p>
            <w:r>
              <w:rPr>
                <w:b w:val="false"/>
                <w:bCs w:val="false"/>
                <w:color w:val="1A1A1A"/>
                <w:sz w:val="19"/>
                <w:szCs w:val="19"/>
              </w:rPr>
              <w:t xml:space="preserve">Financeiro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Metas e comissões</w:t>
            </w:r>
          </w:p>
        </w:tc>
        <w:tc>
          <w:tcPr>
            <w:tcW w:type="dxa" w:w="3600"/>
            <w:tcMar>
              <w:top w:type="dxa" w:w="90"/>
              <w:left w:type="dxa" w:w="110"/>
              <w:bottom w:type="dxa" w:w="90"/>
              <w:right w:type="dxa" w:w="110"/>
            </w:tcMar>
          </w:tcPr>
          <w:p>
            <w:r>
              <w:rPr>
                <w:b w:val="false"/>
                <w:bCs w:val="false"/>
                <w:color w:val="1A1A1A"/>
                <w:sz w:val="19"/>
                <w:szCs w:val="19"/>
              </w:rPr>
              <w:t xml:space="preserve">Vendas avançado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Gamificação</w:t>
            </w:r>
          </w:p>
        </w:tc>
        <w:tc>
          <w:tcPr>
            <w:tcW w:type="dxa" w:w="3600"/>
            <w:tcMar>
              <w:top w:type="dxa" w:w="90"/>
              <w:left w:type="dxa" w:w="110"/>
              <w:bottom w:type="dxa" w:w="90"/>
              <w:right w:type="dxa" w:w="110"/>
            </w:tcMar>
          </w:tcPr>
          <w:p>
            <w:r>
              <w:rPr>
                <w:b w:val="false"/>
                <w:bCs w:val="false"/>
                <w:color w:val="1A1A1A"/>
                <w:sz w:val="19"/>
                <w:szCs w:val="19"/>
              </w:rPr>
              <w:t xml:space="preserve">Vendas avançado</w:t>
            </w:r>
          </w:p>
        </w:tc>
        <w:tc>
          <w:tcPr>
            <w:tcW w:type="dxa" w:w="2500"/>
            <w:tcMar>
              <w:top w:type="dxa" w:w="90"/>
              <w:left w:type="dxa" w:w="110"/>
              <w:bottom w:type="dxa" w:w="90"/>
              <w:right w:type="dxa" w:w="110"/>
            </w:tcMar>
          </w:tcPr>
          <w:p>
            <w:r>
              <w:rPr>
                <w:b w:val="false"/>
                <w:bCs w:val="false"/>
                <w:color w:val="1A1A1A"/>
                <w:sz w:val="19"/>
                <w:szCs w:val="19"/>
              </w:rPr>
              <w:t xml:space="preserve">V2/V3</w:t>
            </w:r>
          </w:p>
        </w:tc>
      </w:tr>
      <w:tr>
        <w:tc>
          <w:tcPr>
            <w:tcW w:type="dxa" w:w="3600"/>
            <w:tcMar>
              <w:top w:type="dxa" w:w="90"/>
              <w:left w:type="dxa" w:w="110"/>
              <w:bottom w:type="dxa" w:w="90"/>
              <w:right w:type="dxa" w:w="110"/>
            </w:tcMar>
          </w:tcPr>
          <w:p>
            <w:r>
              <w:rPr>
                <w:b w:val="false"/>
                <w:bCs w:val="false"/>
                <w:color w:val="1A1A1A"/>
                <w:sz w:val="19"/>
                <w:szCs w:val="19"/>
              </w:rPr>
              <w:t xml:space="preserve">CRM e clientes</w:t>
            </w:r>
          </w:p>
        </w:tc>
        <w:tc>
          <w:tcPr>
            <w:tcW w:type="dxa" w:w="3600"/>
            <w:tcMar>
              <w:top w:type="dxa" w:w="90"/>
              <w:left w:type="dxa" w:w="110"/>
              <w:bottom w:type="dxa" w:w="90"/>
              <w:right w:type="dxa" w:w="110"/>
            </w:tcMar>
          </w:tcPr>
          <w:p>
            <w:r>
              <w:rPr>
                <w:b w:val="false"/>
                <w:bCs w:val="false"/>
                <w:color w:val="1A1A1A"/>
                <w:sz w:val="19"/>
                <w:szCs w:val="19"/>
              </w:rPr>
              <w:t xml:space="preserve">Relacionamento</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Central de IA (sugestões por módulo)</w:t>
            </w:r>
          </w:p>
        </w:tc>
        <w:tc>
          <w:tcPr>
            <w:tcW w:type="dxa" w:w="3600"/>
            <w:tcMar>
              <w:top w:type="dxa" w:w="90"/>
              <w:left w:type="dxa" w:w="110"/>
              <w:bottom w:type="dxa" w:w="90"/>
              <w:right w:type="dxa" w:w="110"/>
            </w:tcMar>
          </w:tcPr>
          <w:p>
            <w:r>
              <w:rPr>
                <w:b w:val="false"/>
                <w:bCs w:val="false"/>
                <w:color w:val="1A1A1A"/>
                <w:sz w:val="19"/>
                <w:szCs w:val="19"/>
              </w:rPr>
              <w:t xml:space="preserve">Inteligência</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Assistente Virtual (Central de IA conversacional)</w:t>
            </w:r>
          </w:p>
        </w:tc>
        <w:tc>
          <w:tcPr>
            <w:tcW w:type="dxa" w:w="3600"/>
            <w:tcMar>
              <w:top w:type="dxa" w:w="90"/>
              <w:left w:type="dxa" w:w="110"/>
              <w:bottom w:type="dxa" w:w="90"/>
              <w:right w:type="dxa" w:w="110"/>
            </w:tcMar>
          </w:tcPr>
          <w:p>
            <w:r>
              <w:rPr>
                <w:b w:val="false"/>
                <w:bCs w:val="false"/>
                <w:color w:val="1A1A1A"/>
                <w:sz w:val="19"/>
                <w:szCs w:val="19"/>
              </w:rPr>
              <w:t xml:space="preserve">Inteligência</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Centro de Automações</w:t>
            </w:r>
          </w:p>
        </w:tc>
        <w:tc>
          <w:tcPr>
            <w:tcW w:type="dxa" w:w="3600"/>
            <w:tcMar>
              <w:top w:type="dxa" w:w="90"/>
              <w:left w:type="dxa" w:w="110"/>
              <w:bottom w:type="dxa" w:w="90"/>
              <w:right w:type="dxa" w:w="110"/>
            </w:tcMar>
          </w:tcPr>
          <w:p>
            <w:r>
              <w:rPr>
                <w:b w:val="false"/>
                <w:bCs w:val="false"/>
                <w:color w:val="1A1A1A"/>
                <w:sz w:val="19"/>
                <w:szCs w:val="19"/>
              </w:rPr>
              <w:t xml:space="preserve">Plataforma</w:t>
            </w:r>
          </w:p>
        </w:tc>
        <w:tc>
          <w:tcPr>
            <w:tcW w:type="dxa" w:w="2500"/>
            <w:tcMar>
              <w:top w:type="dxa" w:w="90"/>
              <w:left w:type="dxa" w:w="110"/>
              <w:bottom w:type="dxa" w:w="90"/>
              <w:right w:type="dxa" w:w="110"/>
            </w:tcMar>
          </w:tcPr>
          <w:p>
            <w:r>
              <w:rPr>
                <w:b w:val="false"/>
                <w:bCs w:val="false"/>
                <w:color w:val="1A1A1A"/>
                <w:sz w:val="19"/>
                <w:szCs w:val="19"/>
              </w:rPr>
              <w:t xml:space="preserve">V2</w:t>
            </w:r>
          </w:p>
        </w:tc>
      </w:tr>
      <w:tr>
        <w:tc>
          <w:tcPr>
            <w:tcW w:type="dxa" w:w="3600"/>
            <w:tcMar>
              <w:top w:type="dxa" w:w="90"/>
              <w:left w:type="dxa" w:w="110"/>
              <w:bottom w:type="dxa" w:w="90"/>
              <w:right w:type="dxa" w:w="110"/>
            </w:tcMar>
          </w:tcPr>
          <w:p>
            <w:r>
              <w:rPr>
                <w:b w:val="false"/>
                <w:bCs w:val="false"/>
                <w:color w:val="1A1A1A"/>
                <w:sz w:val="19"/>
                <w:szCs w:val="19"/>
              </w:rPr>
              <w:t xml:space="preserve">Programa de fidelidade</w:t>
            </w:r>
          </w:p>
        </w:tc>
        <w:tc>
          <w:tcPr>
            <w:tcW w:type="dxa" w:w="3600"/>
            <w:tcMar>
              <w:top w:type="dxa" w:w="90"/>
              <w:left w:type="dxa" w:w="110"/>
              <w:bottom w:type="dxa" w:w="90"/>
              <w:right w:type="dxa" w:w="110"/>
            </w:tcMar>
          </w:tcPr>
          <w:p>
            <w:r>
              <w:rPr>
                <w:b w:val="false"/>
                <w:bCs w:val="false"/>
                <w:color w:val="1A1A1A"/>
                <w:sz w:val="19"/>
                <w:szCs w:val="19"/>
              </w:rPr>
              <w:t xml:space="preserve">Relacionamento</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Business Intelligence</w:t>
            </w:r>
          </w:p>
        </w:tc>
        <w:tc>
          <w:tcPr>
            <w:tcW w:type="dxa" w:w="3600"/>
            <w:tcMar>
              <w:top w:type="dxa" w:w="90"/>
              <w:left w:type="dxa" w:w="110"/>
              <w:bottom w:type="dxa" w:w="90"/>
              <w:right w:type="dxa" w:w="110"/>
            </w:tcMar>
          </w:tcPr>
          <w:p>
            <w:r>
              <w:rPr>
                <w:b w:val="false"/>
                <w:bCs w:val="false"/>
                <w:color w:val="1A1A1A"/>
                <w:sz w:val="19"/>
                <w:szCs w:val="19"/>
              </w:rPr>
              <w:t xml:space="preserve">Analytics</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Auditoria avançada</w:t>
            </w:r>
          </w:p>
        </w:tc>
        <w:tc>
          <w:tcPr>
            <w:tcW w:type="dxa" w:w="3600"/>
            <w:tcMar>
              <w:top w:type="dxa" w:w="90"/>
              <w:left w:type="dxa" w:w="110"/>
              <w:bottom w:type="dxa" w:w="90"/>
              <w:right w:type="dxa" w:w="110"/>
            </w:tcMar>
          </w:tcPr>
          <w:p>
            <w:r>
              <w:rPr>
                <w:b w:val="false"/>
                <w:bCs w:val="false"/>
                <w:color w:val="1A1A1A"/>
                <w:sz w:val="19"/>
                <w:szCs w:val="19"/>
              </w:rPr>
              <w:t xml:space="preserve">Governança</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Integrações fiscais / contábeis</w:t>
            </w:r>
          </w:p>
        </w:tc>
        <w:tc>
          <w:tcPr>
            <w:tcW w:type="dxa" w:w="3600"/>
            <w:tcMar>
              <w:top w:type="dxa" w:w="90"/>
              <w:left w:type="dxa" w:w="110"/>
              <w:bottom w:type="dxa" w:w="90"/>
              <w:right w:type="dxa" w:w="110"/>
            </w:tcMar>
          </w:tcPr>
          <w:p>
            <w:r>
              <w:rPr>
                <w:b w:val="false"/>
                <w:bCs w:val="false"/>
                <w:color w:val="1A1A1A"/>
                <w:sz w:val="19"/>
                <w:szCs w:val="19"/>
              </w:rPr>
              <w:t xml:space="preserve">Integrações</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API Pública e Webhooks</w:t>
            </w:r>
          </w:p>
        </w:tc>
        <w:tc>
          <w:tcPr>
            <w:tcW w:type="dxa" w:w="3600"/>
            <w:tcMar>
              <w:top w:type="dxa" w:w="90"/>
              <w:left w:type="dxa" w:w="110"/>
              <w:bottom w:type="dxa" w:w="90"/>
              <w:right w:type="dxa" w:w="110"/>
            </w:tcMar>
          </w:tcPr>
          <w:p>
            <w:r>
              <w:rPr>
                <w:b w:val="false"/>
                <w:bCs w:val="false"/>
                <w:color w:val="1A1A1A"/>
                <w:sz w:val="19"/>
                <w:szCs w:val="19"/>
              </w:rPr>
              <w:t xml:space="preserve">Integrações</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Marketplace B2B</w:t>
            </w:r>
          </w:p>
        </w:tc>
        <w:tc>
          <w:tcPr>
            <w:tcW w:type="dxa" w:w="3600"/>
            <w:tcMar>
              <w:top w:type="dxa" w:w="90"/>
              <w:left w:type="dxa" w:w="110"/>
              <w:bottom w:type="dxa" w:w="90"/>
              <w:right w:type="dxa" w:w="110"/>
            </w:tcMar>
          </w:tcPr>
          <w:p>
            <w:r>
              <w:rPr>
                <w:b w:val="false"/>
                <w:bCs w:val="false"/>
                <w:color w:val="1A1A1A"/>
                <w:sz w:val="19"/>
                <w:szCs w:val="19"/>
              </w:rPr>
              <w:t xml:space="preserve">Integrações</w:t>
            </w:r>
          </w:p>
        </w:tc>
        <w:tc>
          <w:tcPr>
            <w:tcW w:type="dxa" w:w="2500"/>
            <w:tcMar>
              <w:top w:type="dxa" w:w="90"/>
              <w:left w:type="dxa" w:w="110"/>
              <w:bottom w:type="dxa" w:w="90"/>
              <w:right w:type="dxa" w:w="110"/>
            </w:tcMar>
          </w:tcPr>
          <w:p>
            <w:r>
              <w:rPr>
                <w:b w:val="false"/>
                <w:bCs w:val="false"/>
                <w:color w:val="1A1A1A"/>
                <w:sz w:val="19"/>
                <w:szCs w:val="19"/>
              </w:rPr>
              <w:t xml:space="preserve">V3</w:t>
            </w:r>
          </w:p>
        </w:tc>
      </w:tr>
      <w:tr>
        <w:tc>
          <w:tcPr>
            <w:tcW w:type="dxa" w:w="3600"/>
            <w:tcMar>
              <w:top w:type="dxa" w:w="90"/>
              <w:left w:type="dxa" w:w="110"/>
              <w:bottom w:type="dxa" w:w="90"/>
              <w:right w:type="dxa" w:w="110"/>
            </w:tcMar>
          </w:tcPr>
          <w:p>
            <w:r>
              <w:rPr>
                <w:b w:val="false"/>
                <w:bCs w:val="false"/>
                <w:color w:val="1A1A1A"/>
                <w:sz w:val="19"/>
                <w:szCs w:val="19"/>
              </w:rPr>
              <w:t xml:space="preserve">Central administrativa multi-tenant (RhoneyInc)</w:t>
            </w:r>
          </w:p>
        </w:tc>
        <w:tc>
          <w:tcPr>
            <w:tcW w:type="dxa" w:w="3600"/>
            <w:tcMar>
              <w:top w:type="dxa" w:w="90"/>
              <w:left w:type="dxa" w:w="110"/>
              <w:bottom w:type="dxa" w:w="90"/>
              <w:right w:type="dxa" w:w="110"/>
            </w:tcMar>
          </w:tcPr>
          <w:p>
            <w:r>
              <w:rPr>
                <w:b w:val="false"/>
                <w:bCs w:val="false"/>
                <w:color w:val="1A1A1A"/>
                <w:sz w:val="19"/>
                <w:szCs w:val="19"/>
              </w:rPr>
              <w:t xml:space="preserve">Plataforma</w:t>
            </w:r>
          </w:p>
        </w:tc>
        <w:tc>
          <w:tcPr>
            <w:tcW w:type="dxa" w:w="2500"/>
            <w:tcMar>
              <w:top w:type="dxa" w:w="90"/>
              <w:left w:type="dxa" w:w="110"/>
              <w:bottom w:type="dxa" w:w="90"/>
              <w:right w:type="dxa" w:w="110"/>
            </w:tcMar>
          </w:tcPr>
          <w:p>
            <w:r>
              <w:rPr>
                <w:b w:val="false"/>
                <w:bCs w:val="false"/>
                <w:color w:val="1A1A1A"/>
                <w:sz w:val="19"/>
                <w:szCs w:val="19"/>
              </w:rPr>
              <w:t xml:space="preserve">MVP (interna)</w:t>
            </w:r>
          </w:p>
        </w:tc>
      </w:tr>
    </w:tbl>
    <w:p>
      <w:pPr>
        <w:pStyle w:val="Heading2"/>
        <w:spacing w:after="140" w:before="320"/>
      </w:pPr>
      <w:r>
        <w:rPr>
          <w:b/>
          <w:bCs/>
          <w:color w:val="B8860B"/>
          <w:sz w:val="26"/>
          <w:szCs w:val="26"/>
        </w:rPr>
        <w:t xml:space="preserve">4.3 Núcleo Comum (Core Compartilhado)</w:t>
      </w:r>
    </w:p>
    <w:p>
      <w:pPr>
        <w:spacing w:after="140" w:line="300"/>
      </w:pPr>
      <w:r>
        <w:rPr>
          <w:sz w:val="21"/>
          <w:szCs w:val="21"/>
        </w:rPr>
        <w:t xml:space="preserve">Todo módulo depende de um núcleo comum, compartilhado com os demais produtos do ecossistema RhoneyInc quando aplicável:</w:t>
      </w:r>
    </w:p>
    <w:p>
      <w:pPr>
        <w:pStyle w:val="ListParagraph"/>
        <w:numPr>
          <w:ilvl w:val="0"/>
          <w:numId w:val="3"/>
        </w:numPr>
        <w:spacing w:after="70"/>
      </w:pPr>
      <w:r>
        <w:rPr>
          <w:sz w:val="21"/>
          <w:szCs w:val="21"/>
        </w:rPr>
        <w:t xml:space="preserve">Tenant — identifica o negócio/empresa cliente e isola seus dados via RLS</w:t>
      </w:r>
    </w:p>
    <w:p>
      <w:pPr>
        <w:pStyle w:val="ListParagraph"/>
        <w:numPr>
          <w:ilvl w:val="0"/>
          <w:numId w:val="3"/>
        </w:numPr>
        <w:spacing w:after="70"/>
      </w:pPr>
      <w:r>
        <w:rPr>
          <w:sz w:val="21"/>
          <w:szCs w:val="21"/>
        </w:rPr>
        <w:t xml:space="preserve">Autenticação — Supabase Auth compartilhado com o hub RhoneyInc (login único)</w:t>
      </w:r>
    </w:p>
    <w:p>
      <w:pPr>
        <w:pStyle w:val="ListParagraph"/>
        <w:numPr>
          <w:ilvl w:val="0"/>
          <w:numId w:val="3"/>
        </w:numPr>
        <w:spacing w:after="70"/>
      </w:pPr>
      <w:r>
        <w:rPr>
          <w:sz w:val="21"/>
          <w:szCs w:val="21"/>
        </w:rPr>
        <w:t xml:space="preserve">Usuários e Papéis — vínculo usuário-tenant com papel (dono, vendedor, estoquista, financeiro)</w:t>
      </w:r>
    </w:p>
    <w:p>
      <w:pPr>
        <w:pStyle w:val="ListParagraph"/>
        <w:numPr>
          <w:ilvl w:val="0"/>
          <w:numId w:val="3"/>
        </w:numPr>
        <w:spacing w:after="70"/>
      </w:pPr>
      <w:r>
        <w:rPr>
          <w:sz w:val="21"/>
          <w:szCs w:val="21"/>
        </w:rPr>
        <w:t xml:space="preserve">Catálogo de Produtos — base única consultada por Estoque, PDV, Compras e Relatórios</w:t>
      </w:r>
    </w:p>
    <w:p>
      <w:pPr>
        <w:pStyle w:val="ListParagraph"/>
        <w:numPr>
          <w:ilvl w:val="0"/>
          <w:numId w:val="3"/>
        </w:numPr>
        <w:spacing w:after="70"/>
      </w:pPr>
      <w:r>
        <w:rPr>
          <w:sz w:val="21"/>
          <w:szCs w:val="21"/>
        </w:rPr>
        <w:t xml:space="preserve">Configurações do Tenant — dados cadastrais, plano contratado, preferências</w:t>
      </w:r>
    </w:p>
    <w:p>
      <w:pPr>
        <w:pStyle w:val="Heading2"/>
        <w:spacing w:after="140" w:before="320"/>
      </w:pPr>
      <w:r>
        <w:rPr>
          <w:b/>
          <w:bCs/>
          <w:color w:val="B8860B"/>
          <w:sz w:val="26"/>
          <w:szCs w:val="26"/>
        </w:rPr>
        <w:t xml:space="preserve">4.4 Dependências entre Módulos</w:t>
      </w:r>
    </w:p>
    <w:p>
      <w:pPr>
        <w:spacing w:after="140" w:line="300"/>
      </w:pPr>
      <w:r>
        <w:rPr>
          <w:sz w:val="21"/>
          <w:szCs w:val="21"/>
        </w:rPr>
        <w:t xml:space="preserve">Alguns módulos só podem ser ativados se seus pré-requisitos já estiverem ativos, para evitar inconsistência de dados: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00"/>
        <w:gridCol w:w="5900"/>
      </w:tblGrid>
      <w:tr>
        <w:tc>
          <w:tcPr>
            <w:tcW w:type="dxa" w:w="3800"/>
            <w:shd w:fill="1A1A1A" w:val="clear"/>
            <w:tcMar>
              <w:top w:type="dxa" w:w="90"/>
              <w:left w:type="dxa" w:w="110"/>
              <w:bottom w:type="dxa" w:w="90"/>
              <w:right w:type="dxa" w:w="110"/>
            </w:tcMar>
          </w:tcPr>
          <w:p>
            <w:r>
              <w:rPr>
                <w:b/>
                <w:bCs/>
                <w:color w:val="FFFFFF"/>
                <w:sz w:val="19"/>
                <w:szCs w:val="19"/>
              </w:rPr>
              <w:t xml:space="preserve">Módulo</w:t>
            </w:r>
          </w:p>
        </w:tc>
        <w:tc>
          <w:tcPr>
            <w:tcW w:type="dxa" w:w="5900"/>
            <w:shd w:fill="1A1A1A" w:val="clear"/>
            <w:tcMar>
              <w:top w:type="dxa" w:w="90"/>
              <w:left w:type="dxa" w:w="110"/>
              <w:bottom w:type="dxa" w:w="90"/>
              <w:right w:type="dxa" w:w="110"/>
            </w:tcMar>
          </w:tcPr>
          <w:p>
            <w:r>
              <w:rPr>
                <w:b/>
                <w:bCs/>
                <w:color w:val="FFFFFF"/>
                <w:sz w:val="19"/>
                <w:szCs w:val="19"/>
              </w:rPr>
              <w:t xml:space="preserve">Depende de</w:t>
            </w:r>
          </w:p>
        </w:tc>
      </w:tr>
      <w:tr>
        <w:tc>
          <w:tcPr>
            <w:tcW w:type="dxa" w:w="3800"/>
            <w:tcMar>
              <w:top w:type="dxa" w:w="90"/>
              <w:left w:type="dxa" w:w="110"/>
              <w:bottom w:type="dxa" w:w="90"/>
              <w:right w:type="dxa" w:w="110"/>
            </w:tcMar>
          </w:tcPr>
          <w:p>
            <w:r>
              <w:rPr>
                <w:b w:val="false"/>
                <w:bCs w:val="false"/>
                <w:color w:val="1A1A1A"/>
                <w:sz w:val="19"/>
                <w:szCs w:val="19"/>
              </w:rPr>
              <w:t xml:space="preserve">PDV / Vendas</w:t>
            </w:r>
          </w:p>
        </w:tc>
        <w:tc>
          <w:tcPr>
            <w:tcW w:type="dxa" w:w="5900"/>
            <w:tcMar>
              <w:top w:type="dxa" w:w="90"/>
              <w:left w:type="dxa" w:w="110"/>
              <w:bottom w:type="dxa" w:w="90"/>
              <w:right w:type="dxa" w:w="110"/>
            </w:tcMar>
          </w:tcPr>
          <w:p>
            <w:r>
              <w:rPr>
                <w:b w:val="false"/>
                <w:bCs w:val="false"/>
                <w:color w:val="1A1A1A"/>
                <w:sz w:val="19"/>
                <w:szCs w:val="19"/>
              </w:rPr>
              <w:t xml:space="preserve">Produtos, Estoque, Caixa</w:t>
            </w:r>
          </w:p>
        </w:tc>
      </w:tr>
      <w:tr>
        <w:tc>
          <w:tcPr>
            <w:tcW w:type="dxa" w:w="3800"/>
            <w:tcMar>
              <w:top w:type="dxa" w:w="90"/>
              <w:left w:type="dxa" w:w="110"/>
              <w:bottom w:type="dxa" w:w="90"/>
              <w:right w:type="dxa" w:w="110"/>
            </w:tcMar>
          </w:tcPr>
          <w:p>
            <w:r>
              <w:rPr>
                <w:b w:val="false"/>
                <w:bCs w:val="false"/>
                <w:color w:val="1A1A1A"/>
                <w:sz w:val="19"/>
                <w:szCs w:val="19"/>
              </w:rPr>
              <w:t xml:space="preserve">Compras</w:t>
            </w:r>
          </w:p>
        </w:tc>
        <w:tc>
          <w:tcPr>
            <w:tcW w:type="dxa" w:w="5900"/>
            <w:tcMar>
              <w:top w:type="dxa" w:w="90"/>
              <w:left w:type="dxa" w:w="110"/>
              <w:bottom w:type="dxa" w:w="90"/>
              <w:right w:type="dxa" w:w="110"/>
            </w:tcMar>
          </w:tcPr>
          <w:p>
            <w:r>
              <w:rPr>
                <w:b w:val="false"/>
                <w:bCs w:val="false"/>
                <w:color w:val="1A1A1A"/>
                <w:sz w:val="19"/>
                <w:szCs w:val="19"/>
              </w:rPr>
              <w:t xml:space="preserve">Produtos, Fornecedores</w:t>
            </w:r>
          </w:p>
        </w:tc>
      </w:tr>
      <w:tr>
        <w:tc>
          <w:tcPr>
            <w:tcW w:type="dxa" w:w="3800"/>
            <w:tcMar>
              <w:top w:type="dxa" w:w="90"/>
              <w:left w:type="dxa" w:w="110"/>
              <w:bottom w:type="dxa" w:w="90"/>
              <w:right w:type="dxa" w:w="110"/>
            </w:tcMar>
          </w:tcPr>
          <w:p>
            <w:r>
              <w:rPr>
                <w:b w:val="false"/>
                <w:bCs w:val="false"/>
                <w:color w:val="1A1A1A"/>
                <w:sz w:val="19"/>
                <w:szCs w:val="19"/>
              </w:rPr>
              <w:t xml:space="preserve">Transferências entre filiais</w:t>
            </w:r>
          </w:p>
        </w:tc>
        <w:tc>
          <w:tcPr>
            <w:tcW w:type="dxa" w:w="5900"/>
            <w:tcMar>
              <w:top w:type="dxa" w:w="90"/>
              <w:left w:type="dxa" w:w="110"/>
              <w:bottom w:type="dxa" w:w="90"/>
              <w:right w:type="dxa" w:w="110"/>
            </w:tcMar>
          </w:tcPr>
          <w:p>
            <w:r>
              <w:rPr>
                <w:b w:val="false"/>
                <w:bCs w:val="false"/>
                <w:color w:val="1A1A1A"/>
                <w:sz w:val="19"/>
                <w:szCs w:val="19"/>
              </w:rPr>
              <w:t xml:space="preserve">Estoque, Múltiplas filiais cadastradas</w:t>
            </w:r>
          </w:p>
        </w:tc>
      </w:tr>
      <w:tr>
        <w:tc>
          <w:tcPr>
            <w:tcW w:type="dxa" w:w="3800"/>
            <w:tcMar>
              <w:top w:type="dxa" w:w="90"/>
              <w:left w:type="dxa" w:w="110"/>
              <w:bottom w:type="dxa" w:w="90"/>
              <w:right w:type="dxa" w:w="110"/>
            </w:tcMar>
          </w:tcPr>
          <w:p>
            <w:r>
              <w:rPr>
                <w:b w:val="false"/>
                <w:bCs w:val="false"/>
                <w:color w:val="1A1A1A"/>
                <w:sz w:val="19"/>
                <w:szCs w:val="19"/>
              </w:rPr>
              <w:t xml:space="preserve">Contas a pagar</w:t>
            </w:r>
          </w:p>
        </w:tc>
        <w:tc>
          <w:tcPr>
            <w:tcW w:type="dxa" w:w="5900"/>
            <w:tcMar>
              <w:top w:type="dxa" w:w="90"/>
              <w:left w:type="dxa" w:w="110"/>
              <w:bottom w:type="dxa" w:w="90"/>
              <w:right w:type="dxa" w:w="110"/>
            </w:tcMar>
          </w:tcPr>
          <w:p>
            <w:r>
              <w:rPr>
                <w:b w:val="false"/>
                <w:bCs w:val="false"/>
                <w:color w:val="1A1A1A"/>
                <w:sz w:val="19"/>
                <w:szCs w:val="19"/>
              </w:rPr>
              <w:t xml:space="preserve">Fornecedores, Compras</w:t>
            </w:r>
          </w:p>
        </w:tc>
      </w:tr>
      <w:tr>
        <w:tc>
          <w:tcPr>
            <w:tcW w:type="dxa" w:w="3800"/>
            <w:tcMar>
              <w:top w:type="dxa" w:w="90"/>
              <w:left w:type="dxa" w:w="110"/>
              <w:bottom w:type="dxa" w:w="90"/>
              <w:right w:type="dxa" w:w="110"/>
            </w:tcMar>
          </w:tcPr>
          <w:p>
            <w:r>
              <w:rPr>
                <w:b w:val="false"/>
                <w:bCs w:val="false"/>
                <w:color w:val="1A1A1A"/>
                <w:sz w:val="19"/>
                <w:szCs w:val="19"/>
              </w:rPr>
              <w:t xml:space="preserve">Contas a receber</w:t>
            </w:r>
          </w:p>
        </w:tc>
        <w:tc>
          <w:tcPr>
            <w:tcW w:type="dxa" w:w="5900"/>
            <w:tcMar>
              <w:top w:type="dxa" w:w="90"/>
              <w:left w:type="dxa" w:w="110"/>
              <w:bottom w:type="dxa" w:w="90"/>
              <w:right w:type="dxa" w:w="110"/>
            </w:tcMar>
          </w:tcPr>
          <w:p>
            <w:r>
              <w:rPr>
                <w:b w:val="false"/>
                <w:bCs w:val="false"/>
                <w:color w:val="1A1A1A"/>
                <w:sz w:val="19"/>
                <w:szCs w:val="19"/>
              </w:rPr>
              <w:t xml:space="preserve">Vendas, Clientes</w:t>
            </w:r>
          </w:p>
        </w:tc>
      </w:tr>
      <w:tr>
        <w:tc>
          <w:tcPr>
            <w:tcW w:type="dxa" w:w="3800"/>
            <w:tcMar>
              <w:top w:type="dxa" w:w="90"/>
              <w:left w:type="dxa" w:w="110"/>
              <w:bottom w:type="dxa" w:w="90"/>
              <w:right w:type="dxa" w:w="110"/>
            </w:tcMar>
          </w:tcPr>
          <w:p>
            <w:r>
              <w:rPr>
                <w:b w:val="false"/>
                <w:bCs w:val="false"/>
                <w:color w:val="1A1A1A"/>
                <w:sz w:val="19"/>
                <w:szCs w:val="19"/>
              </w:rPr>
              <w:t xml:space="preserve">Metas e comissões</w:t>
            </w:r>
          </w:p>
        </w:tc>
        <w:tc>
          <w:tcPr>
            <w:tcW w:type="dxa" w:w="5900"/>
            <w:tcMar>
              <w:top w:type="dxa" w:w="90"/>
              <w:left w:type="dxa" w:w="110"/>
              <w:bottom w:type="dxa" w:w="90"/>
              <w:right w:type="dxa" w:w="110"/>
            </w:tcMar>
          </w:tcPr>
          <w:p>
            <w:r>
              <w:rPr>
                <w:b w:val="false"/>
                <w:bCs w:val="false"/>
                <w:color w:val="1A1A1A"/>
                <w:sz w:val="19"/>
                <w:szCs w:val="19"/>
              </w:rPr>
              <w:t xml:space="preserve">Vendas, Usuários com papel de vendedor</w:t>
            </w:r>
          </w:p>
        </w:tc>
      </w:tr>
      <w:tr>
        <w:tc>
          <w:tcPr>
            <w:tcW w:type="dxa" w:w="3800"/>
            <w:tcMar>
              <w:top w:type="dxa" w:w="90"/>
              <w:left w:type="dxa" w:w="110"/>
              <w:bottom w:type="dxa" w:w="90"/>
              <w:right w:type="dxa" w:w="110"/>
            </w:tcMar>
          </w:tcPr>
          <w:p>
            <w:r>
              <w:rPr>
                <w:b w:val="false"/>
                <w:bCs w:val="false"/>
                <w:color w:val="1A1A1A"/>
                <w:sz w:val="19"/>
                <w:szCs w:val="19"/>
              </w:rPr>
              <w:t xml:space="preserve">CRM</w:t>
            </w:r>
          </w:p>
        </w:tc>
        <w:tc>
          <w:tcPr>
            <w:tcW w:type="dxa" w:w="5900"/>
            <w:tcMar>
              <w:top w:type="dxa" w:w="90"/>
              <w:left w:type="dxa" w:w="110"/>
              <w:bottom w:type="dxa" w:w="90"/>
              <w:right w:type="dxa" w:w="110"/>
            </w:tcMar>
          </w:tcPr>
          <w:p>
            <w:r>
              <w:rPr>
                <w:b w:val="false"/>
                <w:bCs w:val="false"/>
                <w:color w:val="1A1A1A"/>
                <w:sz w:val="19"/>
                <w:szCs w:val="19"/>
              </w:rPr>
              <w:t xml:space="preserve">Clientes, Vendas</w:t>
            </w:r>
          </w:p>
        </w:tc>
      </w:tr>
      <w:tr>
        <w:tc>
          <w:tcPr>
            <w:tcW w:type="dxa" w:w="3800"/>
            <w:tcMar>
              <w:top w:type="dxa" w:w="90"/>
              <w:left w:type="dxa" w:w="110"/>
              <w:bottom w:type="dxa" w:w="90"/>
              <w:right w:type="dxa" w:w="110"/>
            </w:tcMar>
          </w:tcPr>
          <w:p>
            <w:r>
              <w:rPr>
                <w:b w:val="false"/>
                <w:bCs w:val="false"/>
                <w:color w:val="1A1A1A"/>
                <w:sz w:val="19"/>
                <w:szCs w:val="19"/>
              </w:rPr>
              <w:t xml:space="preserve">Business Intelligence</w:t>
            </w:r>
          </w:p>
        </w:tc>
        <w:tc>
          <w:tcPr>
            <w:tcW w:type="dxa" w:w="5900"/>
            <w:tcMar>
              <w:top w:type="dxa" w:w="90"/>
              <w:left w:type="dxa" w:w="110"/>
              <w:bottom w:type="dxa" w:w="90"/>
              <w:right w:type="dxa" w:w="110"/>
            </w:tcMar>
          </w:tcPr>
          <w:p>
            <w:r>
              <w:rPr>
                <w:b w:val="false"/>
                <w:bCs w:val="false"/>
                <w:color w:val="1A1A1A"/>
                <w:sz w:val="19"/>
                <w:szCs w:val="19"/>
              </w:rPr>
              <w:t xml:space="preserve">Vendas, Estoque, Financeiro (histórico mínimo de 30 dias)</w:t>
            </w:r>
          </w:p>
        </w:tc>
      </w:tr>
    </w:tbl>
    <w:p>
      <w:pPr>
        <w:pStyle w:val="Heading2"/>
        <w:spacing w:after="140" w:before="320"/>
      </w:pPr>
      <w:r>
        <w:rPr>
          <w:b/>
          <w:bCs/>
          <w:color w:val="B8860B"/>
          <w:sz w:val="26"/>
          <w:szCs w:val="26"/>
        </w:rPr>
        <w:t xml:space="preserve">4.5 Fluxo de Dados Principal (Ciclo Comercial)</w:t>
      </w:r>
    </w:p>
    <w:p>
      <w:pPr>
        <w:spacing w:after="140" w:line="300"/>
      </w:pPr>
      <w:r>
        <w:rPr>
          <w:sz w:val="21"/>
          <w:szCs w:val="21"/>
        </w:rPr>
        <w:t xml:space="preserve">O ciclo operacional central do VendeFlex segue esta sequência, que orienta a modelagem de dados do Capítulo 11:</w:t>
      </w:r>
    </w:p>
    <w:p>
      <w:pPr>
        <w:pStyle w:val="ListParagraph"/>
        <w:numPr>
          <w:ilvl w:val="0"/>
          <w:numId w:val="2"/>
        </w:numPr>
        <w:spacing w:after="70"/>
      </w:pPr>
      <w:r>
        <w:rPr>
          <w:sz w:val="21"/>
          <w:szCs w:val="21"/>
        </w:rPr>
        <w:t xml:space="preserve">Cadastro de produto no Catálogo (com ou sem código de barras)</w:t>
      </w:r>
    </w:p>
    <w:p>
      <w:pPr>
        <w:pStyle w:val="ListParagraph"/>
        <w:numPr>
          <w:ilvl w:val="0"/>
          <w:numId w:val="2"/>
        </w:numPr>
        <w:spacing w:after="70"/>
      </w:pPr>
      <w:r>
        <w:rPr>
          <w:sz w:val="21"/>
          <w:szCs w:val="21"/>
        </w:rPr>
        <w:t xml:space="preserve">Pedido de Compra a um Fornecedor</w:t>
      </w:r>
    </w:p>
    <w:p>
      <w:pPr>
        <w:pStyle w:val="ListParagraph"/>
        <w:numPr>
          <w:ilvl w:val="0"/>
          <w:numId w:val="2"/>
        </w:numPr>
        <w:spacing w:after="70"/>
      </w:pPr>
      <w:r>
        <w:rPr>
          <w:sz w:val="21"/>
          <w:szCs w:val="21"/>
        </w:rPr>
        <w:t xml:space="preserve">Recebimento de mercadoria — gera movimento de Entrada no Estoque</w:t>
      </w:r>
    </w:p>
    <w:p>
      <w:pPr>
        <w:pStyle w:val="ListParagraph"/>
        <w:numPr>
          <w:ilvl w:val="0"/>
          <w:numId w:val="2"/>
        </w:numPr>
        <w:spacing w:after="70"/>
      </w:pPr>
      <w:r>
        <w:rPr>
          <w:sz w:val="21"/>
          <w:szCs w:val="21"/>
        </w:rPr>
        <w:t xml:space="preserve">Venda no PDV — gera movimento de Saída no Estoque e lançamento em Caixa</w:t>
      </w:r>
    </w:p>
    <w:p>
      <w:pPr>
        <w:pStyle w:val="ListParagraph"/>
        <w:numPr>
          <w:ilvl w:val="0"/>
          <w:numId w:val="2"/>
        </w:numPr>
        <w:spacing w:after="70"/>
      </w:pPr>
      <w:r>
        <w:rPr>
          <w:sz w:val="21"/>
          <w:szCs w:val="21"/>
        </w:rPr>
        <w:t xml:space="preserve">Fechamento de Caixa — concilia vendas do período</w:t>
      </w:r>
    </w:p>
    <w:p>
      <w:pPr>
        <w:pStyle w:val="ListParagraph"/>
        <w:numPr>
          <w:ilvl w:val="0"/>
          <w:numId w:val="2"/>
        </w:numPr>
        <w:spacing w:after="70"/>
      </w:pPr>
      <w:r>
        <w:rPr>
          <w:sz w:val="21"/>
          <w:szCs w:val="21"/>
        </w:rPr>
        <w:t xml:space="preserve">Consolidação no Financeiro — lucro, perda, margem</w:t>
      </w:r>
    </w:p>
    <w:p>
      <w:pPr>
        <w:pStyle w:val="ListParagraph"/>
        <w:numPr>
          <w:ilvl w:val="0"/>
          <w:numId w:val="2"/>
        </w:numPr>
        <w:spacing w:after="70"/>
      </w:pPr>
      <w:r>
        <w:rPr>
          <w:sz w:val="21"/>
          <w:szCs w:val="21"/>
        </w:rPr>
        <w:t xml:space="preserve">Disponibilização em Relatórios — indicadores operacionais e financeiros</w:t>
      </w:r>
    </w:p>
    <w:p>
      <w:pPr>
        <w:pStyle w:val="Heading2"/>
        <w:spacing w:after="140" w:before="320"/>
      </w:pPr>
      <w:r>
        <w:rPr>
          <w:b/>
          <w:bCs/>
          <w:color w:val="B8860B"/>
          <w:sz w:val="26"/>
          <w:szCs w:val="26"/>
        </w:rPr>
        <w:t xml:space="preserve">4.6 Estratégia de Modularidade Técnica</w:t>
      </w:r>
    </w:p>
    <w:p>
      <w:pPr>
        <w:spacing w:after="140" w:line="300"/>
      </w:pPr>
      <w:r>
        <w:rPr>
          <w:sz w:val="21"/>
          <w:szCs w:val="21"/>
        </w:rPr>
        <w:t xml:space="preserve">Para sustentar a ativação/desativação de módulos por plano sem acoplamento excessivo, o sistema adota:</w:t>
      </w:r>
    </w:p>
    <w:p>
      <w:pPr>
        <w:pStyle w:val="ListParagraph"/>
        <w:numPr>
          <w:ilvl w:val="0"/>
          <w:numId w:val="3"/>
        </w:numPr>
        <w:spacing w:after="70"/>
      </w:pPr>
      <w:r>
        <w:rPr>
          <w:sz w:val="21"/>
          <w:szCs w:val="21"/>
        </w:rPr>
        <w:t xml:space="preserve">Feature flags por tenant, armazenadas em tabela de configuração, checadas tanto no frontend quanto nas policies de RLS</w:t>
      </w:r>
    </w:p>
    <w:p>
      <w:pPr>
        <w:pStyle w:val="ListParagraph"/>
        <w:numPr>
          <w:ilvl w:val="0"/>
          <w:numId w:val="3"/>
        </w:numPr>
        <w:spacing w:after="70"/>
      </w:pPr>
      <w:r>
        <w:rPr>
          <w:sz w:val="21"/>
          <w:szCs w:val="21"/>
        </w:rPr>
        <w:t xml:space="preserve">Cada módulo novo é adicionado como conjunto de tabelas e componentes próprios, nunca alterando o schema de módulos já existentes de forma destrutiva</w:t>
      </w:r>
    </w:p>
    <w:p>
      <w:pPr>
        <w:pStyle w:val="ListParagraph"/>
        <w:numPr>
          <w:ilvl w:val="0"/>
          <w:numId w:val="3"/>
        </w:numPr>
        <w:spacing w:after="70"/>
      </w:pPr>
      <w:r>
        <w:rPr>
          <w:sz w:val="21"/>
          <w:szCs w:val="21"/>
        </w:rPr>
        <w:t xml:space="preserve">Módulos avançados (V2/V3) sempre leem do núcleo comum, nunca duplicam dados já existentes (ex: CRM reaproveita a tabela de clientes já usada por Vendas)</w:t>
      </w:r>
    </w:p>
    <w:p>
      <w:pPr>
        <w:pStyle w:val="Heading1"/>
        <w:pageBreakBefore/>
        <w:pBdr>
          <w:bottom w:val="single" w:color="3FA796" w:sz="6" w:space="8"/>
        </w:pBdr>
        <w:spacing w:after="240" w:before="0"/>
      </w:pPr>
      <w:r>
        <w:rPr>
          <w:b/>
          <w:bCs/>
          <w:color w:val="B8860B"/>
          <w:sz w:val="22"/>
          <w:szCs w:val="22"/>
        </w:rPr>
        <w:t xml:space="preserve">CAPÍTULO 5</w:t>
      </w:r>
      <w:r>
        <w:t xml:space="preserve">  </w:t>
      </w:r>
    </w:p>
    <w:p>
      <w:pPr>
        <w:pStyle w:val="Heading1"/>
        <w:spacing w:after="280" w:before="0"/>
      </w:pPr>
      <w:r>
        <w:rPr>
          <w:b/>
          <w:bCs/>
          <w:color w:val="1A1A1A"/>
          <w:sz w:val="36"/>
          <w:szCs w:val="36"/>
        </w:rPr>
        <w:t xml:space="preserve">Cadastro Inteligente por Segmento</w:t>
      </w:r>
    </w:p>
    <w:p>
      <w:pPr>
        <w:pStyle w:val="Heading2"/>
        <w:spacing w:after="140" w:before="320"/>
      </w:pPr>
      <w:r>
        <w:rPr>
          <w:b/>
          <w:bCs/>
          <w:color w:val="B8860B"/>
          <w:sz w:val="26"/>
          <w:szCs w:val="26"/>
        </w:rPr>
        <w:t xml:space="preserve">5.1 Conceito</w:t>
      </w:r>
    </w:p>
    <w:p>
      <w:pPr>
        <w:spacing w:after="140" w:line="300"/>
      </w:pPr>
      <w:r>
        <w:rPr>
          <w:sz w:val="21"/>
          <w:szCs w:val="21"/>
        </w:rPr>
        <w:t xml:space="preserve">Ao informar o segmento do negócio durante o onboarding (Capítulo 6), o VendeFlex pré-configura automaticamente boa parte da base de dados operacional do tenant, eliminando a necessidade de cadastro manual do zero. Este é um dos principais diferenciais de ativação do produto: o lojista sente o sistema "pronto para uso" em minutos, não em dias.</w:t>
      </w:r>
    </w:p>
    <w:p>
      <w:pPr>
        <w:spacing w:after="140" w:line="300"/>
      </w:pPr>
      <w:r>
        <w:rPr>
          <w:sz w:val="21"/>
          <w:szCs w:val="21"/>
        </w:rPr>
        <w:t xml:space="preserve">Este capítulo define o que é gerado automaticamente, como as sugestões são geradas e como o lojista pode ajustar tudo livremente após a criação inicial.</w:t>
      </w:r>
    </w:p>
    <w:p>
      <w:pPr>
        <w:pStyle w:val="Heading2"/>
        <w:spacing w:after="140" w:before="320"/>
      </w:pPr>
      <w:r>
        <w:rPr>
          <w:b/>
          <w:bCs/>
          <w:color w:val="B8860B"/>
          <w:sz w:val="26"/>
          <w:szCs w:val="26"/>
        </w:rPr>
        <w:t xml:space="preserve">5.2 Segmentos Suportados no MVP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Segmento</w:t>
            </w:r>
          </w:p>
        </w:tc>
        <w:tc>
          <w:tcPr>
            <w:tcW w:type="dxa" w:w="7100"/>
            <w:shd w:fill="1A1A1A" w:val="clear"/>
            <w:tcMar>
              <w:top w:type="dxa" w:w="90"/>
              <w:left w:type="dxa" w:w="110"/>
              <w:bottom w:type="dxa" w:w="90"/>
              <w:right w:type="dxa" w:w="110"/>
            </w:tcMar>
          </w:tcPr>
          <w:p>
            <w:r>
              <w:rPr>
                <w:b/>
                <w:bCs/>
                <w:color w:val="FFFFFF"/>
                <w:sz w:val="19"/>
                <w:szCs w:val="19"/>
              </w:rPr>
              <w:t xml:space="preserve">Exemplo de negócio</w:t>
            </w:r>
          </w:p>
        </w:tc>
      </w:tr>
      <w:tr>
        <w:tc>
          <w:tcPr>
            <w:tcW w:type="dxa" w:w="2600"/>
            <w:tcMar>
              <w:top w:type="dxa" w:w="90"/>
              <w:left w:type="dxa" w:w="110"/>
              <w:bottom w:type="dxa" w:w="90"/>
              <w:right w:type="dxa" w:w="110"/>
            </w:tcMar>
          </w:tcPr>
          <w:p>
            <w:r>
              <w:rPr>
                <w:b w:val="false"/>
                <w:bCs w:val="false"/>
                <w:color w:val="1A1A1A"/>
                <w:sz w:val="19"/>
                <w:szCs w:val="19"/>
              </w:rPr>
              <w:t xml:space="preserve">Loja de roupas</w:t>
            </w:r>
          </w:p>
        </w:tc>
        <w:tc>
          <w:tcPr>
            <w:tcW w:type="dxa" w:w="7100"/>
            <w:tcMar>
              <w:top w:type="dxa" w:w="90"/>
              <w:left w:type="dxa" w:w="110"/>
              <w:bottom w:type="dxa" w:w="90"/>
              <w:right w:type="dxa" w:w="110"/>
            </w:tcMar>
          </w:tcPr>
          <w:p>
            <w:r>
              <w:rPr>
                <w:b w:val="false"/>
                <w:bCs w:val="false"/>
                <w:color w:val="1A1A1A"/>
                <w:sz w:val="19"/>
                <w:szCs w:val="19"/>
              </w:rPr>
              <w:t xml:space="preserve">Boutique, loja de moda, brechó</w:t>
            </w:r>
          </w:p>
        </w:tc>
      </w:tr>
      <w:tr>
        <w:tc>
          <w:tcPr>
            <w:tcW w:type="dxa" w:w="2600"/>
            <w:tcMar>
              <w:top w:type="dxa" w:w="90"/>
              <w:left w:type="dxa" w:w="110"/>
              <w:bottom w:type="dxa" w:w="90"/>
              <w:right w:type="dxa" w:w="110"/>
            </w:tcMar>
          </w:tcPr>
          <w:p>
            <w:r>
              <w:rPr>
                <w:b w:val="false"/>
                <w:bCs w:val="false"/>
                <w:color w:val="1A1A1A"/>
                <w:sz w:val="19"/>
                <w:szCs w:val="19"/>
              </w:rPr>
              <w:t xml:space="preserve">Papelaria</w:t>
            </w:r>
          </w:p>
        </w:tc>
        <w:tc>
          <w:tcPr>
            <w:tcW w:type="dxa" w:w="7100"/>
            <w:tcMar>
              <w:top w:type="dxa" w:w="90"/>
              <w:left w:type="dxa" w:w="110"/>
              <w:bottom w:type="dxa" w:w="90"/>
              <w:right w:type="dxa" w:w="110"/>
            </w:tcMar>
          </w:tcPr>
          <w:p>
            <w:r>
              <w:rPr>
                <w:b w:val="false"/>
                <w:bCs w:val="false"/>
                <w:color w:val="1A1A1A"/>
                <w:sz w:val="19"/>
                <w:szCs w:val="19"/>
              </w:rPr>
              <w:t xml:space="preserve">Papelaria de bairro, loja de materiais escolares</w:t>
            </w:r>
          </w:p>
        </w:tc>
      </w:tr>
      <w:tr>
        <w:tc>
          <w:tcPr>
            <w:tcW w:type="dxa" w:w="2600"/>
            <w:tcMar>
              <w:top w:type="dxa" w:w="90"/>
              <w:left w:type="dxa" w:w="110"/>
              <w:bottom w:type="dxa" w:w="90"/>
              <w:right w:type="dxa" w:w="110"/>
            </w:tcMar>
          </w:tcPr>
          <w:p>
            <w:r>
              <w:rPr>
                <w:b w:val="false"/>
                <w:bCs w:val="false"/>
                <w:color w:val="1A1A1A"/>
                <w:sz w:val="19"/>
                <w:szCs w:val="19"/>
              </w:rPr>
              <w:t xml:space="preserve">Farmácia</w:t>
            </w:r>
          </w:p>
        </w:tc>
        <w:tc>
          <w:tcPr>
            <w:tcW w:type="dxa" w:w="7100"/>
            <w:tcMar>
              <w:top w:type="dxa" w:w="90"/>
              <w:left w:type="dxa" w:w="110"/>
              <w:bottom w:type="dxa" w:w="90"/>
              <w:right w:type="dxa" w:w="110"/>
            </w:tcMar>
          </w:tcPr>
          <w:p>
            <w:r>
              <w:rPr>
                <w:b w:val="false"/>
                <w:bCs w:val="false"/>
                <w:color w:val="1A1A1A"/>
                <w:sz w:val="19"/>
                <w:szCs w:val="19"/>
              </w:rPr>
              <w:t xml:space="preserve">Drogaria, farmácia de manipulação</w:t>
            </w:r>
          </w:p>
        </w:tc>
      </w:tr>
      <w:tr>
        <w:tc>
          <w:tcPr>
            <w:tcW w:type="dxa" w:w="2600"/>
            <w:tcMar>
              <w:top w:type="dxa" w:w="90"/>
              <w:left w:type="dxa" w:w="110"/>
              <w:bottom w:type="dxa" w:w="90"/>
              <w:right w:type="dxa" w:w="110"/>
            </w:tcMar>
          </w:tcPr>
          <w:p>
            <w:r>
              <w:rPr>
                <w:b w:val="false"/>
                <w:bCs w:val="false"/>
                <w:color w:val="1A1A1A"/>
                <w:sz w:val="19"/>
                <w:szCs w:val="19"/>
              </w:rPr>
              <w:t xml:space="preserve">Autopeças</w:t>
            </w:r>
          </w:p>
        </w:tc>
        <w:tc>
          <w:tcPr>
            <w:tcW w:type="dxa" w:w="7100"/>
            <w:tcMar>
              <w:top w:type="dxa" w:w="90"/>
              <w:left w:type="dxa" w:w="110"/>
              <w:bottom w:type="dxa" w:w="90"/>
              <w:right w:type="dxa" w:w="110"/>
            </w:tcMar>
          </w:tcPr>
          <w:p>
            <w:r>
              <w:rPr>
                <w:b w:val="false"/>
                <w:bCs w:val="false"/>
                <w:color w:val="1A1A1A"/>
                <w:sz w:val="19"/>
                <w:szCs w:val="19"/>
              </w:rPr>
              <w:t xml:space="preserve">Loja de peças e acessórios automotivos</w:t>
            </w:r>
          </w:p>
        </w:tc>
      </w:tr>
      <w:tr>
        <w:tc>
          <w:tcPr>
            <w:tcW w:type="dxa" w:w="2600"/>
            <w:tcMar>
              <w:top w:type="dxa" w:w="90"/>
              <w:left w:type="dxa" w:w="110"/>
              <w:bottom w:type="dxa" w:w="90"/>
              <w:right w:type="dxa" w:w="110"/>
            </w:tcMar>
          </w:tcPr>
          <w:p>
            <w:r>
              <w:rPr>
                <w:b w:val="false"/>
                <w:bCs w:val="false"/>
                <w:color w:val="1A1A1A"/>
                <w:sz w:val="19"/>
                <w:szCs w:val="19"/>
              </w:rPr>
              <w:t xml:space="preserve">Cosméticos</w:t>
            </w:r>
          </w:p>
        </w:tc>
        <w:tc>
          <w:tcPr>
            <w:tcW w:type="dxa" w:w="7100"/>
            <w:tcMar>
              <w:top w:type="dxa" w:w="90"/>
              <w:left w:type="dxa" w:w="110"/>
              <w:bottom w:type="dxa" w:w="90"/>
              <w:right w:type="dxa" w:w="110"/>
            </w:tcMar>
          </w:tcPr>
          <w:p>
            <w:r>
              <w:rPr>
                <w:b w:val="false"/>
                <w:bCs w:val="false"/>
                <w:color w:val="1A1A1A"/>
                <w:sz w:val="19"/>
                <w:szCs w:val="19"/>
              </w:rPr>
              <w:t xml:space="preserve">Perfumaria, revenda de cosméticos</w:t>
            </w:r>
          </w:p>
        </w:tc>
      </w:tr>
      <w:tr>
        <w:tc>
          <w:tcPr>
            <w:tcW w:type="dxa" w:w="2600"/>
            <w:tcMar>
              <w:top w:type="dxa" w:w="90"/>
              <w:left w:type="dxa" w:w="110"/>
              <w:bottom w:type="dxa" w:w="90"/>
              <w:right w:type="dxa" w:w="110"/>
            </w:tcMar>
          </w:tcPr>
          <w:p>
            <w:r>
              <w:rPr>
                <w:b w:val="false"/>
                <w:bCs w:val="false"/>
                <w:color w:val="1A1A1A"/>
                <w:sz w:val="19"/>
                <w:szCs w:val="19"/>
              </w:rPr>
              <w:t xml:space="preserve">Mercadinho</w:t>
            </w:r>
          </w:p>
        </w:tc>
        <w:tc>
          <w:tcPr>
            <w:tcW w:type="dxa" w:w="7100"/>
            <w:tcMar>
              <w:top w:type="dxa" w:w="90"/>
              <w:left w:type="dxa" w:w="110"/>
              <w:bottom w:type="dxa" w:w="90"/>
              <w:right w:type="dxa" w:w="110"/>
            </w:tcMar>
          </w:tcPr>
          <w:p>
            <w:r>
              <w:rPr>
                <w:b w:val="false"/>
                <w:bCs w:val="false"/>
                <w:color w:val="1A1A1A"/>
                <w:sz w:val="19"/>
                <w:szCs w:val="19"/>
              </w:rPr>
              <w:t xml:space="preserve">Mercearia, minimercado de bairro</w:t>
            </w:r>
          </w:p>
        </w:tc>
      </w:tr>
      <w:tr>
        <w:tc>
          <w:tcPr>
            <w:tcW w:type="dxa" w:w="2600"/>
            <w:tcMar>
              <w:top w:type="dxa" w:w="90"/>
              <w:left w:type="dxa" w:w="110"/>
              <w:bottom w:type="dxa" w:w="90"/>
              <w:right w:type="dxa" w:w="110"/>
            </w:tcMar>
          </w:tcPr>
          <w:p>
            <w:r>
              <w:rPr>
                <w:b w:val="false"/>
                <w:bCs w:val="false"/>
                <w:color w:val="1A1A1A"/>
                <w:sz w:val="19"/>
                <w:szCs w:val="19"/>
              </w:rPr>
              <w:t xml:space="preserve">Açougue</w:t>
            </w:r>
          </w:p>
        </w:tc>
        <w:tc>
          <w:tcPr>
            <w:tcW w:type="dxa" w:w="7100"/>
            <w:tcMar>
              <w:top w:type="dxa" w:w="90"/>
              <w:left w:type="dxa" w:w="110"/>
              <w:bottom w:type="dxa" w:w="90"/>
              <w:right w:type="dxa" w:w="110"/>
            </w:tcMar>
          </w:tcPr>
          <w:p>
            <w:r>
              <w:rPr>
                <w:b w:val="false"/>
                <w:bCs w:val="false"/>
                <w:color w:val="1A1A1A"/>
                <w:sz w:val="19"/>
                <w:szCs w:val="19"/>
              </w:rPr>
              <w:t xml:space="preserve">Casa de carnes</w:t>
            </w:r>
          </w:p>
        </w:tc>
      </w:tr>
      <w:tr>
        <w:tc>
          <w:tcPr>
            <w:tcW w:type="dxa" w:w="2600"/>
            <w:tcMar>
              <w:top w:type="dxa" w:w="90"/>
              <w:left w:type="dxa" w:w="110"/>
              <w:bottom w:type="dxa" w:w="90"/>
              <w:right w:type="dxa" w:w="110"/>
            </w:tcMar>
          </w:tcPr>
          <w:p>
            <w:r>
              <w:rPr>
                <w:b w:val="false"/>
                <w:bCs w:val="false"/>
                <w:color w:val="1A1A1A"/>
                <w:sz w:val="19"/>
                <w:szCs w:val="19"/>
              </w:rPr>
              <w:t xml:space="preserve">Pet Shop</w:t>
            </w:r>
          </w:p>
        </w:tc>
        <w:tc>
          <w:tcPr>
            <w:tcW w:type="dxa" w:w="7100"/>
            <w:tcMar>
              <w:top w:type="dxa" w:w="90"/>
              <w:left w:type="dxa" w:w="110"/>
              <w:bottom w:type="dxa" w:w="90"/>
              <w:right w:type="dxa" w:w="110"/>
            </w:tcMar>
          </w:tcPr>
          <w:p>
            <w:r>
              <w:rPr>
                <w:b w:val="false"/>
                <w:bCs w:val="false"/>
                <w:color w:val="1A1A1A"/>
                <w:sz w:val="19"/>
                <w:szCs w:val="19"/>
              </w:rPr>
              <w:t xml:space="preserve">Loja de produtos e acessórios para animais</w:t>
            </w:r>
          </w:p>
        </w:tc>
      </w:tr>
    </w:tbl>
    <w:p>
      <w:pPr>
        <w:spacing w:after="140" w:line="300"/>
      </w:pPr>
      <w:r>
        <w:rPr>
          <w:sz w:val="21"/>
          <w:szCs w:val="21"/>
        </w:rPr>
        <w:t xml:space="preserve">Novos segmentos podem ser adicionados sem alteração estrutural do sistema — cada segmento é um registro de configuração (template), não uma implementação de código específica (ver 5.6).</w:t>
      </w:r>
    </w:p>
    <w:p>
      <w:pPr>
        <w:pStyle w:val="Heading2"/>
        <w:spacing w:after="140" w:before="320"/>
      </w:pPr>
      <w:r>
        <w:rPr>
          <w:b/>
          <w:bCs/>
          <w:color w:val="B8860B"/>
          <w:sz w:val="26"/>
          <w:szCs w:val="26"/>
        </w:rPr>
        <w:t xml:space="preserve">5.3 O que é Gerado Automaticamente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Item gerado</w:t>
            </w:r>
          </w:p>
        </w:tc>
        <w:tc>
          <w:tcPr>
            <w:tcW w:type="dxa" w:w="7100"/>
            <w:shd w:fill="1A1A1A" w:val="clear"/>
            <w:tcMar>
              <w:top w:type="dxa" w:w="90"/>
              <w:left w:type="dxa" w:w="110"/>
              <w:bottom w:type="dxa" w:w="90"/>
              <w:right w:type="dxa" w:w="110"/>
            </w:tcMar>
          </w:tcPr>
          <w:p>
            <w:r>
              <w:rPr>
                <w:b/>
                <w:bCs/>
                <w:color w:val="FFFFFF"/>
                <w:sz w:val="19"/>
                <w:szCs w:val="19"/>
              </w:rPr>
              <w:t xml:space="preserve">Descrição</w:t>
            </w:r>
          </w:p>
        </w:tc>
      </w:tr>
      <w:tr>
        <w:tc>
          <w:tcPr>
            <w:tcW w:type="dxa" w:w="2600"/>
            <w:tcMar>
              <w:top w:type="dxa" w:w="90"/>
              <w:left w:type="dxa" w:w="110"/>
              <w:bottom w:type="dxa" w:w="90"/>
              <w:right w:type="dxa" w:w="110"/>
            </w:tcMar>
          </w:tcPr>
          <w:p>
            <w:r>
              <w:rPr>
                <w:b w:val="false"/>
                <w:bCs w:val="false"/>
                <w:color w:val="1A1A1A"/>
                <w:sz w:val="19"/>
                <w:szCs w:val="19"/>
              </w:rPr>
              <w:t xml:space="preserve">Categorias e subcategorias</w:t>
            </w:r>
          </w:p>
        </w:tc>
        <w:tc>
          <w:tcPr>
            <w:tcW w:type="dxa" w:w="7100"/>
            <w:tcMar>
              <w:top w:type="dxa" w:w="90"/>
              <w:left w:type="dxa" w:w="110"/>
              <w:bottom w:type="dxa" w:w="90"/>
              <w:right w:type="dxa" w:w="110"/>
            </w:tcMar>
          </w:tcPr>
          <w:p>
            <w:r>
              <w:rPr>
                <w:b w:val="false"/>
                <w:bCs w:val="false"/>
                <w:color w:val="1A1A1A"/>
                <w:sz w:val="19"/>
                <w:szCs w:val="19"/>
              </w:rPr>
              <w:t xml:space="preserve">Árvore de categorias já estruturada para o segmento (ex: Farmácia → Medicamentos → Genéricos)</w:t>
            </w:r>
          </w:p>
        </w:tc>
      </w:tr>
      <w:tr>
        <w:tc>
          <w:tcPr>
            <w:tcW w:type="dxa" w:w="2600"/>
            <w:tcMar>
              <w:top w:type="dxa" w:w="90"/>
              <w:left w:type="dxa" w:w="110"/>
              <w:bottom w:type="dxa" w:w="90"/>
              <w:right w:type="dxa" w:w="110"/>
            </w:tcMar>
          </w:tcPr>
          <w:p>
            <w:r>
              <w:rPr>
                <w:b w:val="false"/>
                <w:bCs w:val="false"/>
                <w:color w:val="1A1A1A"/>
                <w:sz w:val="19"/>
                <w:szCs w:val="19"/>
              </w:rPr>
              <w:t xml:space="preserve">Marcas sugeridas</w:t>
            </w:r>
          </w:p>
        </w:tc>
        <w:tc>
          <w:tcPr>
            <w:tcW w:type="dxa" w:w="7100"/>
            <w:tcMar>
              <w:top w:type="dxa" w:w="90"/>
              <w:left w:type="dxa" w:w="110"/>
              <w:bottom w:type="dxa" w:w="90"/>
              <w:right w:type="dxa" w:w="110"/>
            </w:tcMar>
          </w:tcPr>
          <w:p>
            <w:r>
              <w:rPr>
                <w:b w:val="false"/>
                <w:bCs w:val="false"/>
                <w:color w:val="1A1A1A"/>
                <w:sz w:val="19"/>
                <w:szCs w:val="19"/>
              </w:rPr>
              <w:t xml:space="preserve">Lista inicial de marcas comuns ao segmento, editável e expansível</w:t>
            </w:r>
          </w:p>
        </w:tc>
      </w:tr>
      <w:tr>
        <w:tc>
          <w:tcPr>
            <w:tcW w:type="dxa" w:w="2600"/>
            <w:tcMar>
              <w:top w:type="dxa" w:w="90"/>
              <w:left w:type="dxa" w:w="110"/>
              <w:bottom w:type="dxa" w:w="90"/>
              <w:right w:type="dxa" w:w="110"/>
            </w:tcMar>
          </w:tcPr>
          <w:p>
            <w:r>
              <w:rPr>
                <w:b w:val="false"/>
                <w:bCs w:val="false"/>
                <w:color w:val="1A1A1A"/>
                <w:sz w:val="19"/>
                <w:szCs w:val="19"/>
              </w:rPr>
              <w:t xml:space="preserve">Fornecedores sugeridos</w:t>
            </w:r>
          </w:p>
        </w:tc>
        <w:tc>
          <w:tcPr>
            <w:tcW w:type="dxa" w:w="7100"/>
            <w:tcMar>
              <w:top w:type="dxa" w:w="90"/>
              <w:left w:type="dxa" w:w="110"/>
              <w:bottom w:type="dxa" w:w="90"/>
              <w:right w:type="dxa" w:w="110"/>
            </w:tcMar>
          </w:tcPr>
          <w:p>
            <w:r>
              <w:rPr>
                <w:b w:val="false"/>
                <w:bCs w:val="false"/>
                <w:color w:val="1A1A1A"/>
                <w:sz w:val="19"/>
                <w:szCs w:val="19"/>
              </w:rPr>
              <w:t xml:space="preserve">Lista de fornecedores típicos do segmento, com dados de contato genéricos a serem completados pelo lojista</w:t>
            </w:r>
          </w:p>
        </w:tc>
      </w:tr>
      <w:tr>
        <w:tc>
          <w:tcPr>
            <w:tcW w:type="dxa" w:w="2600"/>
            <w:tcMar>
              <w:top w:type="dxa" w:w="90"/>
              <w:left w:type="dxa" w:w="110"/>
              <w:bottom w:type="dxa" w:w="90"/>
              <w:right w:type="dxa" w:w="110"/>
            </w:tcMar>
          </w:tcPr>
          <w:p>
            <w:r>
              <w:rPr>
                <w:b w:val="false"/>
                <w:bCs w:val="false"/>
                <w:color w:val="1A1A1A"/>
                <w:sz w:val="19"/>
                <w:szCs w:val="19"/>
              </w:rPr>
              <w:t xml:space="preserve">Produtos sugeridos</w:t>
            </w:r>
          </w:p>
        </w:tc>
        <w:tc>
          <w:tcPr>
            <w:tcW w:type="dxa" w:w="7100"/>
            <w:tcMar>
              <w:top w:type="dxa" w:w="90"/>
              <w:left w:type="dxa" w:w="110"/>
              <w:bottom w:type="dxa" w:w="90"/>
              <w:right w:type="dxa" w:w="110"/>
            </w:tcMar>
          </w:tcPr>
          <w:p>
            <w:r>
              <w:rPr>
                <w:b w:val="false"/>
                <w:bCs w:val="false"/>
                <w:color w:val="1A1A1A"/>
                <w:sz w:val="19"/>
                <w:szCs w:val="19"/>
              </w:rPr>
              <w:t xml:space="preserve">Catálogo inicial de produtos comuns ao segmento, para agilizar o primeiro cadastro (o lojista escolhe quais importar)</w:t>
            </w:r>
          </w:p>
        </w:tc>
      </w:tr>
      <w:tr>
        <w:tc>
          <w:tcPr>
            <w:tcW w:type="dxa" w:w="2600"/>
            <w:tcMar>
              <w:top w:type="dxa" w:w="90"/>
              <w:left w:type="dxa" w:w="110"/>
              <w:bottom w:type="dxa" w:w="90"/>
              <w:right w:type="dxa" w:w="110"/>
            </w:tcMar>
          </w:tcPr>
          <w:p>
            <w:r>
              <w:rPr>
                <w:b w:val="false"/>
                <w:bCs w:val="false"/>
                <w:color w:val="1A1A1A"/>
                <w:sz w:val="19"/>
                <w:szCs w:val="19"/>
              </w:rPr>
              <w:t xml:space="preserve">Margem sugerida</w:t>
            </w:r>
          </w:p>
        </w:tc>
        <w:tc>
          <w:tcPr>
            <w:tcW w:type="dxa" w:w="7100"/>
            <w:tcMar>
              <w:top w:type="dxa" w:w="90"/>
              <w:left w:type="dxa" w:w="110"/>
              <w:bottom w:type="dxa" w:w="90"/>
              <w:right w:type="dxa" w:w="110"/>
            </w:tcMar>
          </w:tcPr>
          <w:p>
            <w:r>
              <w:rPr>
                <w:b w:val="false"/>
                <w:bCs w:val="false"/>
                <w:color w:val="1A1A1A"/>
                <w:sz w:val="19"/>
                <w:szCs w:val="19"/>
              </w:rPr>
              <w:t xml:space="preserve">Faixa de margem de lucro típica do segmento, usada como padrão em precificação assistida</w:t>
            </w:r>
          </w:p>
        </w:tc>
      </w:tr>
      <w:tr>
        <w:tc>
          <w:tcPr>
            <w:tcW w:type="dxa" w:w="2600"/>
            <w:tcMar>
              <w:top w:type="dxa" w:w="90"/>
              <w:left w:type="dxa" w:w="110"/>
              <w:bottom w:type="dxa" w:w="90"/>
              <w:right w:type="dxa" w:w="110"/>
            </w:tcMar>
          </w:tcPr>
          <w:p>
            <w:r>
              <w:rPr>
                <w:b w:val="false"/>
                <w:bCs w:val="false"/>
                <w:color w:val="1A1A1A"/>
                <w:sz w:val="19"/>
                <w:szCs w:val="19"/>
              </w:rPr>
              <w:t xml:space="preserve">Impostos sugeridos</w:t>
            </w:r>
          </w:p>
        </w:tc>
        <w:tc>
          <w:tcPr>
            <w:tcW w:type="dxa" w:w="7100"/>
            <w:tcMar>
              <w:top w:type="dxa" w:w="90"/>
              <w:left w:type="dxa" w:w="110"/>
              <w:bottom w:type="dxa" w:w="90"/>
              <w:right w:type="dxa" w:w="110"/>
            </w:tcMar>
          </w:tcPr>
          <w:p>
            <w:r>
              <w:rPr>
                <w:b w:val="false"/>
                <w:bCs w:val="false"/>
                <w:color w:val="1A1A1A"/>
                <w:sz w:val="19"/>
                <w:szCs w:val="19"/>
              </w:rPr>
              <w:t xml:space="preserve">Regime tributário e alíquotas de referência mais comuns para o segmento (apenas orientativo, não substitui contador)</w:t>
            </w:r>
          </w:p>
        </w:tc>
      </w:tr>
      <w:tr>
        <w:tc>
          <w:tcPr>
            <w:tcW w:type="dxa" w:w="2600"/>
            <w:tcMar>
              <w:top w:type="dxa" w:w="90"/>
              <w:left w:type="dxa" w:w="110"/>
              <w:bottom w:type="dxa" w:w="90"/>
              <w:right w:type="dxa" w:w="110"/>
            </w:tcMar>
          </w:tcPr>
          <w:p>
            <w:r>
              <w:rPr>
                <w:b w:val="false"/>
                <w:bCs w:val="false"/>
                <w:color w:val="1A1A1A"/>
                <w:sz w:val="19"/>
                <w:szCs w:val="19"/>
              </w:rPr>
              <w:t xml:space="preserve">Unidades de medida</w:t>
            </w:r>
          </w:p>
        </w:tc>
        <w:tc>
          <w:tcPr>
            <w:tcW w:type="dxa" w:w="7100"/>
            <w:tcMar>
              <w:top w:type="dxa" w:w="90"/>
              <w:left w:type="dxa" w:w="110"/>
              <w:bottom w:type="dxa" w:w="90"/>
              <w:right w:type="dxa" w:w="110"/>
            </w:tcMar>
          </w:tcPr>
          <w:p>
            <w:r>
              <w:rPr>
                <w:b w:val="false"/>
                <w:bCs w:val="false"/>
                <w:color w:val="1A1A1A"/>
                <w:sz w:val="19"/>
                <w:szCs w:val="19"/>
              </w:rPr>
              <w:t xml:space="preserve">Unidades relevantes ao segmento (ex: kg e g para açougue; unidade e caixa para papelaria)</w:t>
            </w:r>
          </w:p>
        </w:tc>
      </w:tr>
      <w:tr>
        <w:tc>
          <w:tcPr>
            <w:tcW w:type="dxa" w:w="2600"/>
            <w:tcMar>
              <w:top w:type="dxa" w:w="90"/>
              <w:left w:type="dxa" w:w="110"/>
              <w:bottom w:type="dxa" w:w="90"/>
              <w:right w:type="dxa" w:w="110"/>
            </w:tcMar>
          </w:tcPr>
          <w:p>
            <w:r>
              <w:rPr>
                <w:b w:val="false"/>
                <w:bCs w:val="false"/>
                <w:color w:val="1A1A1A"/>
                <w:sz w:val="19"/>
                <w:szCs w:val="19"/>
              </w:rPr>
              <w:t xml:space="preserve">Layout do PDV/catálogo</w:t>
            </w:r>
          </w:p>
        </w:tc>
        <w:tc>
          <w:tcPr>
            <w:tcW w:type="dxa" w:w="7100"/>
            <w:tcMar>
              <w:top w:type="dxa" w:w="90"/>
              <w:left w:type="dxa" w:w="110"/>
              <w:bottom w:type="dxa" w:w="90"/>
              <w:right w:type="dxa" w:w="110"/>
            </w:tcMar>
          </w:tcPr>
          <w:p>
            <w:r>
              <w:rPr>
                <w:b w:val="false"/>
                <w:bCs w:val="false"/>
                <w:color w:val="1A1A1A"/>
                <w:sz w:val="19"/>
                <w:szCs w:val="19"/>
              </w:rPr>
              <w:t xml:space="preserve">Disposição de categorias e atalhos mais usados adaptada ao fluxo de venda típico do segmento</w:t>
            </w:r>
          </w:p>
        </w:tc>
      </w:tr>
    </w:tbl>
    <w:p>
      <w:pPr>
        <w:pStyle w:val="Heading2"/>
        <w:spacing w:after="140" w:before="320"/>
      </w:pPr>
      <w:r>
        <w:rPr>
          <w:b/>
          <w:bCs/>
          <w:color w:val="B8860B"/>
          <w:sz w:val="26"/>
          <w:szCs w:val="26"/>
        </w:rPr>
        <w:t xml:space="preserve">5.4 Fluxo de Cadastro Inteligente</w:t>
      </w:r>
    </w:p>
    <w:p>
      <w:pPr>
        <w:pStyle w:val="ListParagraph"/>
        <w:numPr>
          <w:ilvl w:val="0"/>
          <w:numId w:val="2"/>
        </w:numPr>
        <w:spacing w:after="70"/>
      </w:pPr>
      <w:r>
        <w:rPr>
          <w:sz w:val="21"/>
          <w:szCs w:val="21"/>
        </w:rPr>
        <w:t xml:space="preserve">Lojista seleciona o segmento do negócio durante o onboarding (Capítulo 6)</w:t>
      </w:r>
    </w:p>
    <w:p>
      <w:pPr>
        <w:pStyle w:val="ListParagraph"/>
        <w:numPr>
          <w:ilvl w:val="0"/>
          <w:numId w:val="2"/>
        </w:numPr>
        <w:spacing w:after="70"/>
      </w:pPr>
      <w:r>
        <w:rPr>
          <w:sz w:val="21"/>
          <w:szCs w:val="21"/>
        </w:rPr>
        <w:t xml:space="preserve">Sistema apresenta um resumo do que será pré-configurado, antes de aplicar qualquer alteração</w:t>
      </w:r>
    </w:p>
    <w:p>
      <w:pPr>
        <w:pStyle w:val="ListParagraph"/>
        <w:numPr>
          <w:ilvl w:val="0"/>
          <w:numId w:val="2"/>
        </w:numPr>
        <w:spacing w:after="70"/>
      </w:pPr>
      <w:r>
        <w:rPr>
          <w:sz w:val="21"/>
          <w:szCs w:val="21"/>
        </w:rPr>
        <w:t xml:space="preserve">Lojista confirma (ou ajusta) quais categorias, produtos e fornecedores deseja importar</w:t>
      </w:r>
    </w:p>
    <w:p>
      <w:pPr>
        <w:pStyle w:val="ListParagraph"/>
        <w:numPr>
          <w:ilvl w:val="0"/>
          <w:numId w:val="2"/>
        </w:numPr>
        <w:spacing w:after="70"/>
      </w:pPr>
      <w:r>
        <w:rPr>
          <w:sz w:val="21"/>
          <w:szCs w:val="21"/>
        </w:rPr>
        <w:t xml:space="preserve">Sistema aplica a configuração inicial em segundos, populando o tenant</w:t>
      </w:r>
    </w:p>
    <w:p>
      <w:pPr>
        <w:pStyle w:val="ListParagraph"/>
        <w:numPr>
          <w:ilvl w:val="0"/>
          <w:numId w:val="2"/>
        </w:numPr>
        <w:spacing w:after="70"/>
      </w:pPr>
      <w:r>
        <w:rPr>
          <w:sz w:val="21"/>
          <w:szCs w:val="21"/>
        </w:rPr>
        <w:t xml:space="preserve">Lojista segue o fluxo normal de onboarding para completar e ajustar os dados às particularidades do seu negócio</w:t>
      </w:r>
    </w:p>
    <w:p>
      <w:pPr>
        <w:pStyle w:val="Heading2"/>
        <w:spacing w:after="140" w:before="320"/>
      </w:pPr>
      <w:r>
        <w:rPr>
          <w:b/>
          <w:bCs/>
          <w:color w:val="B8860B"/>
          <w:sz w:val="26"/>
          <w:szCs w:val="26"/>
        </w:rPr>
        <w:t xml:space="preserve">5.5 Papel da IA no Cadastro Inteligente</w:t>
      </w:r>
    </w:p>
    <w:p>
      <w:pPr>
        <w:spacing w:after="140" w:line="300"/>
      </w:pPr>
      <w:r>
        <w:rPr>
          <w:sz w:val="21"/>
          <w:szCs w:val="21"/>
        </w:rPr>
        <w:t xml:space="preserve">A geração de sugestões combina dois mecanismos complementares:</w:t>
      </w:r>
    </w:p>
    <w:p>
      <w:pPr>
        <w:pStyle w:val="ListParagraph"/>
        <w:numPr>
          <w:ilvl w:val="0"/>
          <w:numId w:val="3"/>
        </w:numPr>
        <w:spacing w:after="70"/>
      </w:pPr>
      <w:r>
        <w:rPr>
          <w:sz w:val="21"/>
          <w:szCs w:val="21"/>
        </w:rPr>
        <w:t xml:space="preserve">Templates estruturados por segmento (dados curados, não gerados por IA) — garantem uma base confiável mesmo sem custo de IA, disponível em qualquer plano</w:t>
      </w:r>
    </w:p>
    <w:p>
      <w:pPr>
        <w:pStyle w:val="ListParagraph"/>
        <w:numPr>
          <w:ilvl w:val="0"/>
          <w:numId w:val="3"/>
        </w:numPr>
        <w:spacing w:after="70"/>
      </w:pPr>
      <w:r>
        <w:rPr>
          <w:sz w:val="21"/>
          <w:szCs w:val="21"/>
        </w:rPr>
        <w:t xml:space="preserve">Refinamento assistido por IA (a partir do plano Básico/Premium) — ajusta as sugestões de categoria, marca e produto ao que o lojista já digitou ou importou, tornando a base ainda mais próxima da realidade do negócio específico</w:t>
      </w:r>
    </w:p>
    <w:p>
      <w:pPr>
        <w:spacing w:after="140" w:line="300"/>
      </w:pPr>
      <w:r>
        <w:rPr>
          <w:sz w:val="21"/>
          <w:szCs w:val="21"/>
        </w:rPr>
        <w:t xml:space="preserve">Nenhuma sugestão é aplicada sem confirmação do lojista, reforçando o princípio de governança de IA definido no Capítulo 13.</w:t>
      </w:r>
    </w:p>
    <w:p>
      <w:pPr>
        <w:pStyle w:val="Heading2"/>
        <w:spacing w:after="140" w:before="320"/>
      </w:pPr>
      <w:r>
        <w:rPr>
          <w:b/>
          <w:bCs/>
          <w:color w:val="B8860B"/>
          <w:sz w:val="26"/>
          <w:szCs w:val="26"/>
        </w:rPr>
        <w:t xml:space="preserve">5.6 Modelagem de Dados de Suporte</w:t>
      </w:r>
    </w:p>
    <w:p>
      <w:pPr>
        <w:spacing w:after="140" w:line="300"/>
      </w:pPr>
      <w:r>
        <w:rPr>
          <w:sz w:val="21"/>
          <w:szCs w:val="21"/>
        </w:rPr>
        <w:t xml:space="preserve">A estrutura de templates de segmento é armazenada de forma desacoplada do schema operacional do tenant, permitindo manutenção e expansão de segmentos sem migração de schema:</w:t>
      </w:r>
    </w:p>
    <w:p>
      <w:pPr>
        <w:pStyle w:val="ListParagraph"/>
        <w:numPr>
          <w:ilvl w:val="0"/>
          <w:numId w:val="3"/>
        </w:numPr>
        <w:spacing w:after="70"/>
      </w:pPr>
      <w:r>
        <w:rPr>
          <w:sz w:val="21"/>
          <w:szCs w:val="21"/>
        </w:rPr>
        <w:t xml:space="preserve">segmento_templates — id, nome_segmento, versao</w:t>
      </w:r>
    </w:p>
    <w:p>
      <w:pPr>
        <w:pStyle w:val="ListParagraph"/>
        <w:numPr>
          <w:ilvl w:val="0"/>
          <w:numId w:val="3"/>
        </w:numPr>
        <w:spacing w:after="70"/>
      </w:pPr>
      <w:r>
        <w:rPr>
          <w:sz w:val="21"/>
          <w:szCs w:val="21"/>
        </w:rPr>
        <w:t xml:space="preserve">segmento_template_categorias — template_id, nome_categoria, categoria_pai</w:t>
      </w:r>
    </w:p>
    <w:p>
      <w:pPr>
        <w:pStyle w:val="ListParagraph"/>
        <w:numPr>
          <w:ilvl w:val="0"/>
          <w:numId w:val="3"/>
        </w:numPr>
        <w:spacing w:after="70"/>
      </w:pPr>
      <w:r>
        <w:rPr>
          <w:sz w:val="21"/>
          <w:szCs w:val="21"/>
        </w:rPr>
        <w:t xml:space="preserve">segmento_template_produtos — template_id, nome_produto, categoria_sugerida, margem_sugerida, unidade_sugerida</w:t>
      </w:r>
    </w:p>
    <w:p>
      <w:pPr>
        <w:pStyle w:val="ListParagraph"/>
        <w:numPr>
          <w:ilvl w:val="0"/>
          <w:numId w:val="3"/>
        </w:numPr>
        <w:spacing w:after="70"/>
      </w:pPr>
      <w:r>
        <w:rPr>
          <w:sz w:val="21"/>
          <w:szCs w:val="21"/>
        </w:rPr>
        <w:t xml:space="preserve">segmento_template_fornecedores — template_id, nome_fornecedor_sugerido, tipo</w:t>
      </w:r>
    </w:p>
    <w:p>
      <w:pPr>
        <w:spacing w:after="140" w:line="300"/>
      </w:pPr>
      <w:r>
        <w:rPr>
          <w:sz w:val="21"/>
          <w:szCs w:val="21"/>
        </w:rPr>
        <w:t xml:space="preserve">Ao aplicar um template a um tenant, os registros são copiados (não referenciados) para as tabelas operacionais normais (categorias, produtos, fornecedores), garantindo que o lojista possa editar livremente sem afetar o template original nem outros tenants.</w:t>
      </w:r>
    </w:p>
    <w:p>
      <w:pPr>
        <w:pStyle w:val="Heading2"/>
        <w:spacing w:after="140" w:before="320"/>
      </w:pPr>
      <w:r>
        <w:rPr>
          <w:b/>
          <w:bCs/>
          <w:color w:val="B8860B"/>
          <w:sz w:val="26"/>
          <w:szCs w:val="26"/>
        </w:rPr>
        <w:t xml:space="preserve">5.7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RF-SEG-CAD-01</w:t>
            </w:r>
          </w:p>
        </w:tc>
        <w:tc>
          <w:tcPr>
            <w:tcW w:type="dxa" w:w="5300"/>
            <w:tcMar>
              <w:top w:type="dxa" w:w="90"/>
              <w:left w:type="dxa" w:w="110"/>
              <w:bottom w:type="dxa" w:w="90"/>
              <w:right w:type="dxa" w:w="110"/>
            </w:tcMar>
          </w:tcPr>
          <w:p>
            <w:r>
              <w:rPr>
                <w:b w:val="false"/>
                <w:bCs w:val="false"/>
                <w:color w:val="1A1A1A"/>
                <w:sz w:val="19"/>
                <w:szCs w:val="19"/>
              </w:rPr>
              <w:t xml:space="preserve">Selecionar segmento do negócio durante o onboarding</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RF-SEG-CAD-02</w:t>
            </w:r>
          </w:p>
        </w:tc>
        <w:tc>
          <w:tcPr>
            <w:tcW w:type="dxa" w:w="5300"/>
            <w:tcMar>
              <w:top w:type="dxa" w:w="90"/>
              <w:left w:type="dxa" w:w="110"/>
              <w:bottom w:type="dxa" w:w="90"/>
              <w:right w:type="dxa" w:w="110"/>
            </w:tcMar>
          </w:tcPr>
          <w:p>
            <w:r>
              <w:rPr>
                <w:b w:val="false"/>
                <w:bCs w:val="false"/>
                <w:color w:val="1A1A1A"/>
                <w:sz w:val="19"/>
                <w:szCs w:val="19"/>
              </w:rPr>
              <w:t xml:space="preserve">Pré-popular categorias e subcategorias a partir do template do segmento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RF-SEG-CAD-03</w:t>
            </w:r>
          </w:p>
        </w:tc>
        <w:tc>
          <w:tcPr>
            <w:tcW w:type="dxa" w:w="5300"/>
            <w:tcMar>
              <w:top w:type="dxa" w:w="90"/>
              <w:left w:type="dxa" w:w="110"/>
              <w:bottom w:type="dxa" w:w="90"/>
              <w:right w:type="dxa" w:w="110"/>
            </w:tcMar>
          </w:tcPr>
          <w:p>
            <w:r>
              <w:rPr>
                <w:b w:val="false"/>
                <w:bCs w:val="false"/>
                <w:color w:val="1A1A1A"/>
                <w:sz w:val="19"/>
                <w:szCs w:val="19"/>
              </w:rPr>
              <w:t xml:space="preserve">Sugerir marcas, fornecedores e produtos iniciais, com opção de importação seletiva</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RF-SEG-CAD-04</w:t>
            </w:r>
          </w:p>
        </w:tc>
        <w:tc>
          <w:tcPr>
            <w:tcW w:type="dxa" w:w="5300"/>
            <w:tcMar>
              <w:top w:type="dxa" w:w="90"/>
              <w:left w:type="dxa" w:w="110"/>
              <w:bottom w:type="dxa" w:w="90"/>
              <w:right w:type="dxa" w:w="110"/>
            </w:tcMar>
          </w:tcPr>
          <w:p>
            <w:r>
              <w:rPr>
                <w:b w:val="false"/>
                <w:bCs w:val="false"/>
                <w:color w:val="1A1A1A"/>
                <w:sz w:val="19"/>
                <w:szCs w:val="19"/>
              </w:rPr>
              <w:t xml:space="preserve">Sugerir margem, unidades e impostos de referência por segmento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RF-SEG-CAD-05</w:t>
            </w:r>
          </w:p>
        </w:tc>
        <w:tc>
          <w:tcPr>
            <w:tcW w:type="dxa" w:w="5300"/>
            <w:tcMar>
              <w:top w:type="dxa" w:w="90"/>
              <w:left w:type="dxa" w:w="110"/>
              <w:bottom w:type="dxa" w:w="90"/>
              <w:right w:type="dxa" w:w="110"/>
            </w:tcMar>
          </w:tcPr>
          <w:p>
            <w:r>
              <w:rPr>
                <w:b w:val="false"/>
                <w:bCs w:val="false"/>
                <w:color w:val="1A1A1A"/>
                <w:sz w:val="19"/>
                <w:szCs w:val="19"/>
              </w:rPr>
              <w:t xml:space="preserve">Refinar sugestões com IA a partir de dados já digitados pelo lojista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RF-SEG-CAD-06</w:t>
            </w:r>
          </w:p>
        </w:tc>
        <w:tc>
          <w:tcPr>
            <w:tcW w:type="dxa" w:w="5300"/>
            <w:tcMar>
              <w:top w:type="dxa" w:w="90"/>
              <w:left w:type="dxa" w:w="110"/>
              <w:bottom w:type="dxa" w:w="90"/>
              <w:right w:type="dxa" w:w="110"/>
            </w:tcMar>
          </w:tcPr>
          <w:p>
            <w:r>
              <w:rPr>
                <w:b w:val="false"/>
                <w:bCs w:val="false"/>
                <w:color w:val="1A1A1A"/>
                <w:sz w:val="19"/>
                <w:szCs w:val="19"/>
              </w:rPr>
              <w:t xml:space="preserve">Permitir à equipe RhoneyInc cadastrar novos segmentos via painel administrativo, sem deploy de código</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6</w:t>
      </w:r>
      <w:r>
        <w:t xml:space="preserve">  </w:t>
      </w:r>
    </w:p>
    <w:p>
      <w:pPr>
        <w:pStyle w:val="Heading1"/>
        <w:spacing w:after="280" w:before="0"/>
      </w:pPr>
      <w:r>
        <w:rPr>
          <w:b/>
          <w:bCs/>
          <w:color w:val="1A1A1A"/>
          <w:sz w:val="36"/>
          <w:szCs w:val="36"/>
        </w:rPr>
        <w:t xml:space="preserve">Onboarding Inteligente</w:t>
      </w:r>
    </w:p>
    <w:p>
      <w:pPr>
        <w:pStyle w:val="Heading2"/>
        <w:spacing w:after="140" w:before="320"/>
      </w:pPr>
      <w:r>
        <w:rPr>
          <w:b/>
          <w:bCs/>
          <w:color w:val="B8860B"/>
          <w:sz w:val="26"/>
          <w:szCs w:val="26"/>
        </w:rPr>
        <w:t xml:space="preserve">6.1 Objetivo</w:t>
      </w:r>
    </w:p>
    <w:p>
      <w:pPr>
        <w:spacing w:after="140" w:line="300"/>
      </w:pPr>
      <w:r>
        <w:rPr>
          <w:sz w:val="21"/>
          <w:szCs w:val="21"/>
        </w:rPr>
        <w:t xml:space="preserve">O onboarding do VendeFlex existe para garantir que o lojista comece a operar o sistema com dados de qualidade suficiente para que os módulos de estoque, financeiro e IA funcionem corretamente desde o primeiro dia. Segue a mesma filosofia já validada no MenuFlex, adaptada ao contexto de gestão comercial.</w:t>
      </w:r>
    </w:p>
    <w:p>
      <w:pPr>
        <w:pStyle w:val="Heading2"/>
        <w:spacing w:after="140" w:before="320"/>
      </w:pPr>
      <w:r>
        <w:rPr>
          <w:b/>
          <w:bCs/>
          <w:color w:val="B8860B"/>
          <w:sz w:val="26"/>
          <w:szCs w:val="26"/>
        </w:rPr>
        <w:t xml:space="preserve">6.2 Regra dos 75%</w:t>
      </w:r>
    </w:p>
    <w:p>
      <w:pPr>
        <w:spacing w:after="140" w:line="300"/>
      </w:pPr>
      <w:r>
        <w:rPr>
          <w:sz w:val="21"/>
          <w:szCs w:val="21"/>
        </w:rPr>
        <w:t xml:space="preserve">Cada módulo do onboarding possui um conjunto de campos considerados obrigatórios para uso mínimo consistente. O lojista não avança para o próximo módulo enquanto não preencher aproximadamente 75% desses campos obrigatórios no módulo atual.</w:t>
      </w:r>
    </w:p>
    <w:p>
      <w:pPr>
        <w:pStyle w:val="ListParagraph"/>
        <w:numPr>
          <w:ilvl w:val="0"/>
          <w:numId w:val="3"/>
        </w:numPr>
        <w:spacing w:after="70"/>
      </w:pPr>
      <w:r>
        <w:rPr>
          <w:sz w:val="21"/>
          <w:szCs w:val="21"/>
        </w:rPr>
        <w:t xml:space="preserve">O cálculo de 75% é feito por módulo, não pelo formulário inteiro — cada etapa tem sua própria barra de progresso.</w:t>
      </w:r>
    </w:p>
    <w:p>
      <w:pPr>
        <w:pStyle w:val="ListParagraph"/>
        <w:numPr>
          <w:ilvl w:val="0"/>
          <w:numId w:val="3"/>
        </w:numPr>
        <w:spacing w:after="70"/>
      </w:pPr>
      <w:r>
        <w:rPr>
          <w:sz w:val="21"/>
          <w:szCs w:val="21"/>
        </w:rPr>
        <w:t xml:space="preserve">Campos preenchidos automaticamente pelo Cadastro Inteligente por Segmento (Capítulo 5) já contam para o percentual, reduzindo o esforço manual do lojista.</w:t>
      </w:r>
    </w:p>
    <w:p>
      <w:pPr>
        <w:pStyle w:val="ListParagraph"/>
        <w:numPr>
          <w:ilvl w:val="0"/>
          <w:numId w:val="3"/>
        </w:numPr>
        <w:spacing w:after="70"/>
      </w:pPr>
      <w:r>
        <w:rPr>
          <w:sz w:val="21"/>
          <w:szCs w:val="21"/>
        </w:rPr>
        <w:t xml:space="preserve">A régua de 75%, e não 100%, existe deliberadamente para não travar o onboarding em detalhes secundários — o restante pode ser completado depois, durante o uso normal do sistema.</w:t>
      </w:r>
    </w:p>
    <w:p>
      <w:pPr>
        <w:pBdr>
          <w:left w:val="single" w:color="3FA796" w:sz="18" w:space="12"/>
        </w:pBdr>
        <w:spacing w:after="200" w:before="120"/>
        <w:ind w:left="400"/>
      </w:pPr>
      <w:r>
        <w:rPr>
          <w:i/>
          <w:iCs/>
          <w:color w:val="555555"/>
          <w:sz w:val="21"/>
          <w:szCs w:val="21"/>
        </w:rPr>
        <w:t xml:space="preserve">Enquanto o percentual mínimo do módulo não for atingido, o botão de avançar permanece desabilitado, com indicação clara de quais campos faltam.</w:t>
      </w:r>
    </w:p>
    <w:p>
      <w:pPr>
        <w:pStyle w:val="Heading2"/>
        <w:spacing w:after="140" w:before="320"/>
      </w:pPr>
      <w:r>
        <w:rPr>
          <w:b/>
          <w:bCs/>
          <w:color w:val="B8860B"/>
          <w:sz w:val="26"/>
          <w:szCs w:val="26"/>
        </w:rPr>
        <w:t xml:space="preserve">6.3 Etapas do Onboarding</w:t>
      </w:r>
    </w:p>
    <w:p>
      <w:pPr>
        <w:pStyle w:val="ListParagraph"/>
        <w:numPr>
          <w:ilvl w:val="0"/>
          <w:numId w:val="2"/>
        </w:numPr>
        <w:spacing w:after="70"/>
      </w:pPr>
      <w:r>
        <w:rPr>
          <w:sz w:val="21"/>
          <w:szCs w:val="21"/>
        </w:rPr>
        <w:t xml:space="preserve">Dados do negócio — nome, CNPJ/CPF, segmento (aciona o Cadastro Inteligente do Capítulo 5)</w:t>
      </w:r>
    </w:p>
    <w:p>
      <w:pPr>
        <w:pStyle w:val="ListParagraph"/>
        <w:numPr>
          <w:ilvl w:val="0"/>
          <w:numId w:val="2"/>
        </w:numPr>
        <w:spacing w:after="70"/>
      </w:pPr>
      <w:r>
        <w:rPr>
          <w:sz w:val="21"/>
          <w:szCs w:val="21"/>
        </w:rPr>
        <w:t xml:space="preserve">Confirmação do Cadastro Inteligente — revisão e ajuste das categorias, produtos e fornecedores sugeridos</w:t>
      </w:r>
    </w:p>
    <w:p>
      <w:pPr>
        <w:pStyle w:val="ListParagraph"/>
        <w:numPr>
          <w:ilvl w:val="0"/>
          <w:numId w:val="2"/>
        </w:numPr>
        <w:spacing w:after="70"/>
      </w:pPr>
      <w:r>
        <w:rPr>
          <w:sz w:val="21"/>
          <w:szCs w:val="21"/>
        </w:rPr>
        <w:t xml:space="preserve">Configuração de filial(is) — endereço, horário de funcionamento</w:t>
      </w:r>
    </w:p>
    <w:p>
      <w:pPr>
        <w:pStyle w:val="ListParagraph"/>
        <w:numPr>
          <w:ilvl w:val="0"/>
          <w:numId w:val="2"/>
        </w:numPr>
        <w:spacing w:after="70"/>
      </w:pPr>
      <w:r>
        <w:rPr>
          <w:sz w:val="21"/>
          <w:szCs w:val="21"/>
        </w:rPr>
        <w:t xml:space="preserve">Cadastro de usuários e papéis — convite de vendedores, estoquista, financeiro (se aplicável ao plano)</w:t>
      </w:r>
    </w:p>
    <w:p>
      <w:pPr>
        <w:pStyle w:val="ListParagraph"/>
        <w:numPr>
          <w:ilvl w:val="0"/>
          <w:numId w:val="2"/>
        </w:numPr>
        <w:spacing w:after="70"/>
      </w:pPr>
      <w:r>
        <w:rPr>
          <w:sz w:val="21"/>
          <w:szCs w:val="21"/>
        </w:rPr>
        <w:t xml:space="preserve">Configuração de estoque inicial — contagem inicial dos produtos importados/cadastrados</w:t>
      </w:r>
    </w:p>
    <w:p>
      <w:pPr>
        <w:pStyle w:val="ListParagraph"/>
        <w:numPr>
          <w:ilvl w:val="0"/>
          <w:numId w:val="2"/>
        </w:numPr>
        <w:spacing w:after="70"/>
      </w:pPr>
      <w:r>
        <w:rPr>
          <w:sz w:val="21"/>
          <w:szCs w:val="21"/>
        </w:rPr>
        <w:t xml:space="preserve">Configuração de caixa — valor de abertura padrão, formas de pagamento aceitas</w:t>
      </w:r>
    </w:p>
    <w:p>
      <w:pPr>
        <w:pStyle w:val="ListParagraph"/>
        <w:numPr>
          <w:ilvl w:val="0"/>
          <w:numId w:val="2"/>
        </w:numPr>
        <w:spacing w:after="70"/>
      </w:pPr>
      <w:r>
        <w:rPr>
          <w:sz w:val="21"/>
          <w:szCs w:val="21"/>
        </w:rPr>
        <w:t xml:space="preserve">Tour guiado do PDV — primeira venda simulada, para o lojista se familiarizar com o fluxo antes da operação real</w:t>
      </w:r>
    </w:p>
    <w:p>
      <w:pPr>
        <w:pStyle w:val="Heading2"/>
        <w:spacing w:after="140" w:before="320"/>
      </w:pPr>
      <w:r>
        <w:rPr>
          <w:b/>
          <w:bCs/>
          <w:color w:val="B8860B"/>
          <w:sz w:val="26"/>
          <w:szCs w:val="26"/>
        </w:rPr>
        <w:t xml:space="preserve">6.4 Validação por Módulo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c>
          <w:tcPr>
            <w:tcW w:type="dxa" w:w="3200"/>
            <w:shd w:fill="1A1A1A" w:val="clear"/>
            <w:tcMar>
              <w:top w:type="dxa" w:w="90"/>
              <w:left w:type="dxa" w:w="110"/>
              <w:bottom w:type="dxa" w:w="90"/>
              <w:right w:type="dxa" w:w="110"/>
            </w:tcMar>
          </w:tcPr>
          <w:p>
            <w:r>
              <w:rPr>
                <w:b/>
                <w:bCs/>
                <w:color w:val="FFFFFF"/>
                <w:sz w:val="19"/>
                <w:szCs w:val="19"/>
              </w:rPr>
              <w:t xml:space="preserve">Módulo do onboarding</w:t>
            </w:r>
          </w:p>
        </w:tc>
        <w:tc>
          <w:tcPr>
            <w:tcW w:type="dxa" w:w="6500"/>
            <w:shd w:fill="1A1A1A" w:val="clear"/>
            <w:tcMar>
              <w:top w:type="dxa" w:w="90"/>
              <w:left w:type="dxa" w:w="110"/>
              <w:bottom w:type="dxa" w:w="90"/>
              <w:right w:type="dxa" w:w="110"/>
            </w:tcMar>
          </w:tcPr>
          <w:p>
            <w:r>
              <w:rPr>
                <w:b/>
                <w:bCs/>
                <w:color w:val="FFFFFF"/>
                <w:sz w:val="19"/>
                <w:szCs w:val="19"/>
              </w:rPr>
              <w:t xml:space="preserve">Campos considerados no cálculo de 75%</w:t>
            </w:r>
          </w:p>
        </w:tc>
      </w:tr>
      <w:tr>
        <w:tc>
          <w:tcPr>
            <w:tcW w:type="dxa" w:w="3200"/>
            <w:tcMar>
              <w:top w:type="dxa" w:w="90"/>
              <w:left w:type="dxa" w:w="110"/>
              <w:bottom w:type="dxa" w:w="90"/>
              <w:right w:type="dxa" w:w="110"/>
            </w:tcMar>
          </w:tcPr>
          <w:p>
            <w:r>
              <w:rPr>
                <w:b w:val="false"/>
                <w:bCs w:val="false"/>
                <w:color w:val="1A1A1A"/>
                <w:sz w:val="19"/>
                <w:szCs w:val="19"/>
              </w:rPr>
              <w:t xml:space="preserve">Dados do negócio</w:t>
            </w:r>
          </w:p>
        </w:tc>
        <w:tc>
          <w:tcPr>
            <w:tcW w:type="dxa" w:w="6500"/>
            <w:tcMar>
              <w:top w:type="dxa" w:w="90"/>
              <w:left w:type="dxa" w:w="110"/>
              <w:bottom w:type="dxa" w:w="90"/>
              <w:right w:type="dxa" w:w="110"/>
            </w:tcMar>
          </w:tcPr>
          <w:p>
            <w:r>
              <w:rPr>
                <w:b w:val="false"/>
                <w:bCs w:val="false"/>
                <w:color w:val="1A1A1A"/>
                <w:sz w:val="19"/>
                <w:szCs w:val="19"/>
              </w:rPr>
              <w:t xml:space="preserve">Nome do negócio, segmento, CNPJ/CPF, telefone de contato</w:t>
            </w:r>
          </w:p>
        </w:tc>
      </w:tr>
      <w:tr>
        <w:tc>
          <w:tcPr>
            <w:tcW w:type="dxa" w:w="3200"/>
            <w:tcMar>
              <w:top w:type="dxa" w:w="90"/>
              <w:left w:type="dxa" w:w="110"/>
              <w:bottom w:type="dxa" w:w="90"/>
              <w:right w:type="dxa" w:w="110"/>
            </w:tcMar>
          </w:tcPr>
          <w:p>
            <w:r>
              <w:rPr>
                <w:b w:val="false"/>
                <w:bCs w:val="false"/>
                <w:color w:val="1A1A1A"/>
                <w:sz w:val="19"/>
                <w:szCs w:val="19"/>
              </w:rPr>
              <w:t xml:space="preserve">Confirmação do Cadastro Inteligente</w:t>
            </w:r>
          </w:p>
        </w:tc>
        <w:tc>
          <w:tcPr>
            <w:tcW w:type="dxa" w:w="6500"/>
            <w:tcMar>
              <w:top w:type="dxa" w:w="90"/>
              <w:left w:type="dxa" w:w="110"/>
              <w:bottom w:type="dxa" w:w="90"/>
              <w:right w:type="dxa" w:w="110"/>
            </w:tcMar>
          </w:tcPr>
          <w:p>
            <w:r>
              <w:rPr>
                <w:b w:val="false"/>
                <w:bCs w:val="false"/>
                <w:color w:val="1A1A1A"/>
                <w:sz w:val="19"/>
                <w:szCs w:val="19"/>
              </w:rPr>
              <w:t xml:space="preserve">Ao menos uma categoria confirmada, ao menos 5 produtos confirmados/importados</w:t>
            </w:r>
          </w:p>
        </w:tc>
      </w:tr>
      <w:tr>
        <w:tc>
          <w:tcPr>
            <w:tcW w:type="dxa" w:w="3200"/>
            <w:tcMar>
              <w:top w:type="dxa" w:w="90"/>
              <w:left w:type="dxa" w:w="110"/>
              <w:bottom w:type="dxa" w:w="90"/>
              <w:right w:type="dxa" w:w="110"/>
            </w:tcMar>
          </w:tcPr>
          <w:p>
            <w:r>
              <w:rPr>
                <w:b w:val="false"/>
                <w:bCs w:val="false"/>
                <w:color w:val="1A1A1A"/>
                <w:sz w:val="19"/>
                <w:szCs w:val="19"/>
              </w:rPr>
              <w:t xml:space="preserve">Filial</w:t>
            </w:r>
          </w:p>
        </w:tc>
        <w:tc>
          <w:tcPr>
            <w:tcW w:type="dxa" w:w="6500"/>
            <w:tcMar>
              <w:top w:type="dxa" w:w="90"/>
              <w:left w:type="dxa" w:w="110"/>
              <w:bottom w:type="dxa" w:w="90"/>
              <w:right w:type="dxa" w:w="110"/>
            </w:tcMar>
          </w:tcPr>
          <w:p>
            <w:r>
              <w:rPr>
                <w:b w:val="false"/>
                <w:bCs w:val="false"/>
                <w:color w:val="1A1A1A"/>
                <w:sz w:val="19"/>
                <w:szCs w:val="19"/>
              </w:rPr>
              <w:t xml:space="preserve">Endereço, horário de funcionamento</w:t>
            </w:r>
          </w:p>
        </w:tc>
      </w:tr>
      <w:tr>
        <w:tc>
          <w:tcPr>
            <w:tcW w:type="dxa" w:w="3200"/>
            <w:tcMar>
              <w:top w:type="dxa" w:w="90"/>
              <w:left w:type="dxa" w:w="110"/>
              <w:bottom w:type="dxa" w:w="90"/>
              <w:right w:type="dxa" w:w="110"/>
            </w:tcMar>
          </w:tcPr>
          <w:p>
            <w:r>
              <w:rPr>
                <w:b w:val="false"/>
                <w:bCs w:val="false"/>
                <w:color w:val="1A1A1A"/>
                <w:sz w:val="19"/>
                <w:szCs w:val="19"/>
              </w:rPr>
              <w:t xml:space="preserve">Usuários</w:t>
            </w:r>
          </w:p>
        </w:tc>
        <w:tc>
          <w:tcPr>
            <w:tcW w:type="dxa" w:w="6500"/>
            <w:tcMar>
              <w:top w:type="dxa" w:w="90"/>
              <w:left w:type="dxa" w:w="110"/>
              <w:bottom w:type="dxa" w:w="90"/>
              <w:right w:type="dxa" w:w="110"/>
            </w:tcMar>
          </w:tcPr>
          <w:p>
            <w:r>
              <w:rPr>
                <w:b w:val="false"/>
                <w:bCs w:val="false"/>
                <w:color w:val="1A1A1A"/>
                <w:sz w:val="19"/>
                <w:szCs w:val="19"/>
              </w:rPr>
              <w:t xml:space="preserve">Ao menos o usuário dono confirmado (demais são opcionais nesta etapa)</w:t>
            </w:r>
          </w:p>
        </w:tc>
      </w:tr>
      <w:tr>
        <w:tc>
          <w:tcPr>
            <w:tcW w:type="dxa" w:w="3200"/>
            <w:tcMar>
              <w:top w:type="dxa" w:w="90"/>
              <w:left w:type="dxa" w:w="110"/>
              <w:bottom w:type="dxa" w:w="90"/>
              <w:right w:type="dxa" w:w="110"/>
            </w:tcMar>
          </w:tcPr>
          <w:p>
            <w:r>
              <w:rPr>
                <w:b w:val="false"/>
                <w:bCs w:val="false"/>
                <w:color w:val="1A1A1A"/>
                <w:sz w:val="19"/>
                <w:szCs w:val="19"/>
              </w:rPr>
              <w:t xml:space="preserve">Estoque inicial</w:t>
            </w:r>
          </w:p>
        </w:tc>
        <w:tc>
          <w:tcPr>
            <w:tcW w:type="dxa" w:w="6500"/>
            <w:tcMar>
              <w:top w:type="dxa" w:w="90"/>
              <w:left w:type="dxa" w:w="110"/>
              <w:bottom w:type="dxa" w:w="90"/>
              <w:right w:type="dxa" w:w="110"/>
            </w:tcMar>
          </w:tcPr>
          <w:p>
            <w:r>
              <w:rPr>
                <w:b w:val="false"/>
                <w:bCs w:val="false"/>
                <w:color w:val="1A1A1A"/>
                <w:sz w:val="19"/>
                <w:szCs w:val="19"/>
              </w:rPr>
              <w:t xml:space="preserve">Quantidade inicial informada para ao menos 75% dos produtos confirmados</w:t>
            </w:r>
          </w:p>
        </w:tc>
      </w:tr>
      <w:tr>
        <w:tc>
          <w:tcPr>
            <w:tcW w:type="dxa" w:w="3200"/>
            <w:tcMar>
              <w:top w:type="dxa" w:w="90"/>
              <w:left w:type="dxa" w:w="110"/>
              <w:bottom w:type="dxa" w:w="90"/>
              <w:right w:type="dxa" w:w="110"/>
            </w:tcMar>
          </w:tcPr>
          <w:p>
            <w:r>
              <w:rPr>
                <w:b w:val="false"/>
                <w:bCs w:val="false"/>
                <w:color w:val="1A1A1A"/>
                <w:sz w:val="19"/>
                <w:szCs w:val="19"/>
              </w:rPr>
              <w:t xml:space="preserve">Caixa</w:t>
            </w:r>
          </w:p>
        </w:tc>
        <w:tc>
          <w:tcPr>
            <w:tcW w:type="dxa" w:w="6500"/>
            <w:tcMar>
              <w:top w:type="dxa" w:w="90"/>
              <w:left w:type="dxa" w:w="110"/>
              <w:bottom w:type="dxa" w:w="90"/>
              <w:right w:type="dxa" w:w="110"/>
            </w:tcMar>
          </w:tcPr>
          <w:p>
            <w:r>
              <w:rPr>
                <w:b w:val="false"/>
                <w:bCs w:val="false"/>
                <w:color w:val="1A1A1A"/>
                <w:sz w:val="19"/>
                <w:szCs w:val="19"/>
              </w:rPr>
              <w:t xml:space="preserve">Valor de abertura padrão, ao menos uma forma de pagamento ativa</w:t>
            </w:r>
          </w:p>
        </w:tc>
      </w:tr>
    </w:tbl>
    <w:p>
      <w:pPr>
        <w:pStyle w:val="Heading2"/>
        <w:spacing w:after="140" w:before="320"/>
      </w:pPr>
      <w:r>
        <w:rPr>
          <w:b/>
          <w:bCs/>
          <w:color w:val="B8860B"/>
          <w:sz w:val="26"/>
          <w:szCs w:val="26"/>
        </w:rPr>
        <w:t xml:space="preserve">6.5 Comportamento de Interrupção e Retomada</w:t>
      </w:r>
    </w:p>
    <w:p>
      <w:pPr>
        <w:pStyle w:val="ListParagraph"/>
        <w:numPr>
          <w:ilvl w:val="0"/>
          <w:numId w:val="3"/>
        </w:numPr>
        <w:spacing w:after="70"/>
      </w:pPr>
      <w:r>
        <w:rPr>
          <w:sz w:val="21"/>
          <w:szCs w:val="21"/>
        </w:rPr>
        <w:t xml:space="preserve">O progresso do onboarding é salvo automaticamente a cada etapa — o lojista pode sair e retomar exatamente de onde parou.</w:t>
      </w:r>
    </w:p>
    <w:p>
      <w:pPr>
        <w:pStyle w:val="ListParagraph"/>
        <w:numPr>
          <w:ilvl w:val="0"/>
          <w:numId w:val="3"/>
        </w:numPr>
        <w:spacing w:after="70"/>
      </w:pPr>
      <w:r>
        <w:rPr>
          <w:sz w:val="21"/>
          <w:szCs w:val="21"/>
        </w:rPr>
        <w:t xml:space="preserve">Um indicador visual persistente mostra o progresso geral do onboarding até a conclusão de todas as etapas.</w:t>
      </w:r>
    </w:p>
    <w:p>
      <w:pPr>
        <w:pStyle w:val="ListParagraph"/>
        <w:numPr>
          <w:ilvl w:val="0"/>
          <w:numId w:val="3"/>
        </w:numPr>
        <w:spacing w:after="70"/>
      </w:pPr>
      <w:r>
        <w:rPr>
          <w:sz w:val="21"/>
          <w:szCs w:val="21"/>
        </w:rPr>
        <w:t xml:space="preserve">Após atingir 75% em todos os módulos, o sistema libera o uso completo, mas mantém um lembrete não bloqueante para completar os 25% restantes de cada módulo.</w:t>
      </w:r>
    </w:p>
    <w:p>
      <w:pPr>
        <w:pStyle w:val="Heading2"/>
        <w:spacing w:after="140" w:before="320"/>
      </w:pPr>
      <w:r>
        <w:rPr>
          <w:b/>
          <w:bCs/>
          <w:color w:val="B8860B"/>
          <w:sz w:val="26"/>
          <w:szCs w:val="26"/>
        </w:rPr>
        <w:t xml:space="preserve">6.6 Papel da IA no Onboarding</w:t>
      </w:r>
    </w:p>
    <w:p>
      <w:pPr>
        <w:spacing w:after="140" w:line="300"/>
      </w:pPr>
      <w:r>
        <w:rPr>
          <w:sz w:val="21"/>
          <w:szCs w:val="21"/>
        </w:rPr>
        <w:t xml:space="preserve">Além do Cadastro Inteligente por Segmento (Capítulo 5), o onboarding pode usar IA para validar consistência dos dados informados — por exemplo, alertando se uma quantidade de estoque inicial parece incompatível com o porte do negócio declarado, sempre como sugestão não bloqueante.</w:t>
      </w:r>
    </w:p>
    <w:p>
      <w:pPr>
        <w:pStyle w:val="Heading2"/>
        <w:spacing w:after="140" w:before="320"/>
      </w:pPr>
      <w:r>
        <w:rPr>
          <w:b/>
          <w:bCs/>
          <w:color w:val="B8860B"/>
          <w:sz w:val="26"/>
          <w:szCs w:val="26"/>
        </w:rPr>
        <w:t xml:space="preserve">6.7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RF-ONB-01</w:t>
            </w:r>
          </w:p>
        </w:tc>
        <w:tc>
          <w:tcPr>
            <w:tcW w:type="dxa" w:w="5300"/>
            <w:tcMar>
              <w:top w:type="dxa" w:w="90"/>
              <w:left w:type="dxa" w:w="110"/>
              <w:bottom w:type="dxa" w:w="90"/>
              <w:right w:type="dxa" w:w="110"/>
            </w:tcMar>
          </w:tcPr>
          <w:p>
            <w:r>
              <w:rPr>
                <w:b w:val="false"/>
                <w:bCs w:val="false"/>
                <w:color w:val="1A1A1A"/>
                <w:sz w:val="19"/>
                <w:szCs w:val="19"/>
              </w:rPr>
              <w:t xml:space="preserve">Exibir barra de progresso por módulo do onboarding, com percentual calculado sobre campos obrigatórios</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RF-ONB-02</w:t>
            </w:r>
          </w:p>
        </w:tc>
        <w:tc>
          <w:tcPr>
            <w:tcW w:type="dxa" w:w="5300"/>
            <w:tcMar>
              <w:top w:type="dxa" w:w="90"/>
              <w:left w:type="dxa" w:w="110"/>
              <w:bottom w:type="dxa" w:w="90"/>
              <w:right w:type="dxa" w:w="110"/>
            </w:tcMar>
          </w:tcPr>
          <w:p>
            <w:r>
              <w:rPr>
                <w:b w:val="false"/>
                <w:bCs w:val="false"/>
                <w:color w:val="1A1A1A"/>
                <w:sz w:val="19"/>
                <w:szCs w:val="19"/>
              </w:rPr>
              <w:t xml:space="preserve">Bloquear avanço de etapa enquanto o módulo não atingir 75% de preenchimento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RF-ONB-03</w:t>
            </w:r>
          </w:p>
        </w:tc>
        <w:tc>
          <w:tcPr>
            <w:tcW w:type="dxa" w:w="5300"/>
            <w:tcMar>
              <w:top w:type="dxa" w:w="90"/>
              <w:left w:type="dxa" w:w="110"/>
              <w:bottom w:type="dxa" w:w="90"/>
              <w:right w:type="dxa" w:w="110"/>
            </w:tcMar>
          </w:tcPr>
          <w:p>
            <w:r>
              <w:rPr>
                <w:b w:val="false"/>
                <w:bCs w:val="false"/>
                <w:color w:val="1A1A1A"/>
                <w:sz w:val="19"/>
                <w:szCs w:val="19"/>
              </w:rPr>
              <w:t xml:space="preserve">Salvar progresso automaticamente e permitir retomada em qualquer dispositivo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RF-ONB-04</w:t>
            </w:r>
          </w:p>
        </w:tc>
        <w:tc>
          <w:tcPr>
            <w:tcW w:type="dxa" w:w="5300"/>
            <w:tcMar>
              <w:top w:type="dxa" w:w="90"/>
              <w:left w:type="dxa" w:w="110"/>
              <w:bottom w:type="dxa" w:w="90"/>
              <w:right w:type="dxa" w:w="110"/>
            </w:tcMar>
          </w:tcPr>
          <w:p>
            <w:r>
              <w:rPr>
                <w:b w:val="false"/>
                <w:bCs w:val="false"/>
                <w:color w:val="1A1A1A"/>
                <w:sz w:val="19"/>
                <w:szCs w:val="19"/>
              </w:rPr>
              <w:t xml:space="preserve">Tour guiado com venda simulada ao final do onboarding</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RF-ONB-05</w:t>
            </w:r>
          </w:p>
        </w:tc>
        <w:tc>
          <w:tcPr>
            <w:tcW w:type="dxa" w:w="5300"/>
            <w:tcMar>
              <w:top w:type="dxa" w:w="90"/>
              <w:left w:type="dxa" w:w="110"/>
              <w:bottom w:type="dxa" w:w="90"/>
              <w:right w:type="dxa" w:w="110"/>
            </w:tcMar>
          </w:tcPr>
          <w:p>
            <w:r>
              <w:rPr>
                <w:b w:val="false"/>
                <w:bCs w:val="false"/>
                <w:color w:val="1A1A1A"/>
                <w:sz w:val="19"/>
                <w:szCs w:val="19"/>
              </w:rPr>
              <w:t xml:space="preserve">Lembrete não bloqueante para completar os 25% restantes após liberação do uso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RF-ONB-06</w:t>
            </w:r>
          </w:p>
        </w:tc>
        <w:tc>
          <w:tcPr>
            <w:tcW w:type="dxa" w:w="5300"/>
            <w:tcMar>
              <w:top w:type="dxa" w:w="90"/>
              <w:left w:type="dxa" w:w="110"/>
              <w:bottom w:type="dxa" w:w="90"/>
              <w:right w:type="dxa" w:w="110"/>
            </w:tcMar>
          </w:tcPr>
          <w:p>
            <w:r>
              <w:rPr>
                <w:b w:val="false"/>
                <w:bCs w:val="false"/>
                <w:color w:val="1A1A1A"/>
                <w:sz w:val="19"/>
                <w:szCs w:val="19"/>
              </w:rPr>
              <w:t xml:space="preserve">Validação de consistência de dados assistida por IA durante o onboarding</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7</w:t>
      </w:r>
      <w:r>
        <w:t xml:space="preserve">  </w:t>
      </w:r>
    </w:p>
    <w:p>
      <w:pPr>
        <w:pStyle w:val="Heading1"/>
        <w:spacing w:after="280" w:before="0"/>
      </w:pPr>
      <w:r>
        <w:rPr>
          <w:b/>
          <w:bCs/>
          <w:color w:val="1A1A1A"/>
          <w:sz w:val="36"/>
          <w:szCs w:val="36"/>
        </w:rPr>
        <w:t xml:space="preserve">Requisitos Funcionais Detalhados</w:t>
      </w:r>
    </w:p>
    <w:p>
      <w:pPr>
        <w:pStyle w:val="Heading2"/>
        <w:spacing w:after="140" w:before="320"/>
      </w:pPr>
      <w:r>
        <w:rPr>
          <w:b/>
          <w:bCs/>
          <w:color w:val="B8860B"/>
          <w:sz w:val="26"/>
          <w:szCs w:val="26"/>
        </w:rPr>
        <w:t xml:space="preserve">7.1 Convenção de Identificação</w:t>
      </w:r>
    </w:p>
    <w:p>
      <w:pPr>
        <w:spacing w:after="140" w:line="300"/>
      </w:pPr>
      <w:r>
        <w:rPr>
          <w:sz w:val="21"/>
          <w:szCs w:val="21"/>
        </w:rPr>
        <w:t xml:space="preserve">Cada requisito funcional é identificado como RF-[módulo]-[número], acompanhado da fase de entrega (MVP, V2 ou V3). Requisitos MVP são obrigatórios para o lançamento; requisitos V2/V3 orientam a arquitetura desde já, mas não bloqueiam o lançamento.</w:t>
      </w:r>
    </w:p>
    <w:p>
      <w:pPr>
        <w:pStyle w:val="Heading2"/>
        <w:spacing w:after="140" w:before="320"/>
      </w:pPr>
      <w:r>
        <w:rPr>
          <w:b/>
          <w:bCs/>
          <w:color w:val="B8860B"/>
          <w:sz w:val="26"/>
          <w:szCs w:val="26"/>
        </w:rPr>
        <w:t xml:space="preserve">7.2 Módulo: Produtos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RF-PRD-01</w:t>
            </w:r>
          </w:p>
        </w:tc>
        <w:tc>
          <w:tcPr>
            <w:tcW w:type="dxa" w:w="5800"/>
            <w:tcMar>
              <w:top w:type="dxa" w:w="90"/>
              <w:left w:type="dxa" w:w="110"/>
              <w:bottom w:type="dxa" w:w="90"/>
              <w:right w:type="dxa" w:w="110"/>
            </w:tcMar>
          </w:tcPr>
          <w:p>
            <w:r>
              <w:rPr>
                <w:b w:val="false"/>
                <w:bCs w:val="false"/>
                <w:color w:val="1A1A1A"/>
                <w:sz w:val="19"/>
                <w:szCs w:val="19"/>
              </w:rPr>
              <w:t xml:space="preserve">Cadastrar produto com nome, SKU, categoria, marca, preço de custo e venda</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RF-PRD-02</w:t>
            </w:r>
          </w:p>
        </w:tc>
        <w:tc>
          <w:tcPr>
            <w:tcW w:type="dxa" w:w="5800"/>
            <w:tcMar>
              <w:top w:type="dxa" w:w="90"/>
              <w:left w:type="dxa" w:w="110"/>
              <w:bottom w:type="dxa" w:w="90"/>
              <w:right w:type="dxa" w:w="110"/>
            </w:tcMar>
          </w:tcPr>
          <w:p>
            <w:r>
              <w:rPr>
                <w:b w:val="false"/>
                <w:bCs w:val="false"/>
                <w:color w:val="1A1A1A"/>
                <w:sz w:val="19"/>
                <w:szCs w:val="19"/>
              </w:rPr>
              <w:t xml:space="preserve">Associar código de barras ao produto, via digitação ou leitura por câmera/leitor</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RF-PRD-03</w:t>
            </w:r>
          </w:p>
        </w:tc>
        <w:tc>
          <w:tcPr>
            <w:tcW w:type="dxa" w:w="5800"/>
            <w:tcMar>
              <w:top w:type="dxa" w:w="90"/>
              <w:left w:type="dxa" w:w="110"/>
              <w:bottom w:type="dxa" w:w="90"/>
              <w:right w:type="dxa" w:w="110"/>
            </w:tcMar>
          </w:tcPr>
          <w:p>
            <w:r>
              <w:rPr>
                <w:b w:val="false"/>
                <w:bCs w:val="false"/>
                <w:color w:val="1A1A1A"/>
                <w:sz w:val="19"/>
                <w:szCs w:val="19"/>
              </w:rPr>
              <w:t xml:space="preserve">Upload de foto do produto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RF-PRD-04</w:t>
            </w:r>
          </w:p>
        </w:tc>
        <w:tc>
          <w:tcPr>
            <w:tcW w:type="dxa" w:w="5800"/>
            <w:tcMar>
              <w:top w:type="dxa" w:w="90"/>
              <w:left w:type="dxa" w:w="110"/>
              <w:bottom w:type="dxa" w:w="90"/>
              <w:right w:type="dxa" w:w="110"/>
            </w:tcMar>
          </w:tcPr>
          <w:p>
            <w:r>
              <w:rPr>
                <w:b w:val="false"/>
                <w:bCs w:val="false"/>
                <w:color w:val="1A1A1A"/>
                <w:sz w:val="19"/>
                <w:szCs w:val="19"/>
              </w:rPr>
              <w:t xml:space="preserve">Cadastrar variações de produto (tamanho, cor)</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RF-PRD-05</w:t>
            </w:r>
          </w:p>
        </w:tc>
        <w:tc>
          <w:tcPr>
            <w:tcW w:type="dxa" w:w="5800"/>
            <w:tcMar>
              <w:top w:type="dxa" w:w="90"/>
              <w:left w:type="dxa" w:w="110"/>
              <w:bottom w:type="dxa" w:w="90"/>
              <w:right w:type="dxa" w:w="110"/>
            </w:tcMar>
          </w:tcPr>
          <w:p>
            <w:r>
              <w:rPr>
                <w:b w:val="false"/>
                <w:bCs w:val="false"/>
                <w:color w:val="1A1A1A"/>
                <w:sz w:val="19"/>
                <w:szCs w:val="19"/>
              </w:rPr>
              <w:t xml:space="preserve">Editar e inativar produto sem excluir histórico de vendas associado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RF-PRD-06</w:t>
            </w:r>
          </w:p>
        </w:tc>
        <w:tc>
          <w:tcPr>
            <w:tcW w:type="dxa" w:w="5800"/>
            <w:tcMar>
              <w:top w:type="dxa" w:w="90"/>
              <w:left w:type="dxa" w:w="110"/>
              <w:bottom w:type="dxa" w:w="90"/>
              <w:right w:type="dxa" w:w="110"/>
            </w:tcMar>
          </w:tcPr>
          <w:p>
            <w:r>
              <w:rPr>
                <w:b w:val="false"/>
                <w:bCs w:val="false"/>
                <w:color w:val="1A1A1A"/>
                <w:sz w:val="19"/>
                <w:szCs w:val="19"/>
              </w:rPr>
              <w:t xml:space="preserve">Sugestão automática de categoria via IA a partir do nome do produto</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RF-PRD-07</w:t>
            </w:r>
          </w:p>
        </w:tc>
        <w:tc>
          <w:tcPr>
            <w:tcW w:type="dxa" w:w="5800"/>
            <w:tcMar>
              <w:top w:type="dxa" w:w="90"/>
              <w:left w:type="dxa" w:w="110"/>
              <w:bottom w:type="dxa" w:w="90"/>
              <w:right w:type="dxa" w:w="110"/>
            </w:tcMar>
          </w:tcPr>
          <w:p>
            <w:r>
              <w:rPr>
                <w:b w:val="false"/>
                <w:bCs w:val="false"/>
                <w:color w:val="1A1A1A"/>
                <w:sz w:val="19"/>
                <w:szCs w:val="19"/>
              </w:rPr>
              <w:t xml:space="preserve">Sugestão de preço de venda com base em margem-alvo e histórico de mercado</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RF-PRD-08</w:t>
            </w:r>
          </w:p>
        </w:tc>
        <w:tc>
          <w:tcPr>
            <w:tcW w:type="dxa" w:w="5800"/>
            <w:tcMar>
              <w:top w:type="dxa" w:w="90"/>
              <w:left w:type="dxa" w:w="110"/>
              <w:bottom w:type="dxa" w:w="90"/>
              <w:right w:type="dxa" w:w="110"/>
            </w:tcMar>
          </w:tcPr>
          <w:p>
            <w:r>
              <w:rPr>
                <w:b w:val="false"/>
                <w:bCs w:val="false"/>
                <w:color w:val="1A1A1A"/>
                <w:sz w:val="19"/>
                <w:szCs w:val="19"/>
              </w:rPr>
              <w:t xml:space="preserve">Importação em massa de produtos via planilha (CSV/XLSX)</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7.3 Módulo: Categorias e Marcas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RF-CAT-01</w:t>
            </w:r>
          </w:p>
        </w:tc>
        <w:tc>
          <w:tcPr>
            <w:tcW w:type="dxa" w:w="5800"/>
            <w:tcMar>
              <w:top w:type="dxa" w:w="90"/>
              <w:left w:type="dxa" w:w="110"/>
              <w:bottom w:type="dxa" w:w="90"/>
              <w:right w:type="dxa" w:w="110"/>
            </w:tcMar>
          </w:tcPr>
          <w:p>
            <w:r>
              <w:rPr>
                <w:b w:val="false"/>
                <w:bCs w:val="false"/>
                <w:color w:val="1A1A1A"/>
                <w:sz w:val="19"/>
                <w:szCs w:val="19"/>
              </w:rPr>
              <w:t xml:space="preserve">Cadastrar categorias e subcategorias de produtos</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RF-CAT-02</w:t>
            </w:r>
          </w:p>
        </w:tc>
        <w:tc>
          <w:tcPr>
            <w:tcW w:type="dxa" w:w="5800"/>
            <w:tcMar>
              <w:top w:type="dxa" w:w="90"/>
              <w:left w:type="dxa" w:w="110"/>
              <w:bottom w:type="dxa" w:w="90"/>
              <w:right w:type="dxa" w:w="110"/>
            </w:tcMar>
          </w:tcPr>
          <w:p>
            <w:r>
              <w:rPr>
                <w:b w:val="false"/>
                <w:bCs w:val="false"/>
                <w:color w:val="1A1A1A"/>
                <w:sz w:val="19"/>
                <w:szCs w:val="19"/>
              </w:rPr>
              <w:t xml:space="preserve">Catálogo de categorias pré-populado por segmento de negócio no onboarding</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RF-CAT-03</w:t>
            </w:r>
          </w:p>
        </w:tc>
        <w:tc>
          <w:tcPr>
            <w:tcW w:type="dxa" w:w="5800"/>
            <w:tcMar>
              <w:top w:type="dxa" w:w="90"/>
              <w:left w:type="dxa" w:w="110"/>
              <w:bottom w:type="dxa" w:w="90"/>
              <w:right w:type="dxa" w:w="110"/>
            </w:tcMar>
          </w:tcPr>
          <w:p>
            <w:r>
              <w:rPr>
                <w:b w:val="false"/>
                <w:bCs w:val="false"/>
                <w:color w:val="1A1A1A"/>
                <w:sz w:val="19"/>
                <w:szCs w:val="19"/>
              </w:rPr>
              <w:t xml:space="preserve">Cadastrar marcas e associá-las a produtos</w:t>
            </w:r>
          </w:p>
        </w:tc>
        <w:tc>
          <w:tcPr>
            <w:tcW w:type="dxa" w:w="2000"/>
            <w:tcMar>
              <w:top w:type="dxa" w:w="90"/>
              <w:left w:type="dxa" w:w="110"/>
              <w:bottom w:type="dxa" w:w="90"/>
              <w:right w:type="dxa" w:w="110"/>
            </w:tcMar>
          </w:tcPr>
          <w:p>
            <w:r>
              <w:rPr>
                <w:b w:val="false"/>
                <w:bCs w:val="false"/>
                <w:color w:val="1A1A1A"/>
                <w:sz w:val="19"/>
                <w:szCs w:val="19"/>
              </w:rPr>
              <w:t xml:space="preserve">MVP</w:t>
            </w:r>
          </w:p>
        </w:tc>
      </w:tr>
    </w:tbl>
    <w:p>
      <w:pPr>
        <w:pStyle w:val="Heading2"/>
        <w:spacing w:after="140" w:before="320"/>
      </w:pPr>
      <w:r>
        <w:rPr>
          <w:b/>
          <w:bCs/>
          <w:color w:val="B8860B"/>
          <w:sz w:val="26"/>
          <w:szCs w:val="26"/>
        </w:rPr>
        <w:t xml:space="preserve">7.4 Módulo: Fornecedores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RF-FOR-01</w:t>
            </w:r>
          </w:p>
        </w:tc>
        <w:tc>
          <w:tcPr>
            <w:tcW w:type="dxa" w:w="5800"/>
            <w:tcMar>
              <w:top w:type="dxa" w:w="90"/>
              <w:left w:type="dxa" w:w="110"/>
              <w:bottom w:type="dxa" w:w="90"/>
              <w:right w:type="dxa" w:w="110"/>
            </w:tcMar>
          </w:tcPr>
          <w:p>
            <w:r>
              <w:rPr>
                <w:b w:val="false"/>
                <w:bCs w:val="false"/>
                <w:color w:val="1A1A1A"/>
                <w:sz w:val="19"/>
                <w:szCs w:val="19"/>
              </w:rPr>
              <w:t xml:space="preserve">Cadastrar fornecedor com dados de contato e condições de pagamento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RF-FOR-02</w:t>
            </w:r>
          </w:p>
        </w:tc>
        <w:tc>
          <w:tcPr>
            <w:tcW w:type="dxa" w:w="5800"/>
            <w:tcMar>
              <w:top w:type="dxa" w:w="90"/>
              <w:left w:type="dxa" w:w="110"/>
              <w:bottom w:type="dxa" w:w="90"/>
              <w:right w:type="dxa" w:w="110"/>
            </w:tcMar>
          </w:tcPr>
          <w:p>
            <w:r>
              <w:rPr>
                <w:b w:val="false"/>
                <w:bCs w:val="false"/>
                <w:color w:val="1A1A1A"/>
                <w:sz w:val="19"/>
                <w:szCs w:val="19"/>
              </w:rPr>
              <w:t xml:space="preserve">Histórico de compras por fornecedor</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RF-FOR-03</w:t>
            </w:r>
          </w:p>
        </w:tc>
        <w:tc>
          <w:tcPr>
            <w:tcW w:type="dxa" w:w="5800"/>
            <w:tcMar>
              <w:top w:type="dxa" w:w="90"/>
              <w:left w:type="dxa" w:w="110"/>
              <w:bottom w:type="dxa" w:w="90"/>
              <w:right w:type="dxa" w:w="110"/>
            </w:tcMar>
          </w:tcPr>
          <w:p>
            <w:r>
              <w:rPr>
                <w:b w:val="false"/>
                <w:bCs w:val="false"/>
                <w:color w:val="1A1A1A"/>
                <w:sz w:val="19"/>
                <w:szCs w:val="19"/>
              </w:rPr>
              <w:t xml:space="preserve">Sugestão de fornecedor mais vantajoso por produto, com base em histórico de preço</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7.5 Módulo: Compras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RF-COM-01</w:t>
            </w:r>
          </w:p>
        </w:tc>
        <w:tc>
          <w:tcPr>
            <w:tcW w:type="dxa" w:w="5800"/>
            <w:tcMar>
              <w:top w:type="dxa" w:w="90"/>
              <w:left w:type="dxa" w:w="110"/>
              <w:bottom w:type="dxa" w:w="90"/>
              <w:right w:type="dxa" w:w="110"/>
            </w:tcMar>
          </w:tcPr>
          <w:p>
            <w:r>
              <w:rPr>
                <w:b w:val="false"/>
                <w:bCs w:val="false"/>
                <w:color w:val="1A1A1A"/>
                <w:sz w:val="19"/>
                <w:szCs w:val="19"/>
              </w:rPr>
              <w:t xml:space="preserve">Criar pedido de compra vinculado a um fornecedor</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RF-COM-02</w:t>
            </w:r>
          </w:p>
        </w:tc>
        <w:tc>
          <w:tcPr>
            <w:tcW w:type="dxa" w:w="5800"/>
            <w:tcMar>
              <w:top w:type="dxa" w:w="90"/>
              <w:left w:type="dxa" w:w="110"/>
              <w:bottom w:type="dxa" w:w="90"/>
              <w:right w:type="dxa" w:w="110"/>
            </w:tcMar>
          </w:tcPr>
          <w:p>
            <w:r>
              <w:rPr>
                <w:b w:val="false"/>
                <w:bCs w:val="false"/>
                <w:color w:val="1A1A1A"/>
                <w:sz w:val="19"/>
                <w:szCs w:val="19"/>
              </w:rPr>
              <w:t xml:space="preserve">Registrar recebimento de mercadoria, gerando entrada automática em Estoque</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RF-COM-03</w:t>
            </w:r>
          </w:p>
        </w:tc>
        <w:tc>
          <w:tcPr>
            <w:tcW w:type="dxa" w:w="5800"/>
            <w:tcMar>
              <w:top w:type="dxa" w:w="90"/>
              <w:left w:type="dxa" w:w="110"/>
              <w:bottom w:type="dxa" w:w="90"/>
              <w:right w:type="dxa" w:w="110"/>
            </w:tcMar>
          </w:tcPr>
          <w:p>
            <w:r>
              <w:rPr>
                <w:b w:val="false"/>
                <w:bCs w:val="false"/>
                <w:color w:val="1A1A1A"/>
                <w:sz w:val="19"/>
                <w:szCs w:val="19"/>
              </w:rPr>
              <w:t xml:space="preserve">Acompanhar status do pedido (pendente, parcial, recebido)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RF-COM-04</w:t>
            </w:r>
          </w:p>
        </w:tc>
        <w:tc>
          <w:tcPr>
            <w:tcW w:type="dxa" w:w="5800"/>
            <w:tcMar>
              <w:top w:type="dxa" w:w="90"/>
              <w:left w:type="dxa" w:w="110"/>
              <w:bottom w:type="dxa" w:w="90"/>
              <w:right w:type="dxa" w:w="110"/>
            </w:tcMar>
          </w:tcPr>
          <w:p>
            <w:r>
              <w:rPr>
                <w:b w:val="false"/>
                <w:bCs w:val="false"/>
                <w:color w:val="1A1A1A"/>
                <w:sz w:val="19"/>
                <w:szCs w:val="19"/>
              </w:rPr>
              <w:t xml:space="preserve">Sugestão automática de necessidade de compra com base em previsão de demanda</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7.6 Módulo: Estoque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RF-EST-01</w:t>
            </w:r>
          </w:p>
        </w:tc>
        <w:tc>
          <w:tcPr>
            <w:tcW w:type="dxa" w:w="5800"/>
            <w:tcMar>
              <w:top w:type="dxa" w:w="90"/>
              <w:left w:type="dxa" w:w="110"/>
              <w:bottom w:type="dxa" w:w="90"/>
              <w:right w:type="dxa" w:w="110"/>
            </w:tcMar>
          </w:tcPr>
          <w:p>
            <w:r>
              <w:rPr>
                <w:b w:val="false"/>
                <w:bCs w:val="false"/>
                <w:color w:val="1A1A1A"/>
                <w:sz w:val="19"/>
                <w:szCs w:val="19"/>
              </w:rPr>
              <w:t xml:space="preserve">Registrar movimentos de entrada, saída, perda e ajuste manual</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RF-EST-02</w:t>
            </w:r>
          </w:p>
        </w:tc>
        <w:tc>
          <w:tcPr>
            <w:tcW w:type="dxa" w:w="5800"/>
            <w:tcMar>
              <w:top w:type="dxa" w:w="90"/>
              <w:left w:type="dxa" w:w="110"/>
              <w:bottom w:type="dxa" w:w="90"/>
              <w:right w:type="dxa" w:w="110"/>
            </w:tcMar>
          </w:tcPr>
          <w:p>
            <w:r>
              <w:rPr>
                <w:b w:val="false"/>
                <w:bCs w:val="false"/>
                <w:color w:val="1A1A1A"/>
                <w:sz w:val="19"/>
                <w:szCs w:val="19"/>
              </w:rPr>
              <w:t xml:space="preserve">Consultar saldo de estoque em tempo real por produto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RF-EST-03</w:t>
            </w:r>
          </w:p>
        </w:tc>
        <w:tc>
          <w:tcPr>
            <w:tcW w:type="dxa" w:w="5800"/>
            <w:tcMar>
              <w:top w:type="dxa" w:w="90"/>
              <w:left w:type="dxa" w:w="110"/>
              <w:bottom w:type="dxa" w:w="90"/>
              <w:right w:type="dxa" w:w="110"/>
            </w:tcMar>
          </w:tcPr>
          <w:p>
            <w:r>
              <w:rPr>
                <w:b w:val="false"/>
                <w:bCs w:val="false"/>
                <w:color w:val="1A1A1A"/>
                <w:sz w:val="19"/>
                <w:szCs w:val="19"/>
              </w:rPr>
              <w:t xml:space="preserve">Alertar quando o estoque atingir quantidade mínima configurada</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RF-EST-04</w:t>
            </w:r>
          </w:p>
        </w:tc>
        <w:tc>
          <w:tcPr>
            <w:tcW w:type="dxa" w:w="5800"/>
            <w:tcMar>
              <w:top w:type="dxa" w:w="90"/>
              <w:left w:type="dxa" w:w="110"/>
              <w:bottom w:type="dxa" w:w="90"/>
              <w:right w:type="dxa" w:w="110"/>
            </w:tcMar>
          </w:tcPr>
          <w:p>
            <w:r>
              <w:rPr>
                <w:b w:val="false"/>
                <w:bCs w:val="false"/>
                <w:color w:val="1A1A1A"/>
                <w:sz w:val="19"/>
                <w:szCs w:val="19"/>
              </w:rPr>
              <w:t xml:space="preserve">Decremento automático de estoque ao confirmar uma venda no PDV</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RF-EST-05</w:t>
            </w:r>
          </w:p>
        </w:tc>
        <w:tc>
          <w:tcPr>
            <w:tcW w:type="dxa" w:w="5800"/>
            <w:tcMar>
              <w:top w:type="dxa" w:w="90"/>
              <w:left w:type="dxa" w:w="110"/>
              <w:bottom w:type="dxa" w:w="90"/>
              <w:right w:type="dxa" w:w="110"/>
            </w:tcMar>
          </w:tcPr>
          <w:p>
            <w:r>
              <w:rPr>
                <w:b w:val="false"/>
                <w:bCs w:val="false"/>
                <w:color w:val="1A1A1A"/>
                <w:sz w:val="19"/>
                <w:szCs w:val="19"/>
              </w:rPr>
              <w:t xml:space="preserve">Contagem cíclica de inventário com apontamento de divergências</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RF-EST-06</w:t>
            </w:r>
          </w:p>
        </w:tc>
        <w:tc>
          <w:tcPr>
            <w:tcW w:type="dxa" w:w="5800"/>
            <w:tcMar>
              <w:top w:type="dxa" w:w="90"/>
              <w:left w:type="dxa" w:w="110"/>
              <w:bottom w:type="dxa" w:w="90"/>
              <w:right w:type="dxa" w:w="110"/>
            </w:tcMar>
          </w:tcPr>
          <w:p>
            <w:r>
              <w:rPr>
                <w:b w:val="false"/>
                <w:bCs w:val="false"/>
                <w:color w:val="1A1A1A"/>
                <w:sz w:val="19"/>
                <w:szCs w:val="19"/>
              </w:rPr>
              <w:t xml:space="preserve">Transferência de estoque entre filiais do mesmo tenant</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RF-EST-07</w:t>
            </w:r>
          </w:p>
        </w:tc>
        <w:tc>
          <w:tcPr>
            <w:tcW w:type="dxa" w:w="5800"/>
            <w:tcMar>
              <w:top w:type="dxa" w:w="90"/>
              <w:left w:type="dxa" w:w="110"/>
              <w:bottom w:type="dxa" w:w="90"/>
              <w:right w:type="dxa" w:w="110"/>
            </w:tcMar>
          </w:tcPr>
          <w:p>
            <w:r>
              <w:rPr>
                <w:b w:val="false"/>
                <w:bCs w:val="false"/>
                <w:color w:val="1A1A1A"/>
                <w:sz w:val="19"/>
                <w:szCs w:val="19"/>
              </w:rPr>
              <w:t xml:space="preserve">Previsão de ruptura de estoque via IA, com base em velocidade de venda histórica</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7.7 Módulo: PDV / Vendas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RF-PDV-01</w:t>
            </w:r>
          </w:p>
        </w:tc>
        <w:tc>
          <w:tcPr>
            <w:tcW w:type="dxa" w:w="5800"/>
            <w:tcMar>
              <w:top w:type="dxa" w:w="90"/>
              <w:left w:type="dxa" w:w="110"/>
              <w:bottom w:type="dxa" w:w="90"/>
              <w:right w:type="dxa" w:w="110"/>
            </w:tcMar>
          </w:tcPr>
          <w:p>
            <w:r>
              <w:rPr>
                <w:b w:val="false"/>
                <w:bCs w:val="false"/>
                <w:color w:val="1A1A1A"/>
                <w:sz w:val="19"/>
                <w:szCs w:val="19"/>
              </w:rPr>
              <w:t xml:space="preserve">Adicionar item à venda via leitura de código de barras (câmera ou leitor físico)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RF-PDV-02</w:t>
            </w:r>
          </w:p>
        </w:tc>
        <w:tc>
          <w:tcPr>
            <w:tcW w:type="dxa" w:w="5800"/>
            <w:tcMar>
              <w:top w:type="dxa" w:w="90"/>
              <w:left w:type="dxa" w:w="110"/>
              <w:bottom w:type="dxa" w:w="90"/>
              <w:right w:type="dxa" w:w="110"/>
            </w:tcMar>
          </w:tcPr>
          <w:p>
            <w:r>
              <w:rPr>
                <w:b w:val="false"/>
                <w:bCs w:val="false"/>
                <w:color w:val="1A1A1A"/>
                <w:sz w:val="19"/>
                <w:szCs w:val="19"/>
              </w:rPr>
              <w:t xml:space="preserve">Adicionar item manualmente via busca por nome/SKU</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RF-PDV-03</w:t>
            </w:r>
          </w:p>
        </w:tc>
        <w:tc>
          <w:tcPr>
            <w:tcW w:type="dxa" w:w="5800"/>
            <w:tcMar>
              <w:top w:type="dxa" w:w="90"/>
              <w:left w:type="dxa" w:w="110"/>
              <w:bottom w:type="dxa" w:w="90"/>
              <w:right w:type="dxa" w:w="110"/>
            </w:tcMar>
          </w:tcPr>
          <w:p>
            <w:r>
              <w:rPr>
                <w:b w:val="false"/>
                <w:bCs w:val="false"/>
                <w:color w:val="1A1A1A"/>
                <w:sz w:val="19"/>
                <w:szCs w:val="19"/>
              </w:rPr>
              <w:t xml:space="preserve">Aplicar desconto por item ou por venda, respeitando limite configurado por papel de usuário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RF-PDV-04</w:t>
            </w:r>
          </w:p>
        </w:tc>
        <w:tc>
          <w:tcPr>
            <w:tcW w:type="dxa" w:w="5800"/>
            <w:tcMar>
              <w:top w:type="dxa" w:w="90"/>
              <w:left w:type="dxa" w:w="110"/>
              <w:bottom w:type="dxa" w:w="90"/>
              <w:right w:type="dxa" w:w="110"/>
            </w:tcMar>
          </w:tcPr>
          <w:p>
            <w:r>
              <w:rPr>
                <w:b w:val="false"/>
                <w:bCs w:val="false"/>
                <w:color w:val="1A1A1A"/>
                <w:sz w:val="19"/>
                <w:szCs w:val="19"/>
              </w:rPr>
              <w:t xml:space="preserve">Registrar forma de pagamento (dinheiro, cartão, PIX), com suporte a pagamento misto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RF-PDV-05</w:t>
            </w:r>
          </w:p>
        </w:tc>
        <w:tc>
          <w:tcPr>
            <w:tcW w:type="dxa" w:w="5800"/>
            <w:tcMar>
              <w:top w:type="dxa" w:w="90"/>
              <w:left w:type="dxa" w:w="110"/>
              <w:bottom w:type="dxa" w:w="90"/>
              <w:right w:type="dxa" w:w="110"/>
            </w:tcMar>
          </w:tcPr>
          <w:p>
            <w:r>
              <w:rPr>
                <w:b w:val="false"/>
                <w:bCs w:val="false"/>
                <w:color w:val="1A1A1A"/>
                <w:sz w:val="19"/>
                <w:szCs w:val="19"/>
              </w:rPr>
              <w:t xml:space="preserve">Emitir comprovante de venda (não-fiscal no MVP)</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RF-PDV-06</w:t>
            </w:r>
          </w:p>
        </w:tc>
        <w:tc>
          <w:tcPr>
            <w:tcW w:type="dxa" w:w="5800"/>
            <w:tcMar>
              <w:top w:type="dxa" w:w="90"/>
              <w:left w:type="dxa" w:w="110"/>
              <w:bottom w:type="dxa" w:w="90"/>
              <w:right w:type="dxa" w:w="110"/>
            </w:tcMar>
          </w:tcPr>
          <w:p>
            <w:r>
              <w:rPr>
                <w:b w:val="false"/>
                <w:bCs w:val="false"/>
                <w:color w:val="1A1A1A"/>
                <w:sz w:val="19"/>
                <w:szCs w:val="19"/>
              </w:rPr>
              <w:t xml:space="preserve">Cancelar venda com estorno automático de estoque</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RF-PDV-07</w:t>
            </w:r>
          </w:p>
        </w:tc>
        <w:tc>
          <w:tcPr>
            <w:tcW w:type="dxa" w:w="5800"/>
            <w:tcMar>
              <w:top w:type="dxa" w:w="90"/>
              <w:left w:type="dxa" w:w="110"/>
              <w:bottom w:type="dxa" w:w="90"/>
              <w:right w:type="dxa" w:w="110"/>
            </w:tcMar>
          </w:tcPr>
          <w:p>
            <w:r>
              <w:rPr>
                <w:b w:val="false"/>
                <w:bCs w:val="false"/>
                <w:color w:val="1A1A1A"/>
                <w:sz w:val="19"/>
                <w:szCs w:val="19"/>
              </w:rPr>
              <w:t xml:space="preserve">Emissão de nota fiscal eletrônica (NFC-e/NF-e) via integração</w:t>
            </w:r>
          </w:p>
        </w:tc>
        <w:tc>
          <w:tcPr>
            <w:tcW w:type="dxa" w:w="20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7.8 Módulo: Caixa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RF-CAI-01</w:t>
            </w:r>
          </w:p>
        </w:tc>
        <w:tc>
          <w:tcPr>
            <w:tcW w:type="dxa" w:w="5800"/>
            <w:tcMar>
              <w:top w:type="dxa" w:w="90"/>
              <w:left w:type="dxa" w:w="110"/>
              <w:bottom w:type="dxa" w:w="90"/>
              <w:right w:type="dxa" w:w="110"/>
            </w:tcMar>
          </w:tcPr>
          <w:p>
            <w:r>
              <w:rPr>
                <w:b w:val="false"/>
                <w:bCs w:val="false"/>
                <w:color w:val="1A1A1A"/>
                <w:sz w:val="19"/>
                <w:szCs w:val="19"/>
              </w:rPr>
              <w:t xml:space="preserve">Abrir caixa com valor inicial (fundo de troco)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RF-CAI-02</w:t>
            </w:r>
          </w:p>
        </w:tc>
        <w:tc>
          <w:tcPr>
            <w:tcW w:type="dxa" w:w="5800"/>
            <w:tcMar>
              <w:top w:type="dxa" w:w="90"/>
              <w:left w:type="dxa" w:w="110"/>
              <w:bottom w:type="dxa" w:w="90"/>
              <w:right w:type="dxa" w:w="110"/>
            </w:tcMar>
          </w:tcPr>
          <w:p>
            <w:r>
              <w:rPr>
                <w:b w:val="false"/>
                <w:bCs w:val="false"/>
                <w:color w:val="1A1A1A"/>
                <w:sz w:val="19"/>
                <w:szCs w:val="19"/>
              </w:rPr>
              <w:t xml:space="preserve">Registrar sangria e suprimento durante o turno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RF-CAI-03</w:t>
            </w:r>
          </w:p>
        </w:tc>
        <w:tc>
          <w:tcPr>
            <w:tcW w:type="dxa" w:w="5800"/>
            <w:tcMar>
              <w:top w:type="dxa" w:w="90"/>
              <w:left w:type="dxa" w:w="110"/>
              <w:bottom w:type="dxa" w:w="90"/>
              <w:right w:type="dxa" w:w="110"/>
            </w:tcMar>
          </w:tcPr>
          <w:p>
            <w:r>
              <w:rPr>
                <w:b w:val="false"/>
                <w:bCs w:val="false"/>
                <w:color w:val="1A1A1A"/>
                <w:sz w:val="19"/>
                <w:szCs w:val="19"/>
              </w:rPr>
              <w:t xml:space="preserve">Fechar caixa com conciliação automática entre vendas registradas e valores informados</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RF-CAI-04</w:t>
            </w:r>
          </w:p>
        </w:tc>
        <w:tc>
          <w:tcPr>
            <w:tcW w:type="dxa" w:w="5800"/>
            <w:tcMar>
              <w:top w:type="dxa" w:w="90"/>
              <w:left w:type="dxa" w:w="110"/>
              <w:bottom w:type="dxa" w:w="90"/>
              <w:right w:type="dxa" w:w="110"/>
            </w:tcMar>
          </w:tcPr>
          <w:p>
            <w:r>
              <w:rPr>
                <w:b w:val="false"/>
                <w:bCs w:val="false"/>
                <w:color w:val="1A1A1A"/>
                <w:sz w:val="19"/>
                <w:szCs w:val="19"/>
              </w:rPr>
              <w:t xml:space="preserve">Relatório de diferença de caixa (quebra) por operador</w:t>
            </w:r>
          </w:p>
        </w:tc>
        <w:tc>
          <w:tcPr>
            <w:tcW w:type="dxa" w:w="2000"/>
            <w:tcMar>
              <w:top w:type="dxa" w:w="90"/>
              <w:left w:type="dxa" w:w="110"/>
              <w:bottom w:type="dxa" w:w="90"/>
              <w:right w:type="dxa" w:w="110"/>
            </w:tcMar>
          </w:tcPr>
          <w:p>
            <w:r>
              <w:rPr>
                <w:b w:val="false"/>
                <w:bCs w:val="false"/>
                <w:color w:val="1A1A1A"/>
                <w:sz w:val="19"/>
                <w:szCs w:val="19"/>
              </w:rPr>
              <w:t xml:space="preserve">MVP</w:t>
            </w:r>
          </w:p>
        </w:tc>
      </w:tr>
    </w:tbl>
    <w:p>
      <w:pPr>
        <w:pStyle w:val="Heading2"/>
        <w:spacing w:after="140" w:before="320"/>
      </w:pPr>
      <w:r>
        <w:rPr>
          <w:b/>
          <w:bCs/>
          <w:color w:val="B8860B"/>
          <w:sz w:val="26"/>
          <w:szCs w:val="26"/>
        </w:rPr>
        <w:t xml:space="preserve">7.9 Módulo: Financeiro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RF-FIN-01</w:t>
            </w:r>
          </w:p>
        </w:tc>
        <w:tc>
          <w:tcPr>
            <w:tcW w:type="dxa" w:w="5800"/>
            <w:tcMar>
              <w:top w:type="dxa" w:w="90"/>
              <w:left w:type="dxa" w:w="110"/>
              <w:bottom w:type="dxa" w:w="90"/>
              <w:right w:type="dxa" w:w="110"/>
            </w:tcMar>
          </w:tcPr>
          <w:p>
            <w:r>
              <w:rPr>
                <w:b w:val="false"/>
                <w:bCs w:val="false"/>
                <w:color w:val="1A1A1A"/>
                <w:sz w:val="19"/>
                <w:szCs w:val="19"/>
              </w:rPr>
              <w:t xml:space="preserve">Calcular lucro bruto por venda (preço de venda - custo)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RF-FIN-02</w:t>
            </w:r>
          </w:p>
        </w:tc>
        <w:tc>
          <w:tcPr>
            <w:tcW w:type="dxa" w:w="5800"/>
            <w:tcMar>
              <w:top w:type="dxa" w:w="90"/>
              <w:left w:type="dxa" w:w="110"/>
              <w:bottom w:type="dxa" w:w="90"/>
              <w:right w:type="dxa" w:w="110"/>
            </w:tcMar>
          </w:tcPr>
          <w:p>
            <w:r>
              <w:rPr>
                <w:b w:val="false"/>
                <w:bCs w:val="false"/>
                <w:color w:val="1A1A1A"/>
                <w:sz w:val="19"/>
                <w:szCs w:val="19"/>
              </w:rPr>
              <w:t xml:space="preserve">Consolidar lucro, perda e margem por período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RF-FIN-03</w:t>
            </w:r>
          </w:p>
        </w:tc>
        <w:tc>
          <w:tcPr>
            <w:tcW w:type="dxa" w:w="5800"/>
            <w:tcMar>
              <w:top w:type="dxa" w:w="90"/>
              <w:left w:type="dxa" w:w="110"/>
              <w:bottom w:type="dxa" w:w="90"/>
              <w:right w:type="dxa" w:w="110"/>
            </w:tcMar>
          </w:tcPr>
          <w:p>
            <w:r>
              <w:rPr>
                <w:b w:val="false"/>
                <w:bCs w:val="false"/>
                <w:color w:val="1A1A1A"/>
                <w:sz w:val="19"/>
                <w:szCs w:val="19"/>
              </w:rPr>
              <w:t xml:space="preserve">Contas a pagar vinculadas a pedidos de compra</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RF-FIN-04</w:t>
            </w:r>
          </w:p>
        </w:tc>
        <w:tc>
          <w:tcPr>
            <w:tcW w:type="dxa" w:w="5800"/>
            <w:tcMar>
              <w:top w:type="dxa" w:w="90"/>
              <w:left w:type="dxa" w:w="110"/>
              <w:bottom w:type="dxa" w:w="90"/>
              <w:right w:type="dxa" w:w="110"/>
            </w:tcMar>
          </w:tcPr>
          <w:p>
            <w:r>
              <w:rPr>
                <w:b w:val="false"/>
                <w:bCs w:val="false"/>
                <w:color w:val="1A1A1A"/>
                <w:sz w:val="19"/>
                <w:szCs w:val="19"/>
              </w:rPr>
              <w:t xml:space="preserve">Contas a receber vinculadas a vendas a prazo</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RF-FIN-05</w:t>
            </w:r>
          </w:p>
        </w:tc>
        <w:tc>
          <w:tcPr>
            <w:tcW w:type="dxa" w:w="5800"/>
            <w:tcMar>
              <w:top w:type="dxa" w:w="90"/>
              <w:left w:type="dxa" w:w="110"/>
              <w:bottom w:type="dxa" w:w="90"/>
              <w:right w:type="dxa" w:w="110"/>
            </w:tcMar>
          </w:tcPr>
          <w:p>
            <w:r>
              <w:rPr>
                <w:b w:val="false"/>
                <w:bCs w:val="false"/>
                <w:color w:val="1A1A1A"/>
                <w:sz w:val="19"/>
                <w:szCs w:val="19"/>
              </w:rPr>
              <w:t xml:space="preserve">Fluxo de caixa projetado (entradas e saídas futuras)</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7.10 Módulo: CRM e Clientes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RF-CRM-01</w:t>
            </w:r>
          </w:p>
        </w:tc>
        <w:tc>
          <w:tcPr>
            <w:tcW w:type="dxa" w:w="5800"/>
            <w:tcMar>
              <w:top w:type="dxa" w:w="90"/>
              <w:left w:type="dxa" w:w="110"/>
              <w:bottom w:type="dxa" w:w="90"/>
              <w:right w:type="dxa" w:w="110"/>
            </w:tcMar>
          </w:tcPr>
          <w:p>
            <w:r>
              <w:rPr>
                <w:b w:val="false"/>
                <w:bCs w:val="false"/>
                <w:color w:val="1A1A1A"/>
                <w:sz w:val="19"/>
                <w:szCs w:val="19"/>
              </w:rPr>
              <w:t xml:space="preserve">Cadastrar cliente com dados de contato, vinculado ao histórico de compras</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RF-CRM-02</w:t>
            </w:r>
          </w:p>
        </w:tc>
        <w:tc>
          <w:tcPr>
            <w:tcW w:type="dxa" w:w="5800"/>
            <w:tcMar>
              <w:top w:type="dxa" w:w="90"/>
              <w:left w:type="dxa" w:w="110"/>
              <w:bottom w:type="dxa" w:w="90"/>
              <w:right w:type="dxa" w:w="110"/>
            </w:tcMar>
          </w:tcPr>
          <w:p>
            <w:r>
              <w:rPr>
                <w:b w:val="false"/>
                <w:bCs w:val="false"/>
                <w:color w:val="1A1A1A"/>
                <w:sz w:val="19"/>
                <w:szCs w:val="19"/>
              </w:rPr>
              <w:t xml:space="preserve">Segmentação de clientes por frequência e valor de compra</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RF-CRM-03</w:t>
            </w:r>
          </w:p>
        </w:tc>
        <w:tc>
          <w:tcPr>
            <w:tcW w:type="dxa" w:w="5800"/>
            <w:tcMar>
              <w:top w:type="dxa" w:w="90"/>
              <w:left w:type="dxa" w:w="110"/>
              <w:bottom w:type="dxa" w:w="90"/>
              <w:right w:type="dxa" w:w="110"/>
            </w:tcMar>
          </w:tcPr>
          <w:p>
            <w:r>
              <w:rPr>
                <w:b w:val="false"/>
                <w:bCs w:val="false"/>
                <w:color w:val="1A1A1A"/>
                <w:sz w:val="19"/>
                <w:szCs w:val="19"/>
              </w:rPr>
              <w:t xml:space="preserve">Programa de fidelidade com pontos ou cashback configurável</w:t>
            </w:r>
          </w:p>
        </w:tc>
        <w:tc>
          <w:tcPr>
            <w:tcW w:type="dxa" w:w="2000"/>
            <w:tcMar>
              <w:top w:type="dxa" w:w="90"/>
              <w:left w:type="dxa" w:w="110"/>
              <w:bottom w:type="dxa" w:w="90"/>
              <w:right w:type="dxa" w:w="110"/>
            </w:tcMar>
          </w:tcPr>
          <w:p>
            <w:r>
              <w:rPr>
                <w:b w:val="false"/>
                <w:bCs w:val="false"/>
                <w:color w:val="1A1A1A"/>
                <w:sz w:val="19"/>
                <w:szCs w:val="19"/>
              </w:rPr>
              <w:t xml:space="preserve">V3</w:t>
            </w:r>
          </w:p>
        </w:tc>
      </w:tr>
      <w:tr>
        <w:tc>
          <w:tcPr>
            <w:tcW w:type="dxa" w:w="1900"/>
            <w:tcMar>
              <w:top w:type="dxa" w:w="90"/>
              <w:left w:type="dxa" w:w="110"/>
              <w:bottom w:type="dxa" w:w="90"/>
              <w:right w:type="dxa" w:w="110"/>
            </w:tcMar>
          </w:tcPr>
          <w:p>
            <w:r>
              <w:rPr>
                <w:b w:val="false"/>
                <w:bCs w:val="false"/>
                <w:color w:val="1A1A1A"/>
                <w:sz w:val="19"/>
                <w:szCs w:val="19"/>
              </w:rPr>
              <w:t xml:space="preserve">RF-CRM-04</w:t>
            </w:r>
          </w:p>
        </w:tc>
        <w:tc>
          <w:tcPr>
            <w:tcW w:type="dxa" w:w="5800"/>
            <w:tcMar>
              <w:top w:type="dxa" w:w="90"/>
              <w:left w:type="dxa" w:w="110"/>
              <w:bottom w:type="dxa" w:w="90"/>
              <w:right w:type="dxa" w:w="110"/>
            </w:tcMar>
          </w:tcPr>
          <w:p>
            <w:r>
              <w:rPr>
                <w:b w:val="false"/>
                <w:bCs w:val="false"/>
                <w:color w:val="1A1A1A"/>
                <w:sz w:val="19"/>
                <w:szCs w:val="19"/>
              </w:rPr>
              <w:t xml:space="preserve">Envio de campanhas segmentadas (e-mail/WhatsApp) via n8n</w:t>
            </w:r>
          </w:p>
        </w:tc>
        <w:tc>
          <w:tcPr>
            <w:tcW w:type="dxa" w:w="20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7.11 Módulo: Metas e Comissões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RF-MET-01</w:t>
            </w:r>
          </w:p>
        </w:tc>
        <w:tc>
          <w:tcPr>
            <w:tcW w:type="dxa" w:w="5800"/>
            <w:tcMar>
              <w:top w:type="dxa" w:w="90"/>
              <w:left w:type="dxa" w:w="110"/>
              <w:bottom w:type="dxa" w:w="90"/>
              <w:right w:type="dxa" w:w="110"/>
            </w:tcMar>
          </w:tcPr>
          <w:p>
            <w:r>
              <w:rPr>
                <w:b w:val="false"/>
                <w:bCs w:val="false"/>
                <w:color w:val="1A1A1A"/>
                <w:sz w:val="19"/>
                <w:szCs w:val="19"/>
              </w:rPr>
              <w:t xml:space="preserve">Definir meta de vendas por vendedor ou por loja</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RF-MET-02</w:t>
            </w:r>
          </w:p>
        </w:tc>
        <w:tc>
          <w:tcPr>
            <w:tcW w:type="dxa" w:w="5800"/>
            <w:tcMar>
              <w:top w:type="dxa" w:w="90"/>
              <w:left w:type="dxa" w:w="110"/>
              <w:bottom w:type="dxa" w:w="90"/>
              <w:right w:type="dxa" w:w="110"/>
            </w:tcMar>
          </w:tcPr>
          <w:p>
            <w:r>
              <w:rPr>
                <w:b w:val="false"/>
                <w:bCs w:val="false"/>
                <w:color w:val="1A1A1A"/>
                <w:sz w:val="19"/>
                <w:szCs w:val="19"/>
              </w:rPr>
              <w:t xml:space="preserve">Calcular comissão automática por vendedor com base em regras configuráveis</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RF-MET-03</w:t>
            </w:r>
          </w:p>
        </w:tc>
        <w:tc>
          <w:tcPr>
            <w:tcW w:type="dxa" w:w="5800"/>
            <w:tcMar>
              <w:top w:type="dxa" w:w="90"/>
              <w:left w:type="dxa" w:w="110"/>
              <w:bottom w:type="dxa" w:w="90"/>
              <w:right w:type="dxa" w:w="110"/>
            </w:tcMar>
          </w:tcPr>
          <w:p>
            <w:r>
              <w:rPr>
                <w:b w:val="false"/>
                <w:bCs w:val="false"/>
                <w:color w:val="1A1A1A"/>
                <w:sz w:val="19"/>
                <w:szCs w:val="19"/>
              </w:rPr>
              <w:t xml:space="preserve">Painel de acompanhamento de meta em tempo real</w:t>
            </w:r>
          </w:p>
        </w:tc>
        <w:tc>
          <w:tcPr>
            <w:tcW w:type="dxa" w:w="2000"/>
            <w:tcMar>
              <w:top w:type="dxa" w:w="90"/>
              <w:left w:type="dxa" w:w="110"/>
              <w:bottom w:type="dxa" w:w="90"/>
              <w:right w:type="dxa" w:w="110"/>
            </w:tcMar>
          </w:tcPr>
          <w:p>
            <w:r>
              <w:rPr>
                <w:b w:val="false"/>
                <w:bCs w:val="false"/>
                <w:color w:val="1A1A1A"/>
                <w:sz w:val="19"/>
                <w:szCs w:val="19"/>
              </w:rPr>
              <w:t xml:space="preserve">V2</w:t>
            </w:r>
          </w:p>
        </w:tc>
      </w:tr>
    </w:tbl>
    <w:p>
      <w:pPr>
        <w:pStyle w:val="Heading2"/>
        <w:spacing w:after="140" w:before="320"/>
      </w:pPr>
      <w:r>
        <w:rPr>
          <w:b/>
          <w:bCs/>
          <w:color w:val="B8860B"/>
          <w:sz w:val="26"/>
          <w:szCs w:val="26"/>
        </w:rPr>
        <w:t xml:space="preserve">7.12 Módulo: Relatórios e Business Intelligence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RF-REL-01</w:t>
            </w:r>
          </w:p>
        </w:tc>
        <w:tc>
          <w:tcPr>
            <w:tcW w:type="dxa" w:w="5800"/>
            <w:tcMar>
              <w:top w:type="dxa" w:w="90"/>
              <w:left w:type="dxa" w:w="110"/>
              <w:bottom w:type="dxa" w:w="90"/>
              <w:right w:type="dxa" w:w="110"/>
            </w:tcMar>
          </w:tcPr>
          <w:p>
            <w:r>
              <w:rPr>
                <w:b w:val="false"/>
                <w:bCs w:val="false"/>
                <w:color w:val="1A1A1A"/>
                <w:sz w:val="19"/>
                <w:szCs w:val="19"/>
              </w:rPr>
              <w:t xml:space="preserve">Relatório de vendas por período, produto e categoria</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RF-REL-02</w:t>
            </w:r>
          </w:p>
        </w:tc>
        <w:tc>
          <w:tcPr>
            <w:tcW w:type="dxa" w:w="5800"/>
            <w:tcMar>
              <w:top w:type="dxa" w:w="90"/>
              <w:left w:type="dxa" w:w="110"/>
              <w:bottom w:type="dxa" w:w="90"/>
              <w:right w:type="dxa" w:w="110"/>
            </w:tcMar>
          </w:tcPr>
          <w:p>
            <w:r>
              <w:rPr>
                <w:b w:val="false"/>
                <w:bCs w:val="false"/>
                <w:color w:val="1A1A1A"/>
                <w:sz w:val="19"/>
                <w:szCs w:val="19"/>
              </w:rPr>
              <w:t xml:space="preserve">Relatório de giro de estoque</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RF-REL-03</w:t>
            </w:r>
          </w:p>
        </w:tc>
        <w:tc>
          <w:tcPr>
            <w:tcW w:type="dxa" w:w="5800"/>
            <w:tcMar>
              <w:top w:type="dxa" w:w="90"/>
              <w:left w:type="dxa" w:w="110"/>
              <w:bottom w:type="dxa" w:w="90"/>
              <w:right w:type="dxa" w:w="110"/>
            </w:tcMar>
          </w:tcPr>
          <w:p>
            <w:r>
              <w:rPr>
                <w:b w:val="false"/>
                <w:bCs w:val="false"/>
                <w:color w:val="1A1A1A"/>
                <w:sz w:val="19"/>
                <w:szCs w:val="19"/>
              </w:rPr>
              <w:t xml:space="preserve">DRE simplificado (Demonstrativo de Resultado)</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RF-REL-04</w:t>
            </w:r>
          </w:p>
        </w:tc>
        <w:tc>
          <w:tcPr>
            <w:tcW w:type="dxa" w:w="5800"/>
            <w:tcMar>
              <w:top w:type="dxa" w:w="90"/>
              <w:left w:type="dxa" w:w="110"/>
              <w:bottom w:type="dxa" w:w="90"/>
              <w:right w:type="dxa" w:w="110"/>
            </w:tcMar>
          </w:tcPr>
          <w:p>
            <w:r>
              <w:rPr>
                <w:b w:val="false"/>
                <w:bCs w:val="false"/>
                <w:color w:val="1A1A1A"/>
                <w:sz w:val="19"/>
                <w:szCs w:val="19"/>
              </w:rPr>
              <w:t xml:space="preserve">Curva ABC de produtos</w:t>
            </w:r>
          </w:p>
        </w:tc>
        <w:tc>
          <w:tcPr>
            <w:tcW w:type="dxa" w:w="2000"/>
            <w:tcMar>
              <w:top w:type="dxa" w:w="90"/>
              <w:left w:type="dxa" w:w="110"/>
              <w:bottom w:type="dxa" w:w="90"/>
              <w:right w:type="dxa" w:w="110"/>
            </w:tcMar>
          </w:tcPr>
          <w:p>
            <w:r>
              <w:rPr>
                <w:b w:val="false"/>
                <w:bCs w:val="false"/>
                <w:color w:val="1A1A1A"/>
                <w:sz w:val="19"/>
                <w:szCs w:val="19"/>
              </w:rPr>
              <w:t xml:space="preserve">V2</w:t>
            </w:r>
          </w:p>
        </w:tc>
      </w:tr>
      <w:tr>
        <w:tc>
          <w:tcPr>
            <w:tcW w:type="dxa" w:w="1900"/>
            <w:tcMar>
              <w:top w:type="dxa" w:w="90"/>
              <w:left w:type="dxa" w:w="110"/>
              <w:bottom w:type="dxa" w:w="90"/>
              <w:right w:type="dxa" w:w="110"/>
            </w:tcMar>
          </w:tcPr>
          <w:p>
            <w:r>
              <w:rPr>
                <w:b w:val="false"/>
                <w:bCs w:val="false"/>
                <w:color w:val="1A1A1A"/>
                <w:sz w:val="19"/>
                <w:szCs w:val="19"/>
              </w:rPr>
              <w:t xml:space="preserve">RF-REL-05</w:t>
            </w:r>
          </w:p>
        </w:tc>
        <w:tc>
          <w:tcPr>
            <w:tcW w:type="dxa" w:w="5800"/>
            <w:tcMar>
              <w:top w:type="dxa" w:w="90"/>
              <w:left w:type="dxa" w:w="110"/>
              <w:bottom w:type="dxa" w:w="90"/>
              <w:right w:type="dxa" w:w="110"/>
            </w:tcMar>
          </w:tcPr>
          <w:p>
            <w:r>
              <w:rPr>
                <w:b w:val="false"/>
                <w:bCs w:val="false"/>
                <w:color w:val="1A1A1A"/>
                <w:sz w:val="19"/>
                <w:szCs w:val="19"/>
              </w:rPr>
              <w:t xml:space="preserve">Painel de BI com filtros cruzados e exportação</w:t>
            </w:r>
          </w:p>
        </w:tc>
        <w:tc>
          <w:tcPr>
            <w:tcW w:type="dxa" w:w="2000"/>
            <w:tcMar>
              <w:top w:type="dxa" w:w="90"/>
              <w:left w:type="dxa" w:w="110"/>
              <w:bottom w:type="dxa" w:w="90"/>
              <w:right w:type="dxa" w:w="110"/>
            </w:tcMar>
          </w:tcPr>
          <w:p>
            <w:r>
              <w:rPr>
                <w:b w:val="false"/>
                <w:bCs w:val="false"/>
                <w:color w:val="1A1A1A"/>
                <w:sz w:val="19"/>
                <w:szCs w:val="19"/>
              </w:rPr>
              <w:t xml:space="preserve">V3</w:t>
            </w:r>
          </w:p>
        </w:tc>
      </w:tr>
      <w:tr>
        <w:tc>
          <w:tcPr>
            <w:tcW w:type="dxa" w:w="1900"/>
            <w:tcMar>
              <w:top w:type="dxa" w:w="90"/>
              <w:left w:type="dxa" w:w="110"/>
              <w:bottom w:type="dxa" w:w="90"/>
              <w:right w:type="dxa" w:w="110"/>
            </w:tcMar>
          </w:tcPr>
          <w:p>
            <w:r>
              <w:rPr>
                <w:b w:val="false"/>
                <w:bCs w:val="false"/>
                <w:color w:val="1A1A1A"/>
                <w:sz w:val="19"/>
                <w:szCs w:val="19"/>
              </w:rPr>
              <w:t xml:space="preserve">RF-REL-06</w:t>
            </w:r>
          </w:p>
        </w:tc>
        <w:tc>
          <w:tcPr>
            <w:tcW w:type="dxa" w:w="5800"/>
            <w:tcMar>
              <w:top w:type="dxa" w:w="90"/>
              <w:left w:type="dxa" w:w="110"/>
              <w:bottom w:type="dxa" w:w="90"/>
              <w:right w:type="dxa" w:w="110"/>
            </w:tcMar>
          </w:tcPr>
          <w:p>
            <w:r>
              <w:rPr>
                <w:b w:val="false"/>
                <w:bCs w:val="false"/>
                <w:color w:val="1A1A1A"/>
                <w:sz w:val="19"/>
                <w:szCs w:val="19"/>
              </w:rPr>
              <w:t xml:space="preserve">Insights automáticos gerados por IA (ex: "produto X perdendo margem há 3 semanas")</w:t>
            </w:r>
          </w:p>
        </w:tc>
        <w:tc>
          <w:tcPr>
            <w:tcW w:type="dxa" w:w="20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7.13 Módulo: Auditoria, Permissões e Notificações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RF-SEG-01</w:t>
            </w:r>
          </w:p>
        </w:tc>
        <w:tc>
          <w:tcPr>
            <w:tcW w:type="dxa" w:w="5800"/>
            <w:tcMar>
              <w:top w:type="dxa" w:w="90"/>
              <w:left w:type="dxa" w:w="110"/>
              <w:bottom w:type="dxa" w:w="90"/>
              <w:right w:type="dxa" w:w="110"/>
            </w:tcMar>
          </w:tcPr>
          <w:p>
            <w:r>
              <w:rPr>
                <w:b w:val="false"/>
                <w:bCs w:val="false"/>
                <w:color w:val="1A1A1A"/>
                <w:sz w:val="19"/>
                <w:szCs w:val="19"/>
              </w:rPr>
              <w:t xml:space="preserve">Controle de permissões por papel (dono, vendedor, estoquista, financeiro)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RF-SEG-02</w:t>
            </w:r>
          </w:p>
        </w:tc>
        <w:tc>
          <w:tcPr>
            <w:tcW w:type="dxa" w:w="5800"/>
            <w:tcMar>
              <w:top w:type="dxa" w:w="90"/>
              <w:left w:type="dxa" w:w="110"/>
              <w:bottom w:type="dxa" w:w="90"/>
              <w:right w:type="dxa" w:w="110"/>
            </w:tcMar>
          </w:tcPr>
          <w:p>
            <w:r>
              <w:rPr>
                <w:b w:val="false"/>
                <w:bCs w:val="false"/>
                <w:color w:val="1A1A1A"/>
                <w:sz w:val="19"/>
                <w:szCs w:val="19"/>
              </w:rPr>
              <w:t xml:space="preserve">Log de auditoria de ações sensíveis (exclusão, ajuste manual de estoque, cancelamento de venda)</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RF-SEG-03</w:t>
            </w:r>
          </w:p>
        </w:tc>
        <w:tc>
          <w:tcPr>
            <w:tcW w:type="dxa" w:w="5800"/>
            <w:tcMar>
              <w:top w:type="dxa" w:w="90"/>
              <w:left w:type="dxa" w:w="110"/>
              <w:bottom w:type="dxa" w:w="90"/>
              <w:right w:type="dxa" w:w="110"/>
            </w:tcMar>
          </w:tcPr>
          <w:p>
            <w:r>
              <w:rPr>
                <w:b w:val="false"/>
                <w:bCs w:val="false"/>
                <w:color w:val="1A1A1A"/>
                <w:sz w:val="19"/>
                <w:szCs w:val="19"/>
              </w:rPr>
              <w:t xml:space="preserve">Notificações in-app para estoque baixo e fechamento de caixa pendente</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RF-SEG-04</w:t>
            </w:r>
          </w:p>
        </w:tc>
        <w:tc>
          <w:tcPr>
            <w:tcW w:type="dxa" w:w="5800"/>
            <w:tcMar>
              <w:top w:type="dxa" w:w="90"/>
              <w:left w:type="dxa" w:w="110"/>
              <w:bottom w:type="dxa" w:w="90"/>
              <w:right w:type="dxa" w:w="110"/>
            </w:tcMar>
          </w:tcPr>
          <w:p>
            <w:r>
              <w:rPr>
                <w:b w:val="false"/>
                <w:bCs w:val="false"/>
                <w:color w:val="1A1A1A"/>
                <w:sz w:val="19"/>
                <w:szCs w:val="19"/>
              </w:rPr>
              <w:t xml:space="preserve">Auditoria avançada com trilha completa exportável para compliance</w:t>
            </w:r>
          </w:p>
        </w:tc>
        <w:tc>
          <w:tcPr>
            <w:tcW w:type="dxa" w:w="20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7.14 Módulo: Configurações e Central Administrativa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2000"/>
      </w:tblGrid>
      <w:tr>
        <w:tc>
          <w:tcPr>
            <w:tcW w:type="dxa" w:w="1900"/>
            <w:shd w:fill="1A1A1A" w:val="clear"/>
            <w:tcMar>
              <w:top w:type="dxa" w:w="90"/>
              <w:left w:type="dxa" w:w="110"/>
              <w:bottom w:type="dxa" w:w="90"/>
              <w:right w:type="dxa" w:w="110"/>
            </w:tcMar>
          </w:tcPr>
          <w:p>
            <w:r>
              <w:rPr>
                <w:b/>
                <w:bCs/>
                <w:color w:val="FFFFFF"/>
                <w:sz w:val="19"/>
                <w:szCs w:val="19"/>
              </w:rPr>
              <w:t xml:space="preserve">ID</w:t>
            </w:r>
          </w:p>
        </w:tc>
        <w:tc>
          <w:tcPr>
            <w:tcW w:type="dxa" w:w="5800"/>
            <w:shd w:fill="1A1A1A" w:val="clear"/>
            <w:tcMar>
              <w:top w:type="dxa" w:w="90"/>
              <w:left w:type="dxa" w:w="110"/>
              <w:bottom w:type="dxa" w:w="90"/>
              <w:right w:type="dxa" w:w="110"/>
            </w:tcMar>
          </w:tcPr>
          <w:p>
            <w:r>
              <w:rPr>
                <w:b/>
                <w:bCs/>
                <w:color w:val="FFFFFF"/>
                <w:sz w:val="19"/>
                <w:szCs w:val="19"/>
              </w:rPr>
              <w:t xml:space="preserve">Requisito</w:t>
            </w:r>
          </w:p>
        </w:tc>
        <w:tc>
          <w:tcPr>
            <w:tcW w:type="dxa" w:w="2000"/>
            <w:shd w:fill="1A1A1A" w:val="clear"/>
            <w:tcMar>
              <w:top w:type="dxa" w:w="90"/>
              <w:left w:type="dxa" w:w="110"/>
              <w:bottom w:type="dxa" w:w="90"/>
              <w:right w:type="dxa" w:w="110"/>
            </w:tcMar>
          </w:tcPr>
          <w:p>
            <w:r>
              <w:rPr>
                <w:b/>
                <w:bCs/>
                <w:color w:val="FFFFFF"/>
                <w:sz w:val="19"/>
                <w:szCs w:val="19"/>
              </w:rPr>
              <w:t xml:space="preserve">Fase</w:t>
            </w:r>
          </w:p>
        </w:tc>
      </w:tr>
      <w:tr>
        <w:tc>
          <w:tcPr>
            <w:tcW w:type="dxa" w:w="1900"/>
            <w:tcMar>
              <w:top w:type="dxa" w:w="90"/>
              <w:left w:type="dxa" w:w="110"/>
              <w:bottom w:type="dxa" w:w="90"/>
              <w:right w:type="dxa" w:w="110"/>
            </w:tcMar>
          </w:tcPr>
          <w:p>
            <w:r>
              <w:rPr>
                <w:b w:val="false"/>
                <w:bCs w:val="false"/>
                <w:color w:val="1A1A1A"/>
                <w:sz w:val="19"/>
                <w:szCs w:val="19"/>
              </w:rPr>
              <w:t xml:space="preserve">RF-CFG-01</w:t>
            </w:r>
          </w:p>
        </w:tc>
        <w:tc>
          <w:tcPr>
            <w:tcW w:type="dxa" w:w="5800"/>
            <w:tcMar>
              <w:top w:type="dxa" w:w="90"/>
              <w:left w:type="dxa" w:w="110"/>
              <w:bottom w:type="dxa" w:w="90"/>
              <w:right w:type="dxa" w:w="110"/>
            </w:tcMar>
          </w:tcPr>
          <w:p>
            <w:r>
              <w:rPr>
                <w:b w:val="false"/>
                <w:bCs w:val="false"/>
                <w:color w:val="1A1A1A"/>
                <w:sz w:val="19"/>
                <w:szCs w:val="19"/>
              </w:rPr>
              <w:t xml:space="preserve">Configuração de dados do tenant (nome do negócio, CNPJ/CPF, segmento)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RF-CFG-02</w:t>
            </w:r>
          </w:p>
        </w:tc>
        <w:tc>
          <w:tcPr>
            <w:tcW w:type="dxa" w:w="5800"/>
            <w:tcMar>
              <w:top w:type="dxa" w:w="90"/>
              <w:left w:type="dxa" w:w="110"/>
              <w:bottom w:type="dxa" w:w="90"/>
              <w:right w:type="dxa" w:w="110"/>
            </w:tcMar>
          </w:tcPr>
          <w:p>
            <w:r>
              <w:rPr>
                <w:b w:val="false"/>
                <w:bCs w:val="false"/>
                <w:color w:val="1A1A1A"/>
                <w:sz w:val="19"/>
                <w:szCs w:val="19"/>
              </w:rPr>
              <w:t xml:space="preserve">Gestão de usuários e papéis do tenant</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RF-CFG-03</w:t>
            </w:r>
          </w:p>
        </w:tc>
        <w:tc>
          <w:tcPr>
            <w:tcW w:type="dxa" w:w="5800"/>
            <w:tcMar>
              <w:top w:type="dxa" w:w="90"/>
              <w:left w:type="dxa" w:w="110"/>
              <w:bottom w:type="dxa" w:w="90"/>
              <w:right w:type="dxa" w:w="110"/>
            </w:tcMar>
          </w:tcPr>
          <w:p>
            <w:r>
              <w:rPr>
                <w:b w:val="false"/>
                <w:bCs w:val="false"/>
                <w:color w:val="1A1A1A"/>
                <w:sz w:val="19"/>
                <w:szCs w:val="19"/>
              </w:rPr>
              <w:t xml:space="preserve">Painel administrativo RhoneyInc para suporte multi-tenant (uso interno)</w:t>
            </w:r>
          </w:p>
        </w:tc>
        <w:tc>
          <w:tcPr>
            <w:tcW w:type="dxa" w:w="2000"/>
            <w:tcMar>
              <w:top w:type="dxa" w:w="90"/>
              <w:left w:type="dxa" w:w="110"/>
              <w:bottom w:type="dxa" w:w="90"/>
              <w:right w:type="dxa" w:w="110"/>
            </w:tcMar>
          </w:tcPr>
          <w:p>
            <w:r>
              <w:rPr>
                <w:b w:val="false"/>
                <w:bCs w:val="false"/>
                <w:color w:val="1A1A1A"/>
                <w:sz w:val="19"/>
                <w:szCs w:val="19"/>
              </w:rPr>
              <w:t xml:space="preserve">MVP</w:t>
            </w:r>
          </w:p>
        </w:tc>
      </w:tr>
      <w:tr>
        <w:tc>
          <w:tcPr>
            <w:tcW w:type="dxa" w:w="1900"/>
            <w:tcMar>
              <w:top w:type="dxa" w:w="90"/>
              <w:left w:type="dxa" w:w="110"/>
              <w:bottom w:type="dxa" w:w="90"/>
              <w:right w:type="dxa" w:w="110"/>
            </w:tcMar>
          </w:tcPr>
          <w:p>
            <w:r>
              <w:rPr>
                <w:b w:val="false"/>
                <w:bCs w:val="false"/>
                <w:color w:val="1A1A1A"/>
                <w:sz w:val="19"/>
                <w:szCs w:val="19"/>
              </w:rPr>
              <w:t xml:space="preserve">RF-CFG-04</w:t>
            </w:r>
          </w:p>
        </w:tc>
        <w:tc>
          <w:tcPr>
            <w:tcW w:type="dxa" w:w="5800"/>
            <w:tcMar>
              <w:top w:type="dxa" w:w="90"/>
              <w:left w:type="dxa" w:w="110"/>
              <w:bottom w:type="dxa" w:w="90"/>
              <w:right w:type="dxa" w:w="110"/>
            </w:tcMar>
          </w:tcPr>
          <w:p>
            <w:r>
              <w:rPr>
                <w:b w:val="false"/>
                <w:bCs w:val="false"/>
                <w:color w:val="1A1A1A"/>
                <w:sz w:val="19"/>
                <w:szCs w:val="19"/>
              </w:rPr>
              <w:t xml:space="preserve">Configuração de integrações externas (fiscal, contábil)</w:t>
            </w:r>
          </w:p>
        </w:tc>
        <w:tc>
          <w:tcPr>
            <w:tcW w:type="dxa" w:w="20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8</w:t>
      </w:r>
      <w:r>
        <w:t xml:space="preserve">  </w:t>
      </w:r>
    </w:p>
    <w:p>
      <w:pPr>
        <w:pStyle w:val="Heading1"/>
        <w:spacing w:after="280" w:before="0"/>
      </w:pPr>
      <w:r>
        <w:rPr>
          <w:b/>
          <w:bCs/>
          <w:color w:val="1A1A1A"/>
          <w:sz w:val="36"/>
          <w:szCs w:val="36"/>
        </w:rPr>
        <w:t xml:space="preserve">Dashboard Executivo</w:t>
      </w:r>
    </w:p>
    <w:p>
      <w:pPr>
        <w:pStyle w:val="Heading2"/>
        <w:spacing w:after="140" w:before="320"/>
      </w:pPr>
      <w:r>
        <w:rPr>
          <w:b/>
          <w:bCs/>
          <w:color w:val="B8860B"/>
          <w:sz w:val="26"/>
          <w:szCs w:val="26"/>
        </w:rPr>
        <w:t xml:space="preserve">8.1 Objetivo</w:t>
      </w:r>
    </w:p>
    <w:p>
      <w:pPr>
        <w:spacing w:after="140" w:line="300"/>
      </w:pPr>
      <w:r>
        <w:rPr>
          <w:sz w:val="21"/>
          <w:szCs w:val="21"/>
        </w:rPr>
        <w:t xml:space="preserve">O Dashboard Executivo é a tela inicial do VendeFlex para o papel de dono/gestor — deve responder, em poucos segundos, à pergunta "como está meu negócio agora?", sem exigir navegação por múltiplos relatórios.</w:t>
      </w:r>
    </w:p>
    <w:p>
      <w:pPr>
        <w:pStyle w:val="Heading2"/>
        <w:spacing w:after="140" w:before="320"/>
      </w:pPr>
      <w:r>
        <w:rPr>
          <w:b/>
          <w:bCs/>
          <w:color w:val="B8860B"/>
          <w:sz w:val="26"/>
          <w:szCs w:val="26"/>
        </w:rPr>
        <w:t xml:space="preserve">8.2 Filtros de Período</w:t>
      </w:r>
    </w:p>
    <w:p>
      <w:pPr>
        <w:spacing w:after="140" w:line="300"/>
      </w:pPr>
      <w:r>
        <w:rPr>
          <w:sz w:val="21"/>
          <w:szCs w:val="21"/>
        </w:rPr>
        <w:t xml:space="preserve">Todo indicador do dashboard pode ser visualizado nos seguintes recortes de tempo, com o período "Hoje" como padrão ao abrir o sistema:</w:t>
      </w:r>
    </w:p>
    <w:p>
      <w:pPr>
        <w:pStyle w:val="ListParagraph"/>
        <w:numPr>
          <w:ilvl w:val="0"/>
          <w:numId w:val="3"/>
        </w:numPr>
        <w:spacing w:after="70"/>
      </w:pPr>
      <w:r>
        <w:rPr>
          <w:sz w:val="21"/>
          <w:szCs w:val="21"/>
        </w:rPr>
        <w:t xml:space="preserve">Hoje</w:t>
      </w:r>
    </w:p>
    <w:p>
      <w:pPr>
        <w:pStyle w:val="ListParagraph"/>
        <w:numPr>
          <w:ilvl w:val="0"/>
          <w:numId w:val="3"/>
        </w:numPr>
        <w:spacing w:after="70"/>
      </w:pPr>
      <w:r>
        <w:rPr>
          <w:sz w:val="21"/>
          <w:szCs w:val="21"/>
        </w:rPr>
        <w:t xml:space="preserve">Ontem</w:t>
      </w:r>
    </w:p>
    <w:p>
      <w:pPr>
        <w:pStyle w:val="ListParagraph"/>
        <w:numPr>
          <w:ilvl w:val="0"/>
          <w:numId w:val="3"/>
        </w:numPr>
        <w:spacing w:after="70"/>
      </w:pPr>
      <w:r>
        <w:rPr>
          <w:sz w:val="21"/>
          <w:szCs w:val="21"/>
        </w:rPr>
        <w:t xml:space="preserve">Semana (últimos 7 dias e semana corrente)</w:t>
      </w:r>
    </w:p>
    <w:p>
      <w:pPr>
        <w:pStyle w:val="ListParagraph"/>
        <w:numPr>
          <w:ilvl w:val="0"/>
          <w:numId w:val="3"/>
        </w:numPr>
        <w:spacing w:after="70"/>
      </w:pPr>
      <w:r>
        <w:rPr>
          <w:sz w:val="21"/>
          <w:szCs w:val="21"/>
        </w:rPr>
        <w:t xml:space="preserve">Mês (mês corrente e últimos 30 dias)</w:t>
      </w:r>
    </w:p>
    <w:p>
      <w:pPr>
        <w:pStyle w:val="ListParagraph"/>
        <w:numPr>
          <w:ilvl w:val="0"/>
          <w:numId w:val="3"/>
        </w:numPr>
        <w:spacing w:after="70"/>
      </w:pPr>
      <w:r>
        <w:rPr>
          <w:sz w:val="21"/>
          <w:szCs w:val="21"/>
        </w:rPr>
        <w:t xml:space="preserve">Ano (ano corrente)</w:t>
      </w:r>
    </w:p>
    <w:p>
      <w:pPr>
        <w:pStyle w:val="ListParagraph"/>
        <w:numPr>
          <w:ilvl w:val="0"/>
          <w:numId w:val="3"/>
        </w:numPr>
        <w:spacing w:after="70"/>
      </w:pPr>
      <w:r>
        <w:rPr>
          <w:sz w:val="21"/>
          <w:szCs w:val="21"/>
        </w:rPr>
        <w:t xml:space="preserve">Período customizado (intervalo de datas livre)</w:t>
      </w:r>
    </w:p>
    <w:p>
      <w:pPr>
        <w:pStyle w:val="Heading2"/>
        <w:spacing w:after="140" w:before="320"/>
      </w:pPr>
      <w:r>
        <w:rPr>
          <w:b/>
          <w:bCs/>
          <w:color w:val="B8860B"/>
          <w:sz w:val="26"/>
          <w:szCs w:val="26"/>
        </w:rPr>
        <w:t xml:space="preserve">8.3 Indicadores Principais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Indicador</w:t>
            </w:r>
          </w:p>
        </w:tc>
        <w:tc>
          <w:tcPr>
            <w:tcW w:type="dxa" w:w="7300"/>
            <w:shd w:fill="1A1A1A" w:val="clear"/>
            <w:tcMar>
              <w:top w:type="dxa" w:w="90"/>
              <w:left w:type="dxa" w:w="110"/>
              <w:bottom w:type="dxa" w:w="90"/>
              <w:right w:type="dxa" w:w="110"/>
            </w:tcMar>
          </w:tcPr>
          <w:p>
            <w:r>
              <w:rPr>
                <w:b/>
                <w:bCs/>
                <w:color w:val="FFFFFF"/>
                <w:sz w:val="19"/>
                <w:szCs w:val="19"/>
              </w:rPr>
              <w:t xml:space="preserve">Descrição</w:t>
            </w:r>
          </w:p>
        </w:tc>
      </w:tr>
      <w:tr>
        <w:tc>
          <w:tcPr>
            <w:tcW w:type="dxa" w:w="2200"/>
            <w:tcMar>
              <w:top w:type="dxa" w:w="90"/>
              <w:left w:type="dxa" w:w="110"/>
              <w:bottom w:type="dxa" w:w="90"/>
              <w:right w:type="dxa" w:w="110"/>
            </w:tcMar>
          </w:tcPr>
          <w:p>
            <w:r>
              <w:rPr>
                <w:b w:val="false"/>
                <w:bCs w:val="false"/>
                <w:color w:val="1A1A1A"/>
                <w:sz w:val="19"/>
                <w:szCs w:val="19"/>
              </w:rPr>
              <w:t xml:space="preserve">Faturamento</w:t>
            </w:r>
          </w:p>
        </w:tc>
        <w:tc>
          <w:tcPr>
            <w:tcW w:type="dxa" w:w="7300"/>
            <w:tcMar>
              <w:top w:type="dxa" w:w="90"/>
              <w:left w:type="dxa" w:w="110"/>
              <w:bottom w:type="dxa" w:w="90"/>
              <w:right w:type="dxa" w:w="110"/>
            </w:tcMar>
          </w:tcPr>
          <w:p>
            <w:r>
              <w:rPr>
                <w:b w:val="false"/>
                <w:bCs w:val="false"/>
                <w:color w:val="1A1A1A"/>
                <w:sz w:val="19"/>
                <w:szCs w:val="19"/>
              </w:rPr>
              <w:t xml:space="preserve">Soma do valor de vendas no período selecionado</w:t>
            </w:r>
          </w:p>
        </w:tc>
      </w:tr>
      <w:tr>
        <w:tc>
          <w:tcPr>
            <w:tcW w:type="dxa" w:w="2200"/>
            <w:tcMar>
              <w:top w:type="dxa" w:w="90"/>
              <w:left w:type="dxa" w:w="110"/>
              <w:bottom w:type="dxa" w:w="90"/>
              <w:right w:type="dxa" w:w="110"/>
            </w:tcMar>
          </w:tcPr>
          <w:p>
            <w:r>
              <w:rPr>
                <w:b w:val="false"/>
                <w:bCs w:val="false"/>
                <w:color w:val="1A1A1A"/>
                <w:sz w:val="19"/>
                <w:szCs w:val="19"/>
              </w:rPr>
              <w:t xml:space="preserve">Lucro</w:t>
            </w:r>
          </w:p>
        </w:tc>
        <w:tc>
          <w:tcPr>
            <w:tcW w:type="dxa" w:w="7300"/>
            <w:tcMar>
              <w:top w:type="dxa" w:w="90"/>
              <w:left w:type="dxa" w:w="110"/>
              <w:bottom w:type="dxa" w:w="90"/>
              <w:right w:type="dxa" w:w="110"/>
            </w:tcMar>
          </w:tcPr>
          <w:p>
            <w:r>
              <w:rPr>
                <w:b w:val="false"/>
                <w:bCs w:val="false"/>
                <w:color w:val="1A1A1A"/>
                <w:sz w:val="19"/>
                <w:szCs w:val="19"/>
              </w:rPr>
              <w:t xml:space="preserve">Faturamento menos custo dos produtos vendidos no período</w:t>
            </w:r>
          </w:p>
        </w:tc>
      </w:tr>
      <w:tr>
        <w:tc>
          <w:tcPr>
            <w:tcW w:type="dxa" w:w="2200"/>
            <w:tcMar>
              <w:top w:type="dxa" w:w="90"/>
              <w:left w:type="dxa" w:w="110"/>
              <w:bottom w:type="dxa" w:w="90"/>
              <w:right w:type="dxa" w:w="110"/>
            </w:tcMar>
          </w:tcPr>
          <w:p>
            <w:r>
              <w:rPr>
                <w:b w:val="false"/>
                <w:bCs w:val="false"/>
                <w:color w:val="1A1A1A"/>
                <w:sz w:val="19"/>
                <w:szCs w:val="19"/>
              </w:rPr>
              <w:t xml:space="preserve">Margem</w:t>
            </w:r>
          </w:p>
        </w:tc>
        <w:tc>
          <w:tcPr>
            <w:tcW w:type="dxa" w:w="7300"/>
            <w:tcMar>
              <w:top w:type="dxa" w:w="90"/>
              <w:left w:type="dxa" w:w="110"/>
              <w:bottom w:type="dxa" w:w="90"/>
              <w:right w:type="dxa" w:w="110"/>
            </w:tcMar>
          </w:tcPr>
          <w:p>
            <w:r>
              <w:rPr>
                <w:b w:val="false"/>
                <w:bCs w:val="false"/>
                <w:color w:val="1A1A1A"/>
                <w:sz w:val="19"/>
                <w:szCs w:val="19"/>
              </w:rPr>
              <w:t xml:space="preserve">Lucro dividido pelo faturamento, em percentual</w:t>
            </w:r>
          </w:p>
        </w:tc>
      </w:tr>
      <w:tr>
        <w:tc>
          <w:tcPr>
            <w:tcW w:type="dxa" w:w="2200"/>
            <w:tcMar>
              <w:top w:type="dxa" w:w="90"/>
              <w:left w:type="dxa" w:w="110"/>
              <w:bottom w:type="dxa" w:w="90"/>
              <w:right w:type="dxa" w:w="110"/>
            </w:tcMar>
          </w:tcPr>
          <w:p>
            <w:r>
              <w:rPr>
                <w:b w:val="false"/>
                <w:bCs w:val="false"/>
                <w:color w:val="1A1A1A"/>
                <w:sz w:val="19"/>
                <w:szCs w:val="19"/>
              </w:rPr>
              <w:t xml:space="preserve">Ticket médio</w:t>
            </w:r>
          </w:p>
        </w:tc>
        <w:tc>
          <w:tcPr>
            <w:tcW w:type="dxa" w:w="7300"/>
            <w:tcMar>
              <w:top w:type="dxa" w:w="90"/>
              <w:left w:type="dxa" w:w="110"/>
              <w:bottom w:type="dxa" w:w="90"/>
              <w:right w:type="dxa" w:w="110"/>
            </w:tcMar>
          </w:tcPr>
          <w:p>
            <w:r>
              <w:rPr>
                <w:b w:val="false"/>
                <w:bCs w:val="false"/>
                <w:color w:val="1A1A1A"/>
                <w:sz w:val="19"/>
                <w:szCs w:val="19"/>
              </w:rPr>
              <w:t xml:space="preserve">Faturamento dividido pelo número de vendas do período</w:t>
            </w:r>
          </w:p>
        </w:tc>
      </w:tr>
      <w:tr>
        <w:tc>
          <w:tcPr>
            <w:tcW w:type="dxa" w:w="2200"/>
            <w:tcMar>
              <w:top w:type="dxa" w:w="90"/>
              <w:left w:type="dxa" w:w="110"/>
              <w:bottom w:type="dxa" w:w="90"/>
              <w:right w:type="dxa" w:w="110"/>
            </w:tcMar>
          </w:tcPr>
          <w:p>
            <w:r>
              <w:rPr>
                <w:b w:val="false"/>
                <w:bCs w:val="false"/>
                <w:color w:val="1A1A1A"/>
                <w:sz w:val="19"/>
                <w:szCs w:val="19"/>
              </w:rPr>
              <w:t xml:space="preserve">Meta</w:t>
            </w:r>
          </w:p>
        </w:tc>
        <w:tc>
          <w:tcPr>
            <w:tcW w:type="dxa" w:w="7300"/>
            <w:tcMar>
              <w:top w:type="dxa" w:w="90"/>
              <w:left w:type="dxa" w:w="110"/>
              <w:bottom w:type="dxa" w:w="90"/>
              <w:right w:type="dxa" w:w="110"/>
            </w:tcMar>
          </w:tcPr>
          <w:p>
            <w:r>
              <w:rPr>
                <w:b w:val="false"/>
                <w:bCs w:val="false"/>
                <w:color w:val="1A1A1A"/>
                <w:sz w:val="19"/>
                <w:szCs w:val="19"/>
              </w:rPr>
              <w:t xml:space="preserve">Progresso do faturamento/lucro em relação à meta configurada para o período</w:t>
            </w:r>
          </w:p>
        </w:tc>
      </w:tr>
      <w:tr>
        <w:tc>
          <w:tcPr>
            <w:tcW w:type="dxa" w:w="2200"/>
            <w:tcMar>
              <w:top w:type="dxa" w:w="90"/>
              <w:left w:type="dxa" w:w="110"/>
              <w:bottom w:type="dxa" w:w="90"/>
              <w:right w:type="dxa" w:w="110"/>
            </w:tcMar>
          </w:tcPr>
          <w:p>
            <w:r>
              <w:rPr>
                <w:b w:val="false"/>
                <w:bCs w:val="false"/>
                <w:color w:val="1A1A1A"/>
                <w:sz w:val="19"/>
                <w:szCs w:val="19"/>
              </w:rPr>
              <w:t xml:space="preserve">Clientes ativos</w:t>
            </w:r>
          </w:p>
        </w:tc>
        <w:tc>
          <w:tcPr>
            <w:tcW w:type="dxa" w:w="7300"/>
            <w:tcMar>
              <w:top w:type="dxa" w:w="90"/>
              <w:left w:type="dxa" w:w="110"/>
              <w:bottom w:type="dxa" w:w="90"/>
              <w:right w:type="dxa" w:w="110"/>
            </w:tcMar>
          </w:tcPr>
          <w:p>
            <w:r>
              <w:rPr>
                <w:b w:val="false"/>
                <w:bCs w:val="false"/>
                <w:color w:val="1A1A1A"/>
                <w:sz w:val="19"/>
                <w:szCs w:val="19"/>
              </w:rPr>
              <w:t xml:space="preserve">Número de clientes distintos que compraram no período (requer módulo CRM, V2)</w:t>
            </w:r>
          </w:p>
        </w:tc>
      </w:tr>
      <w:tr>
        <w:tc>
          <w:tcPr>
            <w:tcW w:type="dxa" w:w="2200"/>
            <w:tcMar>
              <w:top w:type="dxa" w:w="90"/>
              <w:left w:type="dxa" w:w="110"/>
              <w:bottom w:type="dxa" w:w="90"/>
              <w:right w:type="dxa" w:w="110"/>
            </w:tcMar>
          </w:tcPr>
          <w:p>
            <w:r>
              <w:rPr>
                <w:b w:val="false"/>
                <w:bCs w:val="false"/>
                <w:color w:val="1A1A1A"/>
                <w:sz w:val="19"/>
                <w:szCs w:val="19"/>
              </w:rPr>
              <w:t xml:space="preserve">Comparativo com período anterior</w:t>
            </w:r>
          </w:p>
        </w:tc>
        <w:tc>
          <w:tcPr>
            <w:tcW w:type="dxa" w:w="7300"/>
            <w:tcMar>
              <w:top w:type="dxa" w:w="90"/>
              <w:left w:type="dxa" w:w="110"/>
              <w:bottom w:type="dxa" w:w="90"/>
              <w:right w:type="dxa" w:w="110"/>
            </w:tcMar>
          </w:tcPr>
          <w:p>
            <w:r>
              <w:rPr>
                <w:b w:val="false"/>
                <w:bCs w:val="false"/>
                <w:color w:val="1A1A1A"/>
                <w:sz w:val="19"/>
                <w:szCs w:val="19"/>
              </w:rPr>
              <w:t xml:space="preserve">Variação percentual de faturamento e lucro frente ao período equivalente anterior</w:t>
            </w:r>
          </w:p>
        </w:tc>
      </w:tr>
    </w:tbl>
    <w:p>
      <w:pPr>
        <w:pStyle w:val="Heading2"/>
        <w:spacing w:after="140" w:before="320"/>
      </w:pPr>
      <w:r>
        <w:rPr>
          <w:b/>
          <w:bCs/>
          <w:color w:val="B8860B"/>
          <w:sz w:val="26"/>
          <w:szCs w:val="26"/>
        </w:rPr>
        <w:t xml:space="preserve">8.4 Indicadores de Produto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Indicador</w:t>
            </w:r>
          </w:p>
        </w:tc>
        <w:tc>
          <w:tcPr>
            <w:tcW w:type="dxa" w:w="7300"/>
            <w:shd w:fill="1A1A1A" w:val="clear"/>
            <w:tcMar>
              <w:top w:type="dxa" w:w="90"/>
              <w:left w:type="dxa" w:w="110"/>
              <w:bottom w:type="dxa" w:w="90"/>
              <w:right w:type="dxa" w:w="110"/>
            </w:tcMar>
          </w:tcPr>
          <w:p>
            <w:r>
              <w:rPr>
                <w:b/>
                <w:bCs/>
                <w:color w:val="FFFFFF"/>
                <w:sz w:val="19"/>
                <w:szCs w:val="19"/>
              </w:rPr>
              <w:t xml:space="preserve">Descrição</w:t>
            </w:r>
          </w:p>
        </w:tc>
      </w:tr>
      <w:tr>
        <w:tc>
          <w:tcPr>
            <w:tcW w:type="dxa" w:w="2200"/>
            <w:tcMar>
              <w:top w:type="dxa" w:w="90"/>
              <w:left w:type="dxa" w:w="110"/>
              <w:bottom w:type="dxa" w:w="90"/>
              <w:right w:type="dxa" w:w="110"/>
            </w:tcMar>
          </w:tcPr>
          <w:p>
            <w:r>
              <w:rPr>
                <w:b w:val="false"/>
                <w:bCs w:val="false"/>
                <w:color w:val="1A1A1A"/>
                <w:sz w:val="19"/>
                <w:szCs w:val="19"/>
              </w:rPr>
              <w:t xml:space="preserve">Produtos mais vendidos</w:t>
            </w:r>
          </w:p>
        </w:tc>
        <w:tc>
          <w:tcPr>
            <w:tcW w:type="dxa" w:w="7300"/>
            <w:tcMar>
              <w:top w:type="dxa" w:w="90"/>
              <w:left w:type="dxa" w:w="110"/>
              <w:bottom w:type="dxa" w:w="90"/>
              <w:right w:type="dxa" w:w="110"/>
            </w:tcMar>
          </w:tcPr>
          <w:p>
            <w:r>
              <w:rPr>
                <w:b w:val="false"/>
                <w:bCs w:val="false"/>
                <w:color w:val="1A1A1A"/>
                <w:sz w:val="19"/>
                <w:szCs w:val="19"/>
              </w:rPr>
              <w:t xml:space="preserve">Ranking por quantidade vendida no período</w:t>
            </w:r>
          </w:p>
        </w:tc>
      </w:tr>
      <w:tr>
        <w:tc>
          <w:tcPr>
            <w:tcW w:type="dxa" w:w="2200"/>
            <w:tcMar>
              <w:top w:type="dxa" w:w="90"/>
              <w:left w:type="dxa" w:w="110"/>
              <w:bottom w:type="dxa" w:w="90"/>
              <w:right w:type="dxa" w:w="110"/>
            </w:tcMar>
          </w:tcPr>
          <w:p>
            <w:r>
              <w:rPr>
                <w:b w:val="false"/>
                <w:bCs w:val="false"/>
                <w:color w:val="1A1A1A"/>
                <w:sz w:val="19"/>
                <w:szCs w:val="19"/>
              </w:rPr>
              <w:t xml:space="preserve">Produtos mais lucrativos</w:t>
            </w:r>
          </w:p>
        </w:tc>
        <w:tc>
          <w:tcPr>
            <w:tcW w:type="dxa" w:w="7300"/>
            <w:tcMar>
              <w:top w:type="dxa" w:w="90"/>
              <w:left w:type="dxa" w:w="110"/>
              <w:bottom w:type="dxa" w:w="90"/>
              <w:right w:type="dxa" w:w="110"/>
            </w:tcMar>
          </w:tcPr>
          <w:p>
            <w:r>
              <w:rPr>
                <w:b w:val="false"/>
                <w:bCs w:val="false"/>
                <w:color w:val="1A1A1A"/>
                <w:sz w:val="19"/>
                <w:szCs w:val="19"/>
              </w:rPr>
              <w:t xml:space="preserve">Ranking por lucro absoluto gerado no período</w:t>
            </w:r>
          </w:p>
        </w:tc>
      </w:tr>
      <w:tr>
        <w:tc>
          <w:tcPr>
            <w:tcW w:type="dxa" w:w="2200"/>
            <w:tcMar>
              <w:top w:type="dxa" w:w="90"/>
              <w:left w:type="dxa" w:w="110"/>
              <w:bottom w:type="dxa" w:w="90"/>
              <w:right w:type="dxa" w:w="110"/>
            </w:tcMar>
          </w:tcPr>
          <w:p>
            <w:r>
              <w:rPr>
                <w:b w:val="false"/>
                <w:bCs w:val="false"/>
                <w:color w:val="1A1A1A"/>
                <w:sz w:val="19"/>
                <w:szCs w:val="19"/>
              </w:rPr>
              <w:t xml:space="preserve">Produtos sem venda</w:t>
            </w:r>
          </w:p>
        </w:tc>
        <w:tc>
          <w:tcPr>
            <w:tcW w:type="dxa" w:w="7300"/>
            <w:tcMar>
              <w:top w:type="dxa" w:w="90"/>
              <w:left w:type="dxa" w:w="110"/>
              <w:bottom w:type="dxa" w:w="90"/>
              <w:right w:type="dxa" w:w="110"/>
            </w:tcMar>
          </w:tcPr>
          <w:p>
            <w:r>
              <w:rPr>
                <w:b w:val="false"/>
                <w:bCs w:val="false"/>
                <w:color w:val="1A1A1A"/>
                <w:sz w:val="19"/>
                <w:szCs w:val="19"/>
              </w:rPr>
              <w:t xml:space="preserve">Produtos ativos sem nenhuma venda registrada no período — sinal de baixo giro ou problema de exposição</w:t>
            </w:r>
          </w:p>
        </w:tc>
      </w:tr>
      <w:tr>
        <w:tc>
          <w:tcPr>
            <w:tcW w:type="dxa" w:w="2200"/>
            <w:tcMar>
              <w:top w:type="dxa" w:w="90"/>
              <w:left w:type="dxa" w:w="110"/>
              <w:bottom w:type="dxa" w:w="90"/>
              <w:right w:type="dxa" w:w="110"/>
            </w:tcMar>
          </w:tcPr>
          <w:p>
            <w:r>
              <w:rPr>
                <w:b w:val="false"/>
                <w:bCs w:val="false"/>
                <w:color w:val="1A1A1A"/>
                <w:sz w:val="19"/>
                <w:szCs w:val="19"/>
              </w:rPr>
              <w:t xml:space="preserve">Produtos acabando</w:t>
            </w:r>
          </w:p>
        </w:tc>
        <w:tc>
          <w:tcPr>
            <w:tcW w:type="dxa" w:w="7300"/>
            <w:tcMar>
              <w:top w:type="dxa" w:w="90"/>
              <w:left w:type="dxa" w:w="110"/>
              <w:bottom w:type="dxa" w:w="90"/>
              <w:right w:type="dxa" w:w="110"/>
            </w:tcMar>
          </w:tcPr>
          <w:p>
            <w:r>
              <w:rPr>
                <w:b w:val="false"/>
                <w:bCs w:val="false"/>
                <w:color w:val="1A1A1A"/>
                <w:sz w:val="19"/>
                <w:szCs w:val="19"/>
              </w:rPr>
              <w:t xml:space="preserve">Produtos abaixo ou próximos da quantidade mínima de estoque configurada</w:t>
            </w:r>
          </w:p>
        </w:tc>
      </w:tr>
    </w:tbl>
    <w:p>
      <w:pPr>
        <w:pStyle w:val="Heading2"/>
        <w:spacing w:after="140" w:before="320"/>
      </w:pPr>
      <w:r>
        <w:rPr>
          <w:b/>
          <w:bCs/>
          <w:color w:val="B8860B"/>
          <w:sz w:val="26"/>
          <w:szCs w:val="26"/>
        </w:rPr>
        <w:t xml:space="preserve">8.5 Indicadores de Equipe e Filial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Indicador</w:t>
            </w:r>
          </w:p>
        </w:tc>
        <w:tc>
          <w:tcPr>
            <w:tcW w:type="dxa" w:w="7300"/>
            <w:shd w:fill="1A1A1A" w:val="clear"/>
            <w:tcMar>
              <w:top w:type="dxa" w:w="90"/>
              <w:left w:type="dxa" w:w="110"/>
              <w:bottom w:type="dxa" w:w="90"/>
              <w:right w:type="dxa" w:w="110"/>
            </w:tcMar>
          </w:tcPr>
          <w:p>
            <w:r>
              <w:rPr>
                <w:b/>
                <w:bCs/>
                <w:color w:val="FFFFFF"/>
                <w:sz w:val="19"/>
                <w:szCs w:val="19"/>
              </w:rPr>
              <w:t xml:space="preserve">Descrição</w:t>
            </w:r>
          </w:p>
        </w:tc>
      </w:tr>
      <w:tr>
        <w:tc>
          <w:tcPr>
            <w:tcW w:type="dxa" w:w="2200"/>
            <w:tcMar>
              <w:top w:type="dxa" w:w="90"/>
              <w:left w:type="dxa" w:w="110"/>
              <w:bottom w:type="dxa" w:w="90"/>
              <w:right w:type="dxa" w:w="110"/>
            </w:tcMar>
          </w:tcPr>
          <w:p>
            <w:r>
              <w:rPr>
                <w:b w:val="false"/>
                <w:bCs w:val="false"/>
                <w:color w:val="1A1A1A"/>
                <w:sz w:val="19"/>
                <w:szCs w:val="19"/>
              </w:rPr>
              <w:t xml:space="preserve">Vendedor destaque</w:t>
            </w:r>
          </w:p>
        </w:tc>
        <w:tc>
          <w:tcPr>
            <w:tcW w:type="dxa" w:w="7300"/>
            <w:tcMar>
              <w:top w:type="dxa" w:w="90"/>
              <w:left w:type="dxa" w:w="110"/>
              <w:bottom w:type="dxa" w:w="90"/>
              <w:right w:type="dxa" w:w="110"/>
            </w:tcMar>
          </w:tcPr>
          <w:p>
            <w:r>
              <w:rPr>
                <w:b w:val="false"/>
                <w:bCs w:val="false"/>
                <w:color w:val="1A1A1A"/>
                <w:sz w:val="19"/>
                <w:szCs w:val="19"/>
              </w:rPr>
              <w:t xml:space="preserve">Vendedor com maior faturamento ou melhor atingimento de meta no período (requer módulo Metas, V2)</w:t>
            </w:r>
          </w:p>
        </w:tc>
      </w:tr>
      <w:tr>
        <w:tc>
          <w:tcPr>
            <w:tcW w:type="dxa" w:w="2200"/>
            <w:tcMar>
              <w:top w:type="dxa" w:w="90"/>
              <w:left w:type="dxa" w:w="110"/>
              <w:bottom w:type="dxa" w:w="90"/>
              <w:right w:type="dxa" w:w="110"/>
            </w:tcMar>
          </w:tcPr>
          <w:p>
            <w:r>
              <w:rPr>
                <w:b w:val="false"/>
                <w:bCs w:val="false"/>
                <w:color w:val="1A1A1A"/>
                <w:sz w:val="19"/>
                <w:szCs w:val="19"/>
              </w:rPr>
              <w:t xml:space="preserve">Filial destaque</w:t>
            </w:r>
          </w:p>
        </w:tc>
        <w:tc>
          <w:tcPr>
            <w:tcW w:type="dxa" w:w="7300"/>
            <w:tcMar>
              <w:top w:type="dxa" w:w="90"/>
              <w:left w:type="dxa" w:w="110"/>
              <w:bottom w:type="dxa" w:w="90"/>
              <w:right w:type="dxa" w:w="110"/>
            </w:tcMar>
          </w:tcPr>
          <w:p>
            <w:r>
              <w:rPr>
                <w:b w:val="false"/>
                <w:bCs w:val="false"/>
                <w:color w:val="1A1A1A"/>
                <w:sz w:val="19"/>
                <w:szCs w:val="19"/>
              </w:rPr>
              <w:t xml:space="preserve">Filial com melhor desempenho relativo, para tenants com múltiplas filiais (V2)</w:t>
            </w:r>
          </w:p>
        </w:tc>
      </w:tr>
    </w:tbl>
    <w:p>
      <w:pPr>
        <w:pStyle w:val="Heading2"/>
        <w:spacing w:after="140" w:before="320"/>
      </w:pPr>
      <w:r>
        <w:rPr>
          <w:b/>
          <w:bCs/>
          <w:color w:val="B8860B"/>
          <w:sz w:val="26"/>
          <w:szCs w:val="26"/>
        </w:rPr>
        <w:t xml:space="preserve">8.6 Layout e Priorização Visual</w:t>
      </w:r>
    </w:p>
    <w:p>
      <w:pPr>
        <w:pStyle w:val="ListParagraph"/>
        <w:numPr>
          <w:ilvl w:val="0"/>
          <w:numId w:val="3"/>
        </w:numPr>
        <w:spacing w:after="70"/>
      </w:pPr>
      <w:r>
        <w:rPr>
          <w:sz w:val="21"/>
          <w:szCs w:val="21"/>
        </w:rPr>
        <w:t xml:space="preserve">Faturamento, Lucro, Margem e Ticket médio no topo, sempre visíveis sem rolagem, por serem os indicadores de leitura mais frequente.</w:t>
      </w:r>
    </w:p>
    <w:p>
      <w:pPr>
        <w:pStyle w:val="ListParagraph"/>
        <w:numPr>
          <w:ilvl w:val="0"/>
          <w:numId w:val="3"/>
        </w:numPr>
        <w:spacing w:after="70"/>
      </w:pPr>
      <w:r>
        <w:rPr>
          <w:sz w:val="21"/>
          <w:szCs w:val="21"/>
        </w:rPr>
        <w:t xml:space="preserve">Alertas acionáveis (produtos acabando, meta em risco) destacados visualmente, com atalho direto para a tela relevante.</w:t>
      </w:r>
    </w:p>
    <w:p>
      <w:pPr>
        <w:pStyle w:val="ListParagraph"/>
        <w:numPr>
          <w:ilvl w:val="0"/>
          <w:numId w:val="3"/>
        </w:numPr>
        <w:spacing w:after="70"/>
      </w:pPr>
      <w:r>
        <w:rPr>
          <w:sz w:val="21"/>
          <w:szCs w:val="21"/>
        </w:rPr>
        <w:t xml:space="preserve">Rankings (produtos mais vendidos/lucrativos, vendedor destaque) em formato de lista compacta, com opção de expandir para o relatório completo.</w:t>
      </w:r>
    </w:p>
    <w:p>
      <w:pPr>
        <w:pStyle w:val="ListParagraph"/>
        <w:numPr>
          <w:ilvl w:val="0"/>
          <w:numId w:val="3"/>
        </w:numPr>
        <w:spacing w:after="70"/>
      </w:pPr>
      <w:r>
        <w:rPr>
          <w:sz w:val="21"/>
          <w:szCs w:val="21"/>
        </w:rPr>
        <w:t xml:space="preserve">No mobile, os indicadores principais aparecem em formato de cards roláveis horizontalmente, priorizando os quatro indicadores do topo.</w:t>
      </w:r>
    </w:p>
    <w:p>
      <w:pPr>
        <w:pStyle w:val="Heading2"/>
        <w:spacing w:after="140" w:before="320"/>
      </w:pPr>
      <w:r>
        <w:rPr>
          <w:b/>
          <w:bCs/>
          <w:color w:val="B8860B"/>
          <w:sz w:val="26"/>
          <w:szCs w:val="26"/>
        </w:rPr>
        <w:t xml:space="preserve">8.7 Papel da IA no Dashboard</w:t>
      </w:r>
    </w:p>
    <w:p>
      <w:pPr>
        <w:spacing w:after="140" w:line="300"/>
      </w:pPr>
      <w:r>
        <w:rPr>
          <w:sz w:val="21"/>
          <w:szCs w:val="21"/>
        </w:rPr>
        <w:t xml:space="preserve">A partir da fase V3, o dashboard incorpora insights automáticos gerados por IA (detalhados no Capítulo 13), como observações textuais destacando tendências relevantes que não seriam óbvias apenas nos números brutos — por exemplo, uma categoria com margem em queda sustentada ao longo de semanas.</w:t>
      </w:r>
    </w:p>
    <w:p>
      <w:pPr>
        <w:pStyle w:val="Heading2"/>
        <w:spacing w:after="140" w:before="320"/>
      </w:pPr>
      <w:r>
        <w:rPr>
          <w:b/>
          <w:bCs/>
          <w:color w:val="B8860B"/>
          <w:sz w:val="26"/>
          <w:szCs w:val="26"/>
        </w:rPr>
        <w:t xml:space="preserve">8.8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RF-DSH-01</w:t>
            </w:r>
          </w:p>
        </w:tc>
        <w:tc>
          <w:tcPr>
            <w:tcW w:type="dxa" w:w="5300"/>
            <w:tcMar>
              <w:top w:type="dxa" w:w="90"/>
              <w:left w:type="dxa" w:w="110"/>
              <w:bottom w:type="dxa" w:w="90"/>
              <w:right w:type="dxa" w:w="110"/>
            </w:tcMar>
          </w:tcPr>
          <w:p>
            <w:r>
              <w:rPr>
                <w:b w:val="false"/>
                <w:bCs w:val="false"/>
                <w:color w:val="1A1A1A"/>
                <w:sz w:val="19"/>
                <w:szCs w:val="19"/>
              </w:rPr>
              <w:t xml:space="preserve">Exibir faturamento, lucro, margem e ticket médio com seletor de período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RF-DSH-02</w:t>
            </w:r>
          </w:p>
        </w:tc>
        <w:tc>
          <w:tcPr>
            <w:tcW w:type="dxa" w:w="5300"/>
            <w:tcMar>
              <w:top w:type="dxa" w:w="90"/>
              <w:left w:type="dxa" w:w="110"/>
              <w:bottom w:type="dxa" w:w="90"/>
              <w:right w:type="dxa" w:w="110"/>
            </w:tcMar>
          </w:tcPr>
          <w:p>
            <w:r>
              <w:rPr>
                <w:b w:val="false"/>
                <w:bCs w:val="false"/>
                <w:color w:val="1A1A1A"/>
                <w:sz w:val="19"/>
                <w:szCs w:val="19"/>
              </w:rPr>
              <w:t xml:space="preserve">Exibir produtos mais vendidos, mais lucrativos, sem venda e com estoque baixo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RF-DSH-03</w:t>
            </w:r>
          </w:p>
        </w:tc>
        <w:tc>
          <w:tcPr>
            <w:tcW w:type="dxa" w:w="5300"/>
            <w:tcMar>
              <w:top w:type="dxa" w:w="90"/>
              <w:left w:type="dxa" w:w="110"/>
              <w:bottom w:type="dxa" w:w="90"/>
              <w:right w:type="dxa" w:w="110"/>
            </w:tcMar>
          </w:tcPr>
          <w:p>
            <w:r>
              <w:rPr>
                <w:b w:val="false"/>
                <w:bCs w:val="false"/>
                <w:color w:val="1A1A1A"/>
                <w:sz w:val="19"/>
                <w:szCs w:val="19"/>
              </w:rPr>
              <w:t xml:space="preserve">Exibir comparativo percentual com o período anterior equivalente</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RF-DSH-04</w:t>
            </w:r>
          </w:p>
        </w:tc>
        <w:tc>
          <w:tcPr>
            <w:tcW w:type="dxa" w:w="5300"/>
            <w:tcMar>
              <w:top w:type="dxa" w:w="90"/>
              <w:left w:type="dxa" w:w="110"/>
              <w:bottom w:type="dxa" w:w="90"/>
              <w:right w:type="dxa" w:w="110"/>
            </w:tcMar>
          </w:tcPr>
          <w:p>
            <w:r>
              <w:rPr>
                <w:b w:val="false"/>
                <w:bCs w:val="false"/>
                <w:color w:val="1A1A1A"/>
                <w:sz w:val="19"/>
                <w:szCs w:val="19"/>
              </w:rPr>
              <w:t xml:space="preserve">Exibir progresso de meta configurada para o período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RF-DSH-05</w:t>
            </w:r>
          </w:p>
        </w:tc>
        <w:tc>
          <w:tcPr>
            <w:tcW w:type="dxa" w:w="5300"/>
            <w:tcMar>
              <w:top w:type="dxa" w:w="90"/>
              <w:left w:type="dxa" w:w="110"/>
              <w:bottom w:type="dxa" w:w="90"/>
              <w:right w:type="dxa" w:w="110"/>
            </w:tcMar>
          </w:tcPr>
          <w:p>
            <w:r>
              <w:rPr>
                <w:b w:val="false"/>
                <w:bCs w:val="false"/>
                <w:color w:val="1A1A1A"/>
                <w:sz w:val="19"/>
                <w:szCs w:val="19"/>
              </w:rPr>
              <w:t xml:space="preserve">Exibir clientes ativos e indicadores de vendedor/filial destaque</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RF-DSH-06</w:t>
            </w:r>
          </w:p>
        </w:tc>
        <w:tc>
          <w:tcPr>
            <w:tcW w:type="dxa" w:w="5300"/>
            <w:tcMar>
              <w:top w:type="dxa" w:w="90"/>
              <w:left w:type="dxa" w:w="110"/>
              <w:bottom w:type="dxa" w:w="90"/>
              <w:right w:type="dxa" w:w="110"/>
            </w:tcMar>
          </w:tcPr>
          <w:p>
            <w:r>
              <w:rPr>
                <w:b w:val="false"/>
                <w:bCs w:val="false"/>
                <w:color w:val="1A1A1A"/>
                <w:sz w:val="19"/>
                <w:szCs w:val="19"/>
              </w:rPr>
              <w:t xml:space="preserve">Exibir insights automáticos gerados por IA no topo do dashboard</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9</w:t>
      </w:r>
      <w:r>
        <w:t xml:space="preserve">  </w:t>
      </w:r>
    </w:p>
    <w:p>
      <w:pPr>
        <w:pStyle w:val="Heading1"/>
        <w:spacing w:after="280" w:before="0"/>
      </w:pPr>
      <w:r>
        <w:rPr>
          <w:b/>
          <w:bCs/>
          <w:color w:val="1A1A1A"/>
          <w:sz w:val="36"/>
          <w:szCs w:val="36"/>
        </w:rPr>
        <w:t xml:space="preserve">Requisitos Não Funcionais</w:t>
      </w:r>
    </w:p>
    <w:p>
      <w:pPr>
        <w:pStyle w:val="Heading2"/>
        <w:spacing w:after="140" w:before="320"/>
      </w:pPr>
      <w:r>
        <w:rPr>
          <w:b/>
          <w:bCs/>
          <w:color w:val="B8860B"/>
          <w:sz w:val="26"/>
          <w:szCs w:val="26"/>
        </w:rPr>
        <w:t xml:space="preserve">9.1 Performance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00"/>
      </w:tblGrid>
      <w:tr>
        <w:tc>
          <w:tcPr>
            <w:tcW w:type="dxa" w:w="2200"/>
            <w:shd w:fill="1A1A1A" w:val="clear"/>
            <w:tcMar>
              <w:top w:type="dxa" w:w="90"/>
              <w:left w:type="dxa" w:w="110"/>
              <w:bottom w:type="dxa" w:w="90"/>
              <w:right w:type="dxa" w:w="110"/>
            </w:tcMar>
          </w:tcPr>
          <w:p>
            <w:r>
              <w:rPr>
                <w:b/>
                <w:bCs/>
                <w:color w:val="FFFFFF"/>
                <w:sz w:val="19"/>
                <w:szCs w:val="19"/>
              </w:rPr>
              <w:t xml:space="preserve">ID</w:t>
            </w:r>
          </w:p>
        </w:tc>
        <w:tc>
          <w:tcPr>
            <w:tcW w:type="dxa" w:w="4300"/>
            <w:shd w:fill="1A1A1A" w:val="clear"/>
            <w:tcMar>
              <w:top w:type="dxa" w:w="90"/>
              <w:left w:type="dxa" w:w="110"/>
              <w:bottom w:type="dxa" w:w="90"/>
              <w:right w:type="dxa" w:w="110"/>
            </w:tcMar>
          </w:tcPr>
          <w:p>
            <w:r>
              <w:rPr>
                <w:b/>
                <w:bCs/>
                <w:color w:val="FFFFFF"/>
                <w:sz w:val="19"/>
                <w:szCs w:val="19"/>
              </w:rPr>
              <w:t xml:space="preserve">Requisito</w:t>
            </w:r>
          </w:p>
        </w:tc>
        <w:tc>
          <w:tcPr>
            <w:tcW w:type="dxa" w:w="3200"/>
            <w:shd w:fill="1A1A1A" w:val="clear"/>
            <w:tcMar>
              <w:top w:type="dxa" w:w="90"/>
              <w:left w:type="dxa" w:w="110"/>
              <w:bottom w:type="dxa" w:w="90"/>
              <w:right w:type="dxa" w:w="110"/>
            </w:tcMar>
          </w:tcPr>
          <w:p>
            <w:r>
              <w:rPr>
                <w:b/>
                <w:bCs/>
                <w:color w:val="FFFFFF"/>
                <w:sz w:val="19"/>
                <w:szCs w:val="19"/>
              </w:rPr>
              <w:t xml:space="preserve">Meta</w:t>
            </w:r>
          </w:p>
        </w:tc>
      </w:tr>
      <w:tr>
        <w:tc>
          <w:tcPr>
            <w:tcW w:type="dxa" w:w="2200"/>
            <w:tcMar>
              <w:top w:type="dxa" w:w="90"/>
              <w:left w:type="dxa" w:w="110"/>
              <w:bottom w:type="dxa" w:w="90"/>
              <w:right w:type="dxa" w:w="110"/>
            </w:tcMar>
          </w:tcPr>
          <w:p>
            <w:r>
              <w:rPr>
                <w:b w:val="false"/>
                <w:bCs w:val="false"/>
                <w:color w:val="1A1A1A"/>
                <w:sz w:val="19"/>
                <w:szCs w:val="19"/>
              </w:rPr>
              <w:t xml:space="preserve">RNF-PERF-01</w:t>
            </w:r>
          </w:p>
        </w:tc>
        <w:tc>
          <w:tcPr>
            <w:tcW w:type="dxa" w:w="4300"/>
            <w:tcMar>
              <w:top w:type="dxa" w:w="90"/>
              <w:left w:type="dxa" w:w="110"/>
              <w:bottom w:type="dxa" w:w="90"/>
              <w:right w:type="dxa" w:w="110"/>
            </w:tcMar>
          </w:tcPr>
          <w:p>
            <w:r>
              <w:rPr>
                <w:b w:val="false"/>
                <w:bCs w:val="false"/>
                <w:color w:val="1A1A1A"/>
                <w:sz w:val="19"/>
                <w:szCs w:val="19"/>
              </w:rPr>
              <w:t xml:space="preserve">Tempo de resposta para registrar item de venda no PDV</w:t>
            </w:r>
          </w:p>
        </w:tc>
        <w:tc>
          <w:tcPr>
            <w:tcW w:type="dxa" w:w="3200"/>
            <w:tcMar>
              <w:top w:type="dxa" w:w="90"/>
              <w:left w:type="dxa" w:w="110"/>
              <w:bottom w:type="dxa" w:w="90"/>
              <w:right w:type="dxa" w:w="110"/>
            </w:tcMar>
          </w:tcPr>
          <w:p>
            <w:r>
              <w:rPr>
                <w:b w:val="false"/>
                <w:bCs w:val="false"/>
                <w:color w:val="1A1A1A"/>
                <w:sz w:val="19"/>
                <w:szCs w:val="19"/>
              </w:rPr>
              <w:t xml:space="preserve">&lt; 300ms percebido</w:t>
            </w:r>
          </w:p>
        </w:tc>
      </w:tr>
      <w:tr>
        <w:tc>
          <w:tcPr>
            <w:tcW w:type="dxa" w:w="2200"/>
            <w:tcMar>
              <w:top w:type="dxa" w:w="90"/>
              <w:left w:type="dxa" w:w="110"/>
              <w:bottom w:type="dxa" w:w="90"/>
              <w:right w:type="dxa" w:w="110"/>
            </w:tcMar>
          </w:tcPr>
          <w:p>
            <w:r>
              <w:rPr>
                <w:b w:val="false"/>
                <w:bCs w:val="false"/>
                <w:color w:val="1A1A1A"/>
                <w:sz w:val="19"/>
                <w:szCs w:val="19"/>
              </w:rPr>
              <w:t xml:space="preserve">RNF-PERF-02</w:t>
            </w:r>
          </w:p>
        </w:tc>
        <w:tc>
          <w:tcPr>
            <w:tcW w:type="dxa" w:w="4300"/>
            <w:tcMar>
              <w:top w:type="dxa" w:w="90"/>
              <w:left w:type="dxa" w:w="110"/>
              <w:bottom w:type="dxa" w:w="90"/>
              <w:right w:type="dxa" w:w="110"/>
            </w:tcMar>
          </w:tcPr>
          <w:p>
            <w:r>
              <w:rPr>
                <w:b w:val="false"/>
                <w:bCs w:val="false"/>
                <w:color w:val="1A1A1A"/>
                <w:sz w:val="19"/>
                <w:szCs w:val="19"/>
              </w:rPr>
              <w:t xml:space="preserve">Tempo de carregamento inicial do catálogo (até 500 produtos)</w:t>
            </w:r>
          </w:p>
        </w:tc>
        <w:tc>
          <w:tcPr>
            <w:tcW w:type="dxa" w:w="3200"/>
            <w:tcMar>
              <w:top w:type="dxa" w:w="90"/>
              <w:left w:type="dxa" w:w="110"/>
              <w:bottom w:type="dxa" w:w="90"/>
              <w:right w:type="dxa" w:w="110"/>
            </w:tcMar>
          </w:tcPr>
          <w:p>
            <w:r>
              <w:rPr>
                <w:b w:val="false"/>
                <w:bCs w:val="false"/>
                <w:color w:val="1A1A1A"/>
                <w:sz w:val="19"/>
                <w:szCs w:val="19"/>
              </w:rPr>
              <w:t xml:space="preserve">&lt; 2s</w:t>
            </w:r>
          </w:p>
        </w:tc>
      </w:tr>
      <w:tr>
        <w:tc>
          <w:tcPr>
            <w:tcW w:type="dxa" w:w="2200"/>
            <w:tcMar>
              <w:top w:type="dxa" w:w="90"/>
              <w:left w:type="dxa" w:w="110"/>
              <w:bottom w:type="dxa" w:w="90"/>
              <w:right w:type="dxa" w:w="110"/>
            </w:tcMar>
          </w:tcPr>
          <w:p>
            <w:r>
              <w:rPr>
                <w:b w:val="false"/>
                <w:bCs w:val="false"/>
                <w:color w:val="1A1A1A"/>
                <w:sz w:val="19"/>
                <w:szCs w:val="19"/>
              </w:rPr>
              <w:t xml:space="preserve">RNF-PERF-03</w:t>
            </w:r>
          </w:p>
        </w:tc>
        <w:tc>
          <w:tcPr>
            <w:tcW w:type="dxa" w:w="4300"/>
            <w:tcMar>
              <w:top w:type="dxa" w:w="90"/>
              <w:left w:type="dxa" w:w="110"/>
              <w:bottom w:type="dxa" w:w="90"/>
              <w:right w:type="dxa" w:w="110"/>
            </w:tcMar>
          </w:tcPr>
          <w:p>
            <w:r>
              <w:rPr>
                <w:b w:val="false"/>
                <w:bCs w:val="false"/>
                <w:color w:val="1A1A1A"/>
                <w:sz w:val="19"/>
                <w:szCs w:val="19"/>
              </w:rPr>
              <w:t xml:space="preserve">Tempo de leitura de código de barras até confirmação no carrinho</w:t>
            </w:r>
          </w:p>
        </w:tc>
        <w:tc>
          <w:tcPr>
            <w:tcW w:type="dxa" w:w="3200"/>
            <w:tcMar>
              <w:top w:type="dxa" w:w="90"/>
              <w:left w:type="dxa" w:w="110"/>
              <w:bottom w:type="dxa" w:w="90"/>
              <w:right w:type="dxa" w:w="110"/>
            </w:tcMar>
          </w:tcPr>
          <w:p>
            <w:r>
              <w:rPr>
                <w:b w:val="false"/>
                <w:bCs w:val="false"/>
                <w:color w:val="1A1A1A"/>
                <w:sz w:val="19"/>
                <w:szCs w:val="19"/>
              </w:rPr>
              <w:t xml:space="preserve">&lt; 500ms</w:t>
            </w:r>
          </w:p>
        </w:tc>
      </w:tr>
      <w:tr>
        <w:tc>
          <w:tcPr>
            <w:tcW w:type="dxa" w:w="2200"/>
            <w:tcMar>
              <w:top w:type="dxa" w:w="90"/>
              <w:left w:type="dxa" w:w="110"/>
              <w:bottom w:type="dxa" w:w="90"/>
              <w:right w:type="dxa" w:w="110"/>
            </w:tcMar>
          </w:tcPr>
          <w:p>
            <w:r>
              <w:rPr>
                <w:b w:val="false"/>
                <w:bCs w:val="false"/>
                <w:color w:val="1A1A1A"/>
                <w:sz w:val="19"/>
                <w:szCs w:val="19"/>
              </w:rPr>
              <w:t xml:space="preserve">RNF-PERF-04</w:t>
            </w:r>
          </w:p>
        </w:tc>
        <w:tc>
          <w:tcPr>
            <w:tcW w:type="dxa" w:w="4300"/>
            <w:tcMar>
              <w:top w:type="dxa" w:w="90"/>
              <w:left w:type="dxa" w:w="110"/>
              <w:bottom w:type="dxa" w:w="90"/>
              <w:right w:type="dxa" w:w="110"/>
            </w:tcMar>
          </w:tcPr>
          <w:p>
            <w:r>
              <w:rPr>
                <w:b w:val="false"/>
                <w:bCs w:val="false"/>
                <w:color w:val="1A1A1A"/>
                <w:sz w:val="19"/>
                <w:szCs w:val="19"/>
              </w:rPr>
              <w:t xml:space="preserve">Geração de relatório mensal consolidado</w:t>
            </w:r>
          </w:p>
        </w:tc>
        <w:tc>
          <w:tcPr>
            <w:tcW w:type="dxa" w:w="3200"/>
            <w:tcMar>
              <w:top w:type="dxa" w:w="90"/>
              <w:left w:type="dxa" w:w="110"/>
              <w:bottom w:type="dxa" w:w="90"/>
              <w:right w:type="dxa" w:w="110"/>
            </w:tcMar>
          </w:tcPr>
          <w:p>
            <w:r>
              <w:rPr>
                <w:b w:val="false"/>
                <w:bCs w:val="false"/>
                <w:color w:val="1A1A1A"/>
                <w:sz w:val="19"/>
                <w:szCs w:val="19"/>
              </w:rPr>
              <w:t xml:space="preserve">&lt; 5s</w:t>
            </w:r>
          </w:p>
        </w:tc>
      </w:tr>
    </w:tbl>
    <w:p>
      <w:pPr>
        <w:pStyle w:val="Heading2"/>
        <w:spacing w:after="140" w:before="320"/>
      </w:pPr>
      <w:r>
        <w:rPr>
          <w:b/>
          <w:bCs/>
          <w:color w:val="B8860B"/>
          <w:sz w:val="26"/>
          <w:szCs w:val="26"/>
        </w:rPr>
        <w:t xml:space="preserve">9.2 Escalabilidade</w:t>
      </w:r>
    </w:p>
    <w:p>
      <w:pPr>
        <w:pStyle w:val="ListParagraph"/>
        <w:numPr>
          <w:ilvl w:val="0"/>
          <w:numId w:val="3"/>
        </w:numPr>
        <w:spacing w:after="70"/>
      </w:pPr>
      <w:r>
        <w:rPr>
          <w:sz w:val="21"/>
          <w:szCs w:val="21"/>
        </w:rPr>
        <w:t xml:space="preserve">Arquitetura multi-tenant preparada para milhares de tenants simultâneos, com isolamento total de dados via RLS.</w:t>
      </w:r>
    </w:p>
    <w:p>
      <w:pPr>
        <w:pStyle w:val="ListParagraph"/>
        <w:numPr>
          <w:ilvl w:val="0"/>
          <w:numId w:val="3"/>
        </w:numPr>
        <w:spacing w:after="70"/>
      </w:pPr>
      <w:r>
        <w:rPr>
          <w:sz w:val="21"/>
          <w:szCs w:val="21"/>
        </w:rPr>
        <w:t xml:space="preserve">Índices em todas as colunas usadas em filtros frequentes (tenant_id, produto_id, data).</w:t>
      </w:r>
    </w:p>
    <w:p>
      <w:pPr>
        <w:pStyle w:val="ListParagraph"/>
        <w:numPr>
          <w:ilvl w:val="0"/>
          <w:numId w:val="3"/>
        </w:numPr>
        <w:spacing w:after="70"/>
      </w:pPr>
      <w:r>
        <w:rPr>
          <w:sz w:val="21"/>
          <w:szCs w:val="21"/>
        </w:rPr>
        <w:t xml:space="preserve">Paginação obrigatória em qualquer listagem que possa ultrapassar 100 registros.</w:t>
      </w:r>
    </w:p>
    <w:p>
      <w:pPr>
        <w:pStyle w:val="ListParagraph"/>
        <w:numPr>
          <w:ilvl w:val="0"/>
          <w:numId w:val="3"/>
        </w:numPr>
        <w:spacing w:after="70"/>
      </w:pPr>
      <w:r>
        <w:rPr>
          <w:sz w:val="21"/>
          <w:szCs w:val="21"/>
        </w:rPr>
        <w:t xml:space="preserve">Uso de views materializadas para relatórios pesados, atualizadas de forma assíncrona quando o volume justificar (V2 em diante).</w:t>
      </w:r>
    </w:p>
    <w:p>
      <w:pPr>
        <w:pStyle w:val="Heading2"/>
        <w:spacing w:after="140" w:before="320"/>
      </w:pPr>
      <w:r>
        <w:rPr>
          <w:b/>
          <w:bCs/>
          <w:color w:val="B8860B"/>
          <w:sz w:val="26"/>
          <w:szCs w:val="26"/>
        </w:rPr>
        <w:t xml:space="preserve">9.3 Disponibilidade</w:t>
      </w:r>
    </w:p>
    <w:p>
      <w:pPr>
        <w:pStyle w:val="ListParagraph"/>
        <w:numPr>
          <w:ilvl w:val="0"/>
          <w:numId w:val="3"/>
        </w:numPr>
        <w:spacing w:after="70"/>
      </w:pPr>
      <w:r>
        <w:rPr>
          <w:sz w:val="21"/>
          <w:szCs w:val="21"/>
        </w:rPr>
        <w:t xml:space="preserve">Meta de disponibilidade do serviço: 99,5% mensal (equivalente a até ~3h40 de indisponibilidade por mês) no MVP, evoluindo para 99,9% em V2.</w:t>
      </w:r>
    </w:p>
    <w:p>
      <w:pPr>
        <w:pStyle w:val="ListParagraph"/>
        <w:numPr>
          <w:ilvl w:val="0"/>
          <w:numId w:val="3"/>
        </w:numPr>
        <w:spacing w:after="70"/>
      </w:pPr>
      <w:r>
        <w:rPr>
          <w:sz w:val="21"/>
          <w:szCs w:val="21"/>
        </w:rPr>
        <w:t xml:space="preserve">Modo de contingência offline básico para PDV (fila local de vendas sincronizada quando a conexão voltar) — requisito V2.</w:t>
      </w:r>
    </w:p>
    <w:p>
      <w:pPr>
        <w:pStyle w:val="Heading2"/>
        <w:spacing w:after="140" w:before="320"/>
      </w:pPr>
      <w:r>
        <w:rPr>
          <w:b/>
          <w:bCs/>
          <w:color w:val="B8860B"/>
          <w:sz w:val="26"/>
          <w:szCs w:val="26"/>
        </w:rPr>
        <w:t xml:space="preserve">9.4 Segurança (visão não funcional)</w:t>
      </w:r>
    </w:p>
    <w:p>
      <w:pPr>
        <w:spacing w:after="140" w:line="300"/>
      </w:pPr>
      <w:r>
        <w:rPr>
          <w:sz w:val="21"/>
          <w:szCs w:val="21"/>
        </w:rPr>
        <w:t xml:space="preserve">O detalhamento completo de segurança está no Capítulo 15. Como requisito não funcional, define-se que nenhuma funcionalidade é lançada sem RLS ativo e testado na tabela correspondente.</w:t>
      </w:r>
    </w:p>
    <w:p>
      <w:pPr>
        <w:pStyle w:val="Heading2"/>
        <w:spacing w:after="140" w:before="320"/>
      </w:pPr>
      <w:r>
        <w:rPr>
          <w:b/>
          <w:bCs/>
          <w:color w:val="B8860B"/>
          <w:sz w:val="26"/>
          <w:szCs w:val="26"/>
        </w:rPr>
        <w:t xml:space="preserve">9.5 Acessibilidade</w:t>
      </w:r>
    </w:p>
    <w:p>
      <w:pPr>
        <w:pStyle w:val="ListParagraph"/>
        <w:numPr>
          <w:ilvl w:val="0"/>
          <w:numId w:val="3"/>
        </w:numPr>
        <w:spacing w:after="70"/>
      </w:pPr>
      <w:r>
        <w:rPr>
          <w:sz w:val="21"/>
          <w:szCs w:val="21"/>
        </w:rPr>
        <w:t xml:space="preserve">Contraste mínimo de texto conforme WCAG 2.1 nível AA.</w:t>
      </w:r>
    </w:p>
    <w:p>
      <w:pPr>
        <w:pStyle w:val="ListParagraph"/>
        <w:numPr>
          <w:ilvl w:val="0"/>
          <w:numId w:val="3"/>
        </w:numPr>
        <w:spacing w:after="70"/>
      </w:pPr>
      <w:r>
        <w:rPr>
          <w:sz w:val="21"/>
          <w:szCs w:val="21"/>
        </w:rPr>
        <w:t xml:space="preserve">Navegação por teclado em todos os fluxos críticos (venda, cadastro de produto).</w:t>
      </w:r>
    </w:p>
    <w:p>
      <w:pPr>
        <w:pStyle w:val="ListParagraph"/>
        <w:numPr>
          <w:ilvl w:val="0"/>
          <w:numId w:val="3"/>
        </w:numPr>
        <w:spacing w:after="70"/>
      </w:pPr>
      <w:r>
        <w:rPr>
          <w:sz w:val="21"/>
          <w:szCs w:val="21"/>
        </w:rPr>
        <w:t xml:space="preserve">Tamanho de toque mínimo de 44x44px em elementos interativos, para uso confortável em dispositivos móveis no balcão de venda.</w:t>
      </w:r>
    </w:p>
    <w:p>
      <w:pPr>
        <w:pStyle w:val="Heading2"/>
        <w:spacing w:after="140" w:before="320"/>
      </w:pPr>
      <w:r>
        <w:rPr>
          <w:b/>
          <w:bCs/>
          <w:color w:val="B8860B"/>
          <w:sz w:val="26"/>
          <w:szCs w:val="26"/>
        </w:rPr>
        <w:t xml:space="preserve">9.6 Compatibilidade</w:t>
      </w:r>
    </w:p>
    <w:p>
      <w:pPr>
        <w:pStyle w:val="ListParagraph"/>
        <w:numPr>
          <w:ilvl w:val="0"/>
          <w:numId w:val="3"/>
        </w:numPr>
        <w:spacing w:after="70"/>
      </w:pPr>
      <w:r>
        <w:rPr>
          <w:sz w:val="21"/>
          <w:szCs w:val="21"/>
        </w:rPr>
        <w:t xml:space="preserve">Compatível com os navegadores modernos mais usados (Chrome, Safari, Edge) em suas duas últimas versões principais.</w:t>
      </w:r>
    </w:p>
    <w:p>
      <w:pPr>
        <w:pStyle w:val="ListParagraph"/>
        <w:numPr>
          <w:ilvl w:val="0"/>
          <w:numId w:val="3"/>
        </w:numPr>
        <w:spacing w:after="70"/>
      </w:pPr>
      <w:r>
        <w:rPr>
          <w:sz w:val="21"/>
          <w:szCs w:val="21"/>
        </w:rPr>
        <w:t xml:space="preserve">Responsividade total: mobile, tablet e desktop, com prioridade mobile-first para os fluxos de PDV.</w:t>
      </w:r>
    </w:p>
    <w:p>
      <w:pPr>
        <w:pStyle w:val="ListParagraph"/>
        <w:numPr>
          <w:ilvl w:val="0"/>
          <w:numId w:val="3"/>
        </w:numPr>
        <w:spacing w:after="70"/>
      </w:pPr>
      <w:r>
        <w:rPr>
          <w:sz w:val="21"/>
          <w:szCs w:val="21"/>
        </w:rPr>
        <w:t xml:space="preserve">Leitor de código de barras físico compatível com qualquer modelo que opere como dispositivo de entrada HID (emulação de teclado).</w:t>
      </w:r>
    </w:p>
    <w:p>
      <w:pPr>
        <w:pStyle w:val="Heading2"/>
        <w:spacing w:after="140" w:before="320"/>
      </w:pPr>
      <w:r>
        <w:rPr>
          <w:b/>
          <w:bCs/>
          <w:color w:val="B8860B"/>
          <w:sz w:val="26"/>
          <w:szCs w:val="26"/>
        </w:rPr>
        <w:t xml:space="preserve">9.7 Observabilidade e Monitoramento</w:t>
      </w:r>
    </w:p>
    <w:p>
      <w:pPr>
        <w:pStyle w:val="ListParagraph"/>
        <w:numPr>
          <w:ilvl w:val="0"/>
          <w:numId w:val="3"/>
        </w:numPr>
        <w:spacing w:after="70"/>
      </w:pPr>
      <w:r>
        <w:rPr>
          <w:sz w:val="21"/>
          <w:szCs w:val="21"/>
        </w:rPr>
        <w:t xml:space="preserve">Logs estruturados de erros de aplicação, com alerta automático para erros críticos (ex: falha ao registrar venda).</w:t>
      </w:r>
    </w:p>
    <w:p>
      <w:pPr>
        <w:pStyle w:val="ListParagraph"/>
        <w:numPr>
          <w:ilvl w:val="0"/>
          <w:numId w:val="3"/>
        </w:numPr>
        <w:spacing w:after="70"/>
      </w:pPr>
      <w:r>
        <w:rPr>
          <w:sz w:val="21"/>
          <w:szCs w:val="21"/>
        </w:rPr>
        <w:t xml:space="preserve">Monitoramento de tempo de resposta das rotas críticas (PDV, estoque).</w:t>
      </w:r>
    </w:p>
    <w:p>
      <w:pPr>
        <w:pStyle w:val="ListParagraph"/>
        <w:numPr>
          <w:ilvl w:val="0"/>
          <w:numId w:val="3"/>
        </w:numPr>
        <w:spacing w:after="70"/>
      </w:pPr>
      <w:r>
        <w:rPr>
          <w:sz w:val="21"/>
          <w:szCs w:val="21"/>
        </w:rPr>
        <w:t xml:space="preserve">Dashboard interno (RhoneyInc) de saúde do sistema por tenant, para suporte proativo.</w:t>
      </w:r>
    </w:p>
    <w:p>
      <w:pPr>
        <w:pStyle w:val="Heading2"/>
        <w:spacing w:after="140" w:before="320"/>
      </w:pPr>
      <w:r>
        <w:rPr>
          <w:b/>
          <w:bCs/>
          <w:color w:val="B8860B"/>
          <w:sz w:val="26"/>
          <w:szCs w:val="26"/>
        </w:rPr>
        <w:t xml:space="preserve">9.8 Manutenibilidade</w:t>
      </w:r>
    </w:p>
    <w:p>
      <w:pPr>
        <w:pStyle w:val="ListParagraph"/>
        <w:numPr>
          <w:ilvl w:val="0"/>
          <w:numId w:val="3"/>
        </w:numPr>
        <w:spacing w:after="70"/>
      </w:pPr>
      <w:r>
        <w:rPr>
          <w:sz w:val="21"/>
          <w:szCs w:val="21"/>
        </w:rPr>
        <w:t xml:space="preserve">Toda função de banco de dados documentada com comentário de propósito.</w:t>
      </w:r>
    </w:p>
    <w:p>
      <w:pPr>
        <w:pStyle w:val="ListParagraph"/>
        <w:numPr>
          <w:ilvl w:val="0"/>
          <w:numId w:val="3"/>
        </w:numPr>
        <w:spacing w:after="70"/>
      </w:pPr>
      <w:r>
        <w:rPr>
          <w:sz w:val="21"/>
          <w:szCs w:val="21"/>
        </w:rPr>
        <w:t xml:space="preserve">Migrações de schema versionadas e reversíveis sempre que tecnicamente possível.</w:t>
      </w:r>
    </w:p>
    <w:p>
      <w:pPr>
        <w:pStyle w:val="ListParagraph"/>
        <w:numPr>
          <w:ilvl w:val="0"/>
          <w:numId w:val="3"/>
        </w:numPr>
        <w:spacing w:after="70"/>
      </w:pPr>
      <w:r>
        <w:rPr>
          <w:sz w:val="21"/>
          <w:szCs w:val="21"/>
        </w:rPr>
        <w:t xml:space="preserve">Cobertura de testes automatizados priorizada para os fluxos financeiros e de estoque, por serem os de maior risco de inconsistência.</w:t>
      </w:r>
    </w:p>
    <w:p>
      <w:pPr>
        <w:pStyle w:val="Heading2"/>
        <w:spacing w:after="140" w:before="320"/>
      </w:pPr>
      <w:r>
        <w:rPr>
          <w:b/>
          <w:bCs/>
          <w:color w:val="B8860B"/>
          <w:sz w:val="26"/>
          <w:szCs w:val="26"/>
        </w:rPr>
        <w:t xml:space="preserve">9.9 Portabilidade de Dados</w:t>
      </w:r>
    </w:p>
    <w:p>
      <w:pPr>
        <w:pStyle w:val="ListParagraph"/>
        <w:numPr>
          <w:ilvl w:val="0"/>
          <w:numId w:val="3"/>
        </w:numPr>
        <w:spacing w:after="70"/>
      </w:pPr>
      <w:r>
        <w:rPr>
          <w:sz w:val="21"/>
          <w:szCs w:val="21"/>
        </w:rPr>
        <w:t xml:space="preserve">Exportação de dados do tenant (produtos, vendas, estoque) em formato aberto (CSV/JSON) disponível a qualquer momento, como direito do cliente sobre seus próprios dados.</w:t>
      </w:r>
    </w:p>
    <w:p>
      <w:pPr>
        <w:pStyle w:val="Heading1"/>
        <w:pageBreakBefore/>
        <w:pBdr>
          <w:bottom w:val="single" w:color="3FA796" w:sz="6" w:space="8"/>
        </w:pBdr>
        <w:spacing w:after="240" w:before="0"/>
      </w:pPr>
      <w:r>
        <w:rPr>
          <w:b/>
          <w:bCs/>
          <w:color w:val="B8860B"/>
          <w:sz w:val="22"/>
          <w:szCs w:val="22"/>
        </w:rPr>
        <w:t xml:space="preserve">CAPÍTULO 10</w:t>
      </w:r>
      <w:r>
        <w:t xml:space="preserve">  </w:t>
      </w:r>
    </w:p>
    <w:p>
      <w:pPr>
        <w:pStyle w:val="Heading1"/>
        <w:spacing w:after="280" w:before="0"/>
      </w:pPr>
      <w:r>
        <w:rPr>
          <w:b/>
          <w:bCs/>
          <w:color w:val="1A1A1A"/>
          <w:sz w:val="36"/>
          <w:szCs w:val="36"/>
        </w:rPr>
        <w:t xml:space="preserve">Modo Offline</w:t>
      </w:r>
    </w:p>
    <w:p>
      <w:pPr>
        <w:pStyle w:val="Heading2"/>
        <w:spacing w:after="140" w:before="320"/>
      </w:pPr>
      <w:r>
        <w:rPr>
          <w:b/>
          <w:bCs/>
          <w:color w:val="B8860B"/>
          <w:sz w:val="26"/>
          <w:szCs w:val="26"/>
        </w:rPr>
        <w:t xml:space="preserve">10.1 Justificativa</w:t>
      </w:r>
    </w:p>
    <w:p>
      <w:pPr>
        <w:spacing w:after="140" w:line="300"/>
      </w:pPr>
      <w:r>
        <w:rPr>
          <w:sz w:val="21"/>
          <w:szCs w:val="21"/>
        </w:rPr>
        <w:t xml:space="preserve">Comércio de rua e pontos de venda físicos estão sujeitos a instabilidade de conexão. Interromper a venda por falha de internet é inaceitável para o público-alvo do VendeFlex — este capítulo define como o sistema continua operável sem conexão e como reconcilia os dados quando ela retorna.</w:t>
      </w:r>
    </w:p>
    <w:p>
      <w:pPr>
        <w:pStyle w:val="Heading2"/>
        <w:spacing w:after="140" w:before="320"/>
      </w:pPr>
      <w:r>
        <w:rPr>
          <w:b/>
          <w:bCs/>
          <w:color w:val="B8860B"/>
          <w:sz w:val="26"/>
          <w:szCs w:val="26"/>
        </w:rPr>
        <w:t xml:space="preserve">10.2 Funcionalidades que Continuam Offline</w:t>
      </w:r>
    </w:p>
    <w:p>
      <w:pPr>
        <w:pStyle w:val="ListParagraph"/>
        <w:numPr>
          <w:ilvl w:val="0"/>
          <w:numId w:val="3"/>
        </w:numPr>
        <w:spacing w:after="70"/>
      </w:pPr>
      <w:r>
        <w:rPr>
          <w:sz w:val="21"/>
          <w:szCs w:val="21"/>
        </w:rPr>
        <w:t xml:space="preserve">PDV — abrir carrinho, adicionar itens via código de barras ou busca local, aplicar desconto, finalizar venda</w:t>
      </w:r>
    </w:p>
    <w:p>
      <w:pPr>
        <w:pStyle w:val="ListParagraph"/>
        <w:numPr>
          <w:ilvl w:val="0"/>
          <w:numId w:val="3"/>
        </w:numPr>
        <w:spacing w:after="70"/>
      </w:pPr>
      <w:r>
        <w:rPr>
          <w:sz w:val="21"/>
          <w:szCs w:val="21"/>
        </w:rPr>
        <w:t xml:space="preserve">Consulta de estoque — leitura do último saldo sincronizado antes da queda de conexão</w:t>
      </w:r>
    </w:p>
    <w:p>
      <w:pPr>
        <w:pStyle w:val="ListParagraph"/>
        <w:numPr>
          <w:ilvl w:val="0"/>
          <w:numId w:val="3"/>
        </w:numPr>
        <w:spacing w:after="70"/>
      </w:pPr>
      <w:r>
        <w:rPr>
          <w:sz w:val="21"/>
          <w:szCs w:val="21"/>
        </w:rPr>
        <w:t xml:space="preserve">Abertura e fechamento de caixa</w:t>
      </w:r>
    </w:p>
    <w:p>
      <w:pPr>
        <w:pStyle w:val="ListParagraph"/>
        <w:numPr>
          <w:ilvl w:val="0"/>
          <w:numId w:val="3"/>
        </w:numPr>
        <w:spacing w:after="70"/>
      </w:pPr>
      <w:r>
        <w:rPr>
          <w:sz w:val="21"/>
          <w:szCs w:val="21"/>
        </w:rPr>
        <w:t xml:space="preserve">Registro de pedido de compra (fica pendente de sincronização, sem bloquear o fluxo)</w:t>
      </w:r>
    </w:p>
    <w:p>
      <w:pPr>
        <w:pStyle w:val="Heading2"/>
        <w:spacing w:after="140" w:before="320"/>
      </w:pPr>
      <w:r>
        <w:rPr>
          <w:b/>
          <w:bCs/>
          <w:color w:val="B8860B"/>
          <w:sz w:val="26"/>
          <w:szCs w:val="26"/>
        </w:rPr>
        <w:t xml:space="preserve">10.3 Funcionalidades que Exigem Conexão</w:t>
      </w:r>
    </w:p>
    <w:p>
      <w:pPr>
        <w:pStyle w:val="ListParagraph"/>
        <w:numPr>
          <w:ilvl w:val="0"/>
          <w:numId w:val="3"/>
        </w:numPr>
        <w:spacing w:after="70"/>
      </w:pPr>
      <w:r>
        <w:rPr>
          <w:sz w:val="21"/>
          <w:szCs w:val="21"/>
        </w:rPr>
        <w:t xml:space="preserve">Relatórios e Dashboard Executivo (dependem de dados agregados do servidor)</w:t>
      </w:r>
    </w:p>
    <w:p>
      <w:pPr>
        <w:pStyle w:val="ListParagraph"/>
        <w:numPr>
          <w:ilvl w:val="0"/>
          <w:numId w:val="3"/>
        </w:numPr>
        <w:spacing w:after="70"/>
      </w:pPr>
      <w:r>
        <w:rPr>
          <w:sz w:val="21"/>
          <w:szCs w:val="21"/>
        </w:rPr>
        <w:t xml:space="preserve">Sugestões de IA (dependem de chamada a serviço externo)</w:t>
      </w:r>
    </w:p>
    <w:p>
      <w:pPr>
        <w:pStyle w:val="ListParagraph"/>
        <w:numPr>
          <w:ilvl w:val="0"/>
          <w:numId w:val="3"/>
        </w:numPr>
        <w:spacing w:after="70"/>
      </w:pPr>
      <w:r>
        <w:rPr>
          <w:sz w:val="21"/>
          <w:szCs w:val="21"/>
        </w:rPr>
        <w:t xml:space="preserve">Sincronização entre filiais em tempo real</w:t>
      </w:r>
    </w:p>
    <w:p>
      <w:pPr>
        <w:pStyle w:val="ListParagraph"/>
        <w:numPr>
          <w:ilvl w:val="0"/>
          <w:numId w:val="3"/>
        </w:numPr>
        <w:spacing w:after="70"/>
      </w:pPr>
      <w:r>
        <w:rPr>
          <w:sz w:val="21"/>
          <w:szCs w:val="21"/>
        </w:rPr>
        <w:t xml:space="preserve">Login inicial (a sessão já autenticada continua válida offline por um período configurável)</w:t>
      </w:r>
    </w:p>
    <w:p>
      <w:pPr>
        <w:pStyle w:val="Heading2"/>
        <w:spacing w:after="140" w:before="320"/>
      </w:pPr>
      <w:r>
        <w:rPr>
          <w:b/>
          <w:bCs/>
          <w:color w:val="B8860B"/>
          <w:sz w:val="26"/>
          <w:szCs w:val="26"/>
        </w:rPr>
        <w:t xml:space="preserve">10.4 Arquitetura de Fila Local</w:t>
      </w:r>
    </w:p>
    <w:p>
      <w:pPr>
        <w:spacing w:after="140" w:line="300"/>
      </w:pPr>
      <w:r>
        <w:rPr>
          <w:sz w:val="21"/>
          <w:szCs w:val="21"/>
        </w:rPr>
        <w:t xml:space="preserve">Toda ação realizada offline é armazenada em uma fila local no dispositivo (IndexedDB no navegador/PWA), com identificador único gerado no cliente (UUID) para permitir reconciliação sem duplicidade quando sincronizada.</w:t>
      </w:r>
    </w:p>
    <w:p>
      <w:pPr>
        <w:pStyle w:val="ListParagraph"/>
        <w:numPr>
          <w:ilvl w:val="0"/>
          <w:numId w:val="2"/>
        </w:numPr>
        <w:spacing w:after="70"/>
      </w:pPr>
      <w:r>
        <w:rPr>
          <w:sz w:val="21"/>
          <w:szCs w:val="21"/>
        </w:rPr>
        <w:t xml:space="preserve">Ação do usuário (ex: venda) é executada localmente e refletida imediatamente na interface, com indicador visual de "pendente de sincronização"</w:t>
      </w:r>
    </w:p>
    <w:p>
      <w:pPr>
        <w:pStyle w:val="ListParagraph"/>
        <w:numPr>
          <w:ilvl w:val="0"/>
          <w:numId w:val="2"/>
        </w:numPr>
        <w:spacing w:after="70"/>
      </w:pPr>
      <w:r>
        <w:rPr>
          <w:sz w:val="21"/>
          <w:szCs w:val="21"/>
        </w:rPr>
        <w:t xml:space="preserve">Ação é adicionada à fila local, com timestamp e UUID</w:t>
      </w:r>
    </w:p>
    <w:p>
      <w:pPr>
        <w:pStyle w:val="ListParagraph"/>
        <w:numPr>
          <w:ilvl w:val="0"/>
          <w:numId w:val="2"/>
        </w:numPr>
        <w:spacing w:after="70"/>
      </w:pPr>
      <w:r>
        <w:rPr>
          <w:sz w:val="21"/>
          <w:szCs w:val="21"/>
        </w:rPr>
        <w:t xml:space="preserve">Ao detectar conexão novamente, o sistema envia a fila ao servidor em ordem cronológica</w:t>
      </w:r>
    </w:p>
    <w:p>
      <w:pPr>
        <w:pStyle w:val="ListParagraph"/>
        <w:numPr>
          <w:ilvl w:val="0"/>
          <w:numId w:val="2"/>
        </w:numPr>
        <w:spacing w:after="70"/>
      </w:pPr>
      <w:r>
        <w:rPr>
          <w:sz w:val="21"/>
          <w:szCs w:val="21"/>
        </w:rPr>
        <w:t xml:space="preserve">Servidor processa cada item, aplicando o mesmo UUID como chave de idempotência — reenvios acidentais não duplicam a venda</w:t>
      </w:r>
    </w:p>
    <w:p>
      <w:pPr>
        <w:pStyle w:val="ListParagraph"/>
        <w:numPr>
          <w:ilvl w:val="0"/>
          <w:numId w:val="2"/>
        </w:numPr>
        <w:spacing w:after="70"/>
      </w:pPr>
      <w:r>
        <w:rPr>
          <w:sz w:val="21"/>
          <w:szCs w:val="21"/>
        </w:rPr>
        <w:t xml:space="preserve">Interface remove o indicador de pendência assim que a confirmação do servidor retorna</w:t>
      </w:r>
    </w:p>
    <w:p>
      <w:pPr>
        <w:pStyle w:val="Heading2"/>
        <w:spacing w:after="140" w:before="320"/>
      </w:pPr>
      <w:r>
        <w:rPr>
          <w:b/>
          <w:bCs/>
          <w:color w:val="B8860B"/>
          <w:sz w:val="26"/>
          <w:szCs w:val="26"/>
        </w:rPr>
        <w:t xml:space="preserve">10.5 Resolução de Conflitos</w:t>
      </w:r>
    </w:p>
    <w:p>
      <w:pPr>
        <w:spacing w:after="140" w:line="300"/>
      </w:pPr>
      <w:r>
        <w:rPr>
          <w:sz w:val="21"/>
          <w:szCs w:val="21"/>
        </w:rPr>
        <w:t xml:space="preserve">O caso mais sensível é o estoque: dois dispositivos offline podem vender o mesmo produto sem saber que o outro também vendeu, levando a estoque negativo após sincronização. A estratégia adotada:</w:t>
      </w:r>
    </w:p>
    <w:p>
      <w:pPr>
        <w:pStyle w:val="ListParagraph"/>
        <w:numPr>
          <w:ilvl w:val="0"/>
          <w:numId w:val="3"/>
        </w:numPr>
        <w:spacing w:after="70"/>
      </w:pPr>
      <w:r>
        <w:rPr>
          <w:sz w:val="21"/>
          <w:szCs w:val="21"/>
        </w:rPr>
        <w:t xml:space="preserve">Vendas offline são sempre aceitas — o VendeFlex nunca impede uma venda já realizada no balcão, mesmo que gere estoque negativo temporário.</w:t>
      </w:r>
    </w:p>
    <w:p>
      <w:pPr>
        <w:pStyle w:val="ListParagraph"/>
        <w:numPr>
          <w:ilvl w:val="0"/>
          <w:numId w:val="3"/>
        </w:numPr>
        <w:spacing w:after="70"/>
      </w:pPr>
      <w:r>
        <w:rPr>
          <w:sz w:val="21"/>
          <w:szCs w:val="21"/>
        </w:rPr>
        <w:t xml:space="preserve">Ao sincronizar, se o resultado gerar estoque negativo, o sistema sinaliza um alerta de divergência para o lojista revisar, em vez de reverter a venda automaticamente.</w:t>
      </w:r>
    </w:p>
    <w:p>
      <w:pPr>
        <w:pStyle w:val="ListParagraph"/>
        <w:numPr>
          <w:ilvl w:val="0"/>
          <w:numId w:val="3"/>
        </w:numPr>
        <w:spacing w:after="70"/>
      </w:pPr>
      <w:r>
        <w:rPr>
          <w:sz w:val="21"/>
          <w:szCs w:val="21"/>
        </w:rPr>
        <w:t xml:space="preserve">O histórico de auditoria (Capítulo 15) registra claramente quais movimentos de estoque vieram de sincronização offline, para rastreabilidade.</w:t>
      </w:r>
    </w:p>
    <w:p>
      <w:pPr>
        <w:pStyle w:val="Heading2"/>
        <w:spacing w:after="140" w:before="320"/>
      </w:pPr>
      <w:r>
        <w:rPr>
          <w:b/>
          <w:bCs/>
          <w:color w:val="B8860B"/>
          <w:sz w:val="26"/>
          <w:szCs w:val="26"/>
        </w:rPr>
        <w:t xml:space="preserve">10.6 Indicadores de Status para o Usuário</w:t>
      </w:r>
    </w:p>
    <w:p>
      <w:pPr>
        <w:pStyle w:val="ListParagraph"/>
        <w:numPr>
          <w:ilvl w:val="0"/>
          <w:numId w:val="3"/>
        </w:numPr>
        <w:spacing w:after="70"/>
      </w:pPr>
      <w:r>
        <w:rPr>
          <w:sz w:val="21"/>
          <w:szCs w:val="21"/>
        </w:rPr>
        <w:t xml:space="preserve">Indicador persistente de conectividade (online/offline) sempre visível na interface do PDV.</w:t>
      </w:r>
    </w:p>
    <w:p>
      <w:pPr>
        <w:pStyle w:val="ListParagraph"/>
        <w:numPr>
          <w:ilvl w:val="0"/>
          <w:numId w:val="3"/>
        </w:numPr>
        <w:spacing w:after="70"/>
      </w:pPr>
      <w:r>
        <w:rPr>
          <w:sz w:val="21"/>
          <w:szCs w:val="21"/>
        </w:rPr>
        <w:t xml:space="preserve">Contador de itens pendentes de sincronização, com opção de forçar nova tentativa manualmente.</w:t>
      </w:r>
    </w:p>
    <w:p>
      <w:pPr>
        <w:pStyle w:val="ListParagraph"/>
        <w:numPr>
          <w:ilvl w:val="0"/>
          <w:numId w:val="3"/>
        </w:numPr>
        <w:spacing w:after="70"/>
      </w:pPr>
      <w:r>
        <w:rPr>
          <w:sz w:val="21"/>
          <w:szCs w:val="21"/>
        </w:rPr>
        <w:t xml:space="preserve">Notificação de sincronização concluída com sucesso, incluindo eventuais divergências que exigem revisão.</w:t>
      </w:r>
    </w:p>
    <w:p>
      <w:pPr>
        <w:pStyle w:val="Heading2"/>
        <w:spacing w:after="140" w:before="320"/>
      </w:pPr>
      <w:r>
        <w:rPr>
          <w:b/>
          <w:bCs/>
          <w:color w:val="B8860B"/>
          <w:sz w:val="26"/>
          <w:szCs w:val="26"/>
        </w:rPr>
        <w:t xml:space="preserve">10.7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RF-OFF-01</w:t>
            </w:r>
          </w:p>
        </w:tc>
        <w:tc>
          <w:tcPr>
            <w:tcW w:type="dxa" w:w="5300"/>
            <w:tcMar>
              <w:top w:type="dxa" w:w="90"/>
              <w:left w:type="dxa" w:w="110"/>
              <w:bottom w:type="dxa" w:w="90"/>
              <w:right w:type="dxa" w:w="110"/>
            </w:tcMar>
          </w:tcPr>
          <w:p>
            <w:r>
              <w:rPr>
                <w:b w:val="false"/>
                <w:bCs w:val="false"/>
                <w:color w:val="1A1A1A"/>
                <w:sz w:val="19"/>
                <w:szCs w:val="19"/>
              </w:rPr>
              <w:t xml:space="preserve">PDV funcional sem conexão: adicionar item, aplicar desconto, finalizar venda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RF-OFF-02</w:t>
            </w:r>
          </w:p>
        </w:tc>
        <w:tc>
          <w:tcPr>
            <w:tcW w:type="dxa" w:w="5300"/>
            <w:tcMar>
              <w:top w:type="dxa" w:w="90"/>
              <w:left w:type="dxa" w:w="110"/>
              <w:bottom w:type="dxa" w:w="90"/>
              <w:right w:type="dxa" w:w="110"/>
            </w:tcMar>
          </w:tcPr>
          <w:p>
            <w:r>
              <w:rPr>
                <w:b w:val="false"/>
                <w:bCs w:val="false"/>
                <w:color w:val="1A1A1A"/>
                <w:sz w:val="19"/>
                <w:szCs w:val="19"/>
              </w:rPr>
              <w:t xml:space="preserve">Fila local de ações pendentes com sincronização automática ao reconectar</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RF-OFF-03</w:t>
            </w:r>
          </w:p>
        </w:tc>
        <w:tc>
          <w:tcPr>
            <w:tcW w:type="dxa" w:w="5300"/>
            <w:tcMar>
              <w:top w:type="dxa" w:w="90"/>
              <w:left w:type="dxa" w:w="110"/>
              <w:bottom w:type="dxa" w:w="90"/>
              <w:right w:type="dxa" w:w="110"/>
            </w:tcMar>
          </w:tcPr>
          <w:p>
            <w:r>
              <w:rPr>
                <w:b w:val="false"/>
                <w:bCs w:val="false"/>
                <w:color w:val="1A1A1A"/>
                <w:sz w:val="19"/>
                <w:szCs w:val="19"/>
              </w:rPr>
              <w:t xml:space="preserve">Idempotência de sincronização via UUID gerado no cliente</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RF-OFF-04</w:t>
            </w:r>
          </w:p>
        </w:tc>
        <w:tc>
          <w:tcPr>
            <w:tcW w:type="dxa" w:w="5300"/>
            <w:tcMar>
              <w:top w:type="dxa" w:w="90"/>
              <w:left w:type="dxa" w:w="110"/>
              <w:bottom w:type="dxa" w:w="90"/>
              <w:right w:type="dxa" w:w="110"/>
            </w:tcMar>
          </w:tcPr>
          <w:p>
            <w:r>
              <w:rPr>
                <w:b w:val="false"/>
                <w:bCs w:val="false"/>
                <w:color w:val="1A1A1A"/>
                <w:sz w:val="19"/>
                <w:szCs w:val="19"/>
              </w:rPr>
              <w:t xml:space="preserve">Alerta de divergência de estoque pós-sincronização, sem reversão automática da venda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RF-OFF-05</w:t>
            </w:r>
          </w:p>
        </w:tc>
        <w:tc>
          <w:tcPr>
            <w:tcW w:type="dxa" w:w="5300"/>
            <w:tcMar>
              <w:top w:type="dxa" w:w="90"/>
              <w:left w:type="dxa" w:w="110"/>
              <w:bottom w:type="dxa" w:w="90"/>
              <w:right w:type="dxa" w:w="110"/>
            </w:tcMar>
          </w:tcPr>
          <w:p>
            <w:r>
              <w:rPr>
                <w:b w:val="false"/>
                <w:bCs w:val="false"/>
                <w:color w:val="1A1A1A"/>
                <w:sz w:val="19"/>
                <w:szCs w:val="19"/>
              </w:rPr>
              <w:t xml:space="preserve">Indicador visual de status de conectividade e pendências no PDV</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11</w:t>
      </w:r>
      <w:r>
        <w:t xml:space="preserve">  </w:t>
      </w:r>
    </w:p>
    <w:p>
      <w:pPr>
        <w:pStyle w:val="Heading1"/>
        <w:spacing w:after="280" w:before="0"/>
      </w:pPr>
      <w:r>
        <w:rPr>
          <w:b/>
          <w:bCs/>
          <w:color w:val="1A1A1A"/>
          <w:sz w:val="36"/>
          <w:szCs w:val="36"/>
        </w:rPr>
        <w:t xml:space="preserve">Modelagem de Banco de Dados</w:t>
      </w:r>
    </w:p>
    <w:p>
      <w:pPr>
        <w:pStyle w:val="Heading2"/>
        <w:spacing w:after="140" w:before="320"/>
      </w:pPr>
      <w:r>
        <w:rPr>
          <w:b/>
          <w:bCs/>
          <w:color w:val="B8860B"/>
          <w:sz w:val="26"/>
          <w:szCs w:val="26"/>
        </w:rPr>
        <w:t xml:space="preserve">11.1 Convenções Gerais</w:t>
      </w:r>
    </w:p>
    <w:p>
      <w:pPr>
        <w:pStyle w:val="ListParagraph"/>
        <w:numPr>
          <w:ilvl w:val="0"/>
          <w:numId w:val="3"/>
        </w:numPr>
        <w:spacing w:after="70"/>
      </w:pPr>
      <w:r>
        <w:rPr>
          <w:sz w:val="21"/>
          <w:szCs w:val="21"/>
        </w:rPr>
        <w:t xml:space="preserve">Banco de dados: PostgreSQL via Supabase.</w:t>
      </w:r>
    </w:p>
    <w:p>
      <w:pPr>
        <w:pStyle w:val="ListParagraph"/>
        <w:numPr>
          <w:ilvl w:val="0"/>
          <w:numId w:val="3"/>
        </w:numPr>
        <w:spacing w:after="70"/>
      </w:pPr>
      <w:r>
        <w:rPr>
          <w:sz w:val="21"/>
          <w:szCs w:val="21"/>
        </w:rPr>
        <w:t xml:space="preserve">Toda tabela de dado de negócio possui coluna tenant_id (uuid, FK para tenants), exceto tabelas globais de configuração do sistema.</w:t>
      </w:r>
    </w:p>
    <w:p>
      <w:pPr>
        <w:pStyle w:val="ListParagraph"/>
        <w:numPr>
          <w:ilvl w:val="0"/>
          <w:numId w:val="3"/>
        </w:numPr>
        <w:spacing w:after="70"/>
      </w:pPr>
      <w:r>
        <w:rPr>
          <w:sz w:val="21"/>
          <w:szCs w:val="21"/>
        </w:rPr>
        <w:t xml:space="preserve">Toda tabela possui created_at e updated_at (timestamptz, default now()).</w:t>
      </w:r>
    </w:p>
    <w:p>
      <w:pPr>
        <w:pStyle w:val="ListParagraph"/>
        <w:numPr>
          <w:ilvl w:val="0"/>
          <w:numId w:val="3"/>
        </w:numPr>
        <w:spacing w:after="70"/>
      </w:pPr>
      <w:r>
        <w:rPr>
          <w:sz w:val="21"/>
          <w:szCs w:val="21"/>
        </w:rPr>
        <w:t xml:space="preserve">Chaves primárias em uuid, geradas via gen_random_uuid().</w:t>
      </w:r>
    </w:p>
    <w:p>
      <w:pPr>
        <w:pStyle w:val="ListParagraph"/>
        <w:numPr>
          <w:ilvl w:val="0"/>
          <w:numId w:val="3"/>
        </w:numPr>
        <w:spacing w:after="70"/>
      </w:pPr>
      <w:r>
        <w:rPr>
          <w:sz w:val="21"/>
          <w:szCs w:val="21"/>
        </w:rPr>
        <w:t xml:space="preserve">Exclusão lógica (campo deleted_at ou is_active) preferida sobre exclusão física em tabelas com histórico financeiro (produtos, vendas, movimentos de estoque).</w:t>
      </w:r>
    </w:p>
    <w:p>
      <w:pPr>
        <w:pStyle w:val="Heading2"/>
        <w:spacing w:after="140" w:before="320"/>
      </w:pPr>
      <w:r>
        <w:rPr>
          <w:b/>
          <w:bCs/>
          <w:color w:val="B8860B"/>
          <w:sz w:val="26"/>
          <w:szCs w:val="26"/>
        </w:rPr>
        <w:t xml:space="preserve">11.2 Tabelas — Núcleo Comum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tenants</w:t>
            </w:r>
          </w:p>
        </w:tc>
        <w:tc>
          <w:tcPr>
            <w:tcW w:type="dxa" w:w="7100"/>
            <w:tcMar>
              <w:top w:type="dxa" w:w="90"/>
              <w:left w:type="dxa" w:w="110"/>
              <w:bottom w:type="dxa" w:w="90"/>
              <w:right w:type="dxa" w:w="110"/>
            </w:tcMar>
          </w:tcPr>
          <w:p>
            <w:r>
              <w:rPr>
                <w:b w:val="false"/>
                <w:bCs w:val="false"/>
                <w:color w:val="1A1A1A"/>
                <w:sz w:val="19"/>
                <w:szCs w:val="19"/>
              </w:rPr>
              <w:t xml:space="preserve">id, nome_negocio, cnpj_cpf, segmento, plano, criado_em</w:t>
            </w:r>
          </w:p>
        </w:tc>
      </w:tr>
      <w:tr>
        <w:tc>
          <w:tcPr>
            <w:tcW w:type="dxa" w:w="2600"/>
            <w:tcMar>
              <w:top w:type="dxa" w:w="90"/>
              <w:left w:type="dxa" w:w="110"/>
              <w:bottom w:type="dxa" w:w="90"/>
              <w:right w:type="dxa" w:w="110"/>
            </w:tcMar>
          </w:tcPr>
          <w:p>
            <w:r>
              <w:rPr>
                <w:b w:val="false"/>
                <w:bCs w:val="false"/>
                <w:color w:val="1A1A1A"/>
                <w:sz w:val="19"/>
                <w:szCs w:val="19"/>
              </w:rPr>
              <w:t xml:space="preserve">usuarios_tenant</w:t>
            </w:r>
          </w:p>
        </w:tc>
        <w:tc>
          <w:tcPr>
            <w:tcW w:type="dxa" w:w="7100"/>
            <w:tcMar>
              <w:top w:type="dxa" w:w="90"/>
              <w:left w:type="dxa" w:w="110"/>
              <w:bottom w:type="dxa" w:w="90"/>
              <w:right w:type="dxa" w:w="110"/>
            </w:tcMar>
          </w:tcPr>
          <w:p>
            <w:r>
              <w:rPr>
                <w:b w:val="false"/>
                <w:bCs w:val="false"/>
                <w:color w:val="1A1A1A"/>
                <w:sz w:val="19"/>
                <w:szCs w:val="19"/>
              </w:rPr>
              <w:t xml:space="preserve">id, tenant_id, user_id (auth), papel, ativo</w:t>
            </w:r>
          </w:p>
        </w:tc>
      </w:tr>
      <w:tr>
        <w:tc>
          <w:tcPr>
            <w:tcW w:type="dxa" w:w="2600"/>
            <w:tcMar>
              <w:top w:type="dxa" w:w="90"/>
              <w:left w:type="dxa" w:w="110"/>
              <w:bottom w:type="dxa" w:w="90"/>
              <w:right w:type="dxa" w:w="110"/>
            </w:tcMar>
          </w:tcPr>
          <w:p>
            <w:r>
              <w:rPr>
                <w:b w:val="false"/>
                <w:bCs w:val="false"/>
                <w:color w:val="1A1A1A"/>
                <w:sz w:val="19"/>
                <w:szCs w:val="19"/>
              </w:rPr>
              <w:t xml:space="preserve">configuracoes_tenant</w:t>
            </w:r>
          </w:p>
        </w:tc>
        <w:tc>
          <w:tcPr>
            <w:tcW w:type="dxa" w:w="7100"/>
            <w:tcMar>
              <w:top w:type="dxa" w:w="90"/>
              <w:left w:type="dxa" w:w="110"/>
              <w:bottom w:type="dxa" w:w="90"/>
              <w:right w:type="dxa" w:w="110"/>
            </w:tcMar>
          </w:tcPr>
          <w:p>
            <w:r>
              <w:rPr>
                <w:b w:val="false"/>
                <w:bCs w:val="false"/>
                <w:color w:val="1A1A1A"/>
                <w:sz w:val="19"/>
                <w:szCs w:val="19"/>
              </w:rPr>
              <w:t xml:space="preserve">tenant_id, chave, valor (jsonb)</w:t>
            </w:r>
          </w:p>
        </w:tc>
      </w:tr>
    </w:tbl>
    <w:p>
      <w:pPr>
        <w:pStyle w:val="Heading2"/>
        <w:spacing w:after="140" w:before="320"/>
      </w:pPr>
      <w:r>
        <w:rPr>
          <w:b/>
          <w:bCs/>
          <w:color w:val="B8860B"/>
          <w:sz w:val="26"/>
          <w:szCs w:val="26"/>
        </w:rPr>
        <w:t xml:space="preserve">11.3 Tabelas — Catálogo e Estoque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produtos</w:t>
            </w:r>
          </w:p>
        </w:tc>
        <w:tc>
          <w:tcPr>
            <w:tcW w:type="dxa" w:w="7100"/>
            <w:tcMar>
              <w:top w:type="dxa" w:w="90"/>
              <w:left w:type="dxa" w:w="110"/>
              <w:bottom w:type="dxa" w:w="90"/>
              <w:right w:type="dxa" w:w="110"/>
            </w:tcMar>
          </w:tcPr>
          <w:p>
            <w:r>
              <w:rPr>
                <w:b w:val="false"/>
                <w:bCs w:val="false"/>
                <w:color w:val="1A1A1A"/>
                <w:sz w:val="19"/>
                <w:szCs w:val="19"/>
              </w:rPr>
              <w:t xml:space="preserve">id, tenant_id, nome, sku, categoria_id, marca_id, codigo_barras, preco_custo, preco_venda, ativo</w:t>
            </w:r>
          </w:p>
        </w:tc>
      </w:tr>
      <w:tr>
        <w:tc>
          <w:tcPr>
            <w:tcW w:type="dxa" w:w="2600"/>
            <w:tcMar>
              <w:top w:type="dxa" w:w="90"/>
              <w:left w:type="dxa" w:w="110"/>
              <w:bottom w:type="dxa" w:w="90"/>
              <w:right w:type="dxa" w:w="110"/>
            </w:tcMar>
          </w:tcPr>
          <w:p>
            <w:r>
              <w:rPr>
                <w:b w:val="false"/>
                <w:bCs w:val="false"/>
                <w:color w:val="1A1A1A"/>
                <w:sz w:val="19"/>
                <w:szCs w:val="19"/>
              </w:rPr>
              <w:t xml:space="preserve">produto_variacoes</w:t>
            </w:r>
          </w:p>
        </w:tc>
        <w:tc>
          <w:tcPr>
            <w:tcW w:type="dxa" w:w="7100"/>
            <w:tcMar>
              <w:top w:type="dxa" w:w="90"/>
              <w:left w:type="dxa" w:w="110"/>
              <w:bottom w:type="dxa" w:w="90"/>
              <w:right w:type="dxa" w:w="110"/>
            </w:tcMar>
          </w:tcPr>
          <w:p>
            <w:r>
              <w:rPr>
                <w:b w:val="false"/>
                <w:bCs w:val="false"/>
                <w:color w:val="1A1A1A"/>
                <w:sz w:val="19"/>
                <w:szCs w:val="19"/>
              </w:rPr>
              <w:t xml:space="preserve">id, produto_id, tipo (cor/tamanho), valor, sku_variacao</w:t>
            </w:r>
          </w:p>
        </w:tc>
      </w:tr>
      <w:tr>
        <w:tc>
          <w:tcPr>
            <w:tcW w:type="dxa" w:w="2600"/>
            <w:tcMar>
              <w:top w:type="dxa" w:w="90"/>
              <w:left w:type="dxa" w:w="110"/>
              <w:bottom w:type="dxa" w:w="90"/>
              <w:right w:type="dxa" w:w="110"/>
            </w:tcMar>
          </w:tcPr>
          <w:p>
            <w:r>
              <w:rPr>
                <w:b w:val="false"/>
                <w:bCs w:val="false"/>
                <w:color w:val="1A1A1A"/>
                <w:sz w:val="19"/>
                <w:szCs w:val="19"/>
              </w:rPr>
              <w:t xml:space="preserve">categorias</w:t>
            </w:r>
          </w:p>
        </w:tc>
        <w:tc>
          <w:tcPr>
            <w:tcW w:type="dxa" w:w="7100"/>
            <w:tcMar>
              <w:top w:type="dxa" w:w="90"/>
              <w:left w:type="dxa" w:w="110"/>
              <w:bottom w:type="dxa" w:w="90"/>
              <w:right w:type="dxa" w:w="110"/>
            </w:tcMar>
          </w:tcPr>
          <w:p>
            <w:r>
              <w:rPr>
                <w:b w:val="false"/>
                <w:bCs w:val="false"/>
                <w:color w:val="1A1A1A"/>
                <w:sz w:val="19"/>
                <w:szCs w:val="19"/>
              </w:rPr>
              <w:t xml:space="preserve">id, tenant_id, nome, categoria_pai_id</w:t>
            </w:r>
          </w:p>
        </w:tc>
      </w:tr>
      <w:tr>
        <w:tc>
          <w:tcPr>
            <w:tcW w:type="dxa" w:w="2600"/>
            <w:tcMar>
              <w:top w:type="dxa" w:w="90"/>
              <w:left w:type="dxa" w:w="110"/>
              <w:bottom w:type="dxa" w:w="90"/>
              <w:right w:type="dxa" w:w="110"/>
            </w:tcMar>
          </w:tcPr>
          <w:p>
            <w:r>
              <w:rPr>
                <w:b w:val="false"/>
                <w:bCs w:val="false"/>
                <w:color w:val="1A1A1A"/>
                <w:sz w:val="19"/>
                <w:szCs w:val="19"/>
              </w:rPr>
              <w:t xml:space="preserve">marcas</w:t>
            </w:r>
          </w:p>
        </w:tc>
        <w:tc>
          <w:tcPr>
            <w:tcW w:type="dxa" w:w="7100"/>
            <w:tcMar>
              <w:top w:type="dxa" w:w="90"/>
              <w:left w:type="dxa" w:w="110"/>
              <w:bottom w:type="dxa" w:w="90"/>
              <w:right w:type="dxa" w:w="110"/>
            </w:tcMar>
          </w:tcPr>
          <w:p>
            <w:r>
              <w:rPr>
                <w:b w:val="false"/>
                <w:bCs w:val="false"/>
                <w:color w:val="1A1A1A"/>
                <w:sz w:val="19"/>
                <w:szCs w:val="19"/>
              </w:rPr>
              <w:t xml:space="preserve">id, tenant_id, nome</w:t>
            </w:r>
          </w:p>
        </w:tc>
      </w:tr>
      <w:tr>
        <w:tc>
          <w:tcPr>
            <w:tcW w:type="dxa" w:w="2600"/>
            <w:tcMar>
              <w:top w:type="dxa" w:w="90"/>
              <w:left w:type="dxa" w:w="110"/>
              <w:bottom w:type="dxa" w:w="90"/>
              <w:right w:type="dxa" w:w="110"/>
            </w:tcMar>
          </w:tcPr>
          <w:p>
            <w:r>
              <w:rPr>
                <w:b w:val="false"/>
                <w:bCs w:val="false"/>
                <w:color w:val="1A1A1A"/>
                <w:sz w:val="19"/>
                <w:szCs w:val="19"/>
              </w:rPr>
              <w:t xml:space="preserve">estoque_saldo</w:t>
            </w:r>
          </w:p>
        </w:tc>
        <w:tc>
          <w:tcPr>
            <w:tcW w:type="dxa" w:w="7100"/>
            <w:tcMar>
              <w:top w:type="dxa" w:w="90"/>
              <w:left w:type="dxa" w:w="110"/>
              <w:bottom w:type="dxa" w:w="90"/>
              <w:right w:type="dxa" w:w="110"/>
            </w:tcMar>
          </w:tcPr>
          <w:p>
            <w:r>
              <w:rPr>
                <w:b w:val="false"/>
                <w:bCs w:val="false"/>
                <w:color w:val="1A1A1A"/>
                <w:sz w:val="19"/>
                <w:szCs w:val="19"/>
              </w:rPr>
              <w:t xml:space="preserve">produto_id, filial_id, quantidade_atual, quantidade_minima</w:t>
            </w:r>
          </w:p>
        </w:tc>
      </w:tr>
      <w:tr>
        <w:tc>
          <w:tcPr>
            <w:tcW w:type="dxa" w:w="2600"/>
            <w:tcMar>
              <w:top w:type="dxa" w:w="90"/>
              <w:left w:type="dxa" w:w="110"/>
              <w:bottom w:type="dxa" w:w="90"/>
              <w:right w:type="dxa" w:w="110"/>
            </w:tcMar>
          </w:tcPr>
          <w:p>
            <w:r>
              <w:rPr>
                <w:b w:val="false"/>
                <w:bCs w:val="false"/>
                <w:color w:val="1A1A1A"/>
                <w:sz w:val="19"/>
                <w:szCs w:val="19"/>
              </w:rPr>
              <w:t xml:space="preserve">estoque_movimentos</w:t>
            </w:r>
          </w:p>
        </w:tc>
        <w:tc>
          <w:tcPr>
            <w:tcW w:type="dxa" w:w="7100"/>
            <w:tcMar>
              <w:top w:type="dxa" w:w="90"/>
              <w:left w:type="dxa" w:w="110"/>
              <w:bottom w:type="dxa" w:w="90"/>
              <w:right w:type="dxa" w:w="110"/>
            </w:tcMar>
          </w:tcPr>
          <w:p>
            <w:r>
              <w:rPr>
                <w:b w:val="false"/>
                <w:bCs w:val="false"/>
                <w:color w:val="1A1A1A"/>
                <w:sz w:val="19"/>
                <w:szCs w:val="19"/>
              </w:rPr>
              <w:t xml:space="preserve">id, tenant_id, produto_id, filial_id, tipo (entrada/saida/perda/ajuste), quantidade, motivo, referencia_id, criado_por</w:t>
            </w:r>
          </w:p>
        </w:tc>
      </w:tr>
      <w:tr>
        <w:tc>
          <w:tcPr>
            <w:tcW w:type="dxa" w:w="2600"/>
            <w:tcMar>
              <w:top w:type="dxa" w:w="90"/>
              <w:left w:type="dxa" w:w="110"/>
              <w:bottom w:type="dxa" w:w="90"/>
              <w:right w:type="dxa" w:w="110"/>
            </w:tcMar>
          </w:tcPr>
          <w:p>
            <w:r>
              <w:rPr>
                <w:b w:val="false"/>
                <w:bCs w:val="false"/>
                <w:color w:val="1A1A1A"/>
                <w:sz w:val="19"/>
                <w:szCs w:val="19"/>
              </w:rPr>
              <w:t xml:space="preserve">inventario_contagens</w:t>
            </w:r>
          </w:p>
        </w:tc>
        <w:tc>
          <w:tcPr>
            <w:tcW w:type="dxa" w:w="7100"/>
            <w:tcMar>
              <w:top w:type="dxa" w:w="90"/>
              <w:left w:type="dxa" w:w="110"/>
              <w:bottom w:type="dxa" w:w="90"/>
              <w:right w:type="dxa" w:w="110"/>
            </w:tcMar>
          </w:tcPr>
          <w:p>
            <w:r>
              <w:rPr>
                <w:b w:val="false"/>
                <w:bCs w:val="false"/>
                <w:color w:val="1A1A1A"/>
                <w:sz w:val="19"/>
                <w:szCs w:val="19"/>
              </w:rPr>
              <w:t xml:space="preserve">id, tenant_id, filial_id, status, data_contagem</w:t>
            </w:r>
          </w:p>
        </w:tc>
      </w:tr>
      <w:tr>
        <w:tc>
          <w:tcPr>
            <w:tcW w:type="dxa" w:w="2600"/>
            <w:tcMar>
              <w:top w:type="dxa" w:w="90"/>
              <w:left w:type="dxa" w:w="110"/>
              <w:bottom w:type="dxa" w:w="90"/>
              <w:right w:type="dxa" w:w="110"/>
            </w:tcMar>
          </w:tcPr>
          <w:p>
            <w:r>
              <w:rPr>
                <w:b w:val="false"/>
                <w:bCs w:val="false"/>
                <w:color w:val="1A1A1A"/>
                <w:sz w:val="19"/>
                <w:szCs w:val="19"/>
              </w:rPr>
              <w:t xml:space="preserve">inventario_itens</w:t>
            </w:r>
          </w:p>
        </w:tc>
        <w:tc>
          <w:tcPr>
            <w:tcW w:type="dxa" w:w="7100"/>
            <w:tcMar>
              <w:top w:type="dxa" w:w="90"/>
              <w:left w:type="dxa" w:w="110"/>
              <w:bottom w:type="dxa" w:w="90"/>
              <w:right w:type="dxa" w:w="110"/>
            </w:tcMar>
          </w:tcPr>
          <w:p>
            <w:r>
              <w:rPr>
                <w:b w:val="false"/>
                <w:bCs w:val="false"/>
                <w:color w:val="1A1A1A"/>
                <w:sz w:val="19"/>
                <w:szCs w:val="19"/>
              </w:rPr>
              <w:t xml:space="preserve">contagem_id, produto_id, quantidade_sistema, quantidade_contada, divergencia</w:t>
            </w:r>
          </w:p>
        </w:tc>
      </w:tr>
    </w:tbl>
    <w:p>
      <w:pPr>
        <w:pStyle w:val="Heading2"/>
        <w:spacing w:after="140" w:before="320"/>
      </w:pPr>
      <w:r>
        <w:rPr>
          <w:b/>
          <w:bCs/>
          <w:color w:val="B8860B"/>
          <w:sz w:val="26"/>
          <w:szCs w:val="26"/>
        </w:rPr>
        <w:t xml:space="preserve">11.4 Tabelas — Fornecedores e Compras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fornecedores</w:t>
            </w:r>
          </w:p>
        </w:tc>
        <w:tc>
          <w:tcPr>
            <w:tcW w:type="dxa" w:w="7100"/>
            <w:tcMar>
              <w:top w:type="dxa" w:w="90"/>
              <w:left w:type="dxa" w:w="110"/>
              <w:bottom w:type="dxa" w:w="90"/>
              <w:right w:type="dxa" w:w="110"/>
            </w:tcMar>
          </w:tcPr>
          <w:p>
            <w:r>
              <w:rPr>
                <w:b w:val="false"/>
                <w:bCs w:val="false"/>
                <w:color w:val="1A1A1A"/>
                <w:sz w:val="19"/>
                <w:szCs w:val="19"/>
              </w:rPr>
              <w:t xml:space="preserve">id, tenant_id, nome, contato, condicoes_pagamento</w:t>
            </w:r>
          </w:p>
        </w:tc>
      </w:tr>
      <w:tr>
        <w:tc>
          <w:tcPr>
            <w:tcW w:type="dxa" w:w="2600"/>
            <w:tcMar>
              <w:top w:type="dxa" w:w="90"/>
              <w:left w:type="dxa" w:w="110"/>
              <w:bottom w:type="dxa" w:w="90"/>
              <w:right w:type="dxa" w:w="110"/>
            </w:tcMar>
          </w:tcPr>
          <w:p>
            <w:r>
              <w:rPr>
                <w:b w:val="false"/>
                <w:bCs w:val="false"/>
                <w:color w:val="1A1A1A"/>
                <w:sz w:val="19"/>
                <w:szCs w:val="19"/>
              </w:rPr>
              <w:t xml:space="preserve">compras</w:t>
            </w:r>
          </w:p>
        </w:tc>
        <w:tc>
          <w:tcPr>
            <w:tcW w:type="dxa" w:w="7100"/>
            <w:tcMar>
              <w:top w:type="dxa" w:w="90"/>
              <w:left w:type="dxa" w:w="110"/>
              <w:bottom w:type="dxa" w:w="90"/>
              <w:right w:type="dxa" w:w="110"/>
            </w:tcMar>
          </w:tcPr>
          <w:p>
            <w:r>
              <w:rPr>
                <w:b w:val="false"/>
                <w:bCs w:val="false"/>
                <w:color w:val="1A1A1A"/>
                <w:sz w:val="19"/>
                <w:szCs w:val="19"/>
              </w:rPr>
              <w:t xml:space="preserve">id, tenant_id, fornecedor_id, status, data_pedido, data_recebimento</w:t>
            </w:r>
          </w:p>
        </w:tc>
      </w:tr>
      <w:tr>
        <w:tc>
          <w:tcPr>
            <w:tcW w:type="dxa" w:w="2600"/>
            <w:tcMar>
              <w:top w:type="dxa" w:w="90"/>
              <w:left w:type="dxa" w:w="110"/>
              <w:bottom w:type="dxa" w:w="90"/>
              <w:right w:type="dxa" w:w="110"/>
            </w:tcMar>
          </w:tcPr>
          <w:p>
            <w:r>
              <w:rPr>
                <w:b w:val="false"/>
                <w:bCs w:val="false"/>
                <w:color w:val="1A1A1A"/>
                <w:sz w:val="19"/>
                <w:szCs w:val="19"/>
              </w:rPr>
              <w:t xml:space="preserve">compra_itens</w:t>
            </w:r>
          </w:p>
        </w:tc>
        <w:tc>
          <w:tcPr>
            <w:tcW w:type="dxa" w:w="7100"/>
            <w:tcMar>
              <w:top w:type="dxa" w:w="90"/>
              <w:left w:type="dxa" w:w="110"/>
              <w:bottom w:type="dxa" w:w="90"/>
              <w:right w:type="dxa" w:w="110"/>
            </w:tcMar>
          </w:tcPr>
          <w:p>
            <w:r>
              <w:rPr>
                <w:b w:val="false"/>
                <w:bCs w:val="false"/>
                <w:color w:val="1A1A1A"/>
                <w:sz w:val="19"/>
                <w:szCs w:val="19"/>
              </w:rPr>
              <w:t xml:space="preserve">compra_id, produto_id, quantidade, preco_unitario</w:t>
            </w:r>
          </w:p>
        </w:tc>
      </w:tr>
    </w:tbl>
    <w:p>
      <w:pPr>
        <w:pStyle w:val="Heading2"/>
        <w:spacing w:after="140" w:before="320"/>
      </w:pPr>
      <w:r>
        <w:rPr>
          <w:b/>
          <w:bCs/>
          <w:color w:val="B8860B"/>
          <w:sz w:val="26"/>
          <w:szCs w:val="26"/>
        </w:rPr>
        <w:t xml:space="preserve">11.5 Tabelas — Vendas e Caixa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vendas</w:t>
            </w:r>
          </w:p>
        </w:tc>
        <w:tc>
          <w:tcPr>
            <w:tcW w:type="dxa" w:w="7100"/>
            <w:tcMar>
              <w:top w:type="dxa" w:w="90"/>
              <w:left w:type="dxa" w:w="110"/>
              <w:bottom w:type="dxa" w:w="90"/>
              <w:right w:type="dxa" w:w="110"/>
            </w:tcMar>
          </w:tcPr>
          <w:p>
            <w:r>
              <w:rPr>
                <w:b w:val="false"/>
                <w:bCs w:val="false"/>
                <w:color w:val="1A1A1A"/>
                <w:sz w:val="19"/>
                <w:szCs w:val="19"/>
              </w:rPr>
              <w:t xml:space="preserve">id, tenant_id, filial_id, vendedor_id, cliente_id, status, forma_pagamento, total, criado_em</w:t>
            </w:r>
          </w:p>
        </w:tc>
      </w:tr>
      <w:tr>
        <w:tc>
          <w:tcPr>
            <w:tcW w:type="dxa" w:w="2600"/>
            <w:tcMar>
              <w:top w:type="dxa" w:w="90"/>
              <w:left w:type="dxa" w:w="110"/>
              <w:bottom w:type="dxa" w:w="90"/>
              <w:right w:type="dxa" w:w="110"/>
            </w:tcMar>
          </w:tcPr>
          <w:p>
            <w:r>
              <w:rPr>
                <w:b w:val="false"/>
                <w:bCs w:val="false"/>
                <w:color w:val="1A1A1A"/>
                <w:sz w:val="19"/>
                <w:szCs w:val="19"/>
              </w:rPr>
              <w:t xml:space="preserve">venda_itens</w:t>
            </w:r>
          </w:p>
        </w:tc>
        <w:tc>
          <w:tcPr>
            <w:tcW w:type="dxa" w:w="7100"/>
            <w:tcMar>
              <w:top w:type="dxa" w:w="90"/>
              <w:left w:type="dxa" w:w="110"/>
              <w:bottom w:type="dxa" w:w="90"/>
              <w:right w:type="dxa" w:w="110"/>
            </w:tcMar>
          </w:tcPr>
          <w:p>
            <w:r>
              <w:rPr>
                <w:b w:val="false"/>
                <w:bCs w:val="false"/>
                <w:color w:val="1A1A1A"/>
                <w:sz w:val="19"/>
                <w:szCs w:val="19"/>
              </w:rPr>
              <w:t xml:space="preserve">venda_id, produto_id, quantidade, preco_unitario, desconto</w:t>
            </w:r>
          </w:p>
        </w:tc>
      </w:tr>
      <w:tr>
        <w:tc>
          <w:tcPr>
            <w:tcW w:type="dxa" w:w="2600"/>
            <w:tcMar>
              <w:top w:type="dxa" w:w="90"/>
              <w:left w:type="dxa" w:w="110"/>
              <w:bottom w:type="dxa" w:w="90"/>
              <w:right w:type="dxa" w:w="110"/>
            </w:tcMar>
          </w:tcPr>
          <w:p>
            <w:r>
              <w:rPr>
                <w:b w:val="false"/>
                <w:bCs w:val="false"/>
                <w:color w:val="1A1A1A"/>
                <w:sz w:val="19"/>
                <w:szCs w:val="19"/>
              </w:rPr>
              <w:t xml:space="preserve">caixa_turnos</w:t>
            </w:r>
          </w:p>
        </w:tc>
        <w:tc>
          <w:tcPr>
            <w:tcW w:type="dxa" w:w="7100"/>
            <w:tcMar>
              <w:top w:type="dxa" w:w="90"/>
              <w:left w:type="dxa" w:w="110"/>
              <w:bottom w:type="dxa" w:w="90"/>
              <w:right w:type="dxa" w:w="110"/>
            </w:tcMar>
          </w:tcPr>
          <w:p>
            <w:r>
              <w:rPr>
                <w:b w:val="false"/>
                <w:bCs w:val="false"/>
                <w:color w:val="1A1A1A"/>
                <w:sz w:val="19"/>
                <w:szCs w:val="19"/>
              </w:rPr>
              <w:t xml:space="preserve">id, tenant_id, filial_id, operador_id, valor_abertura, valor_fechamento, status</w:t>
            </w:r>
          </w:p>
        </w:tc>
      </w:tr>
      <w:tr>
        <w:tc>
          <w:tcPr>
            <w:tcW w:type="dxa" w:w="2600"/>
            <w:tcMar>
              <w:top w:type="dxa" w:w="90"/>
              <w:left w:type="dxa" w:w="110"/>
              <w:bottom w:type="dxa" w:w="90"/>
              <w:right w:type="dxa" w:w="110"/>
            </w:tcMar>
          </w:tcPr>
          <w:p>
            <w:r>
              <w:rPr>
                <w:b w:val="false"/>
                <w:bCs w:val="false"/>
                <w:color w:val="1A1A1A"/>
                <w:sz w:val="19"/>
                <w:szCs w:val="19"/>
              </w:rPr>
              <w:t xml:space="preserve">caixa_movimentos</w:t>
            </w:r>
          </w:p>
        </w:tc>
        <w:tc>
          <w:tcPr>
            <w:tcW w:type="dxa" w:w="7100"/>
            <w:tcMar>
              <w:top w:type="dxa" w:w="90"/>
              <w:left w:type="dxa" w:w="110"/>
              <w:bottom w:type="dxa" w:w="90"/>
              <w:right w:type="dxa" w:w="110"/>
            </w:tcMar>
          </w:tcPr>
          <w:p>
            <w:r>
              <w:rPr>
                <w:b w:val="false"/>
                <w:bCs w:val="false"/>
                <w:color w:val="1A1A1A"/>
                <w:sz w:val="19"/>
                <w:szCs w:val="19"/>
              </w:rPr>
              <w:t xml:space="preserve">id, turno_id, tipo (sangria/suprimento/venda), valor, descricao</w:t>
            </w:r>
          </w:p>
        </w:tc>
      </w:tr>
    </w:tbl>
    <w:p>
      <w:pPr>
        <w:pStyle w:val="Heading2"/>
        <w:spacing w:after="140" w:before="320"/>
      </w:pPr>
      <w:r>
        <w:rPr>
          <w:b/>
          <w:bCs/>
          <w:color w:val="B8860B"/>
          <w:sz w:val="26"/>
          <w:szCs w:val="26"/>
        </w:rPr>
        <w:t xml:space="preserve">11.6 Tabelas — Financeiro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contas_pagar</w:t>
            </w:r>
          </w:p>
        </w:tc>
        <w:tc>
          <w:tcPr>
            <w:tcW w:type="dxa" w:w="7100"/>
            <w:tcMar>
              <w:top w:type="dxa" w:w="90"/>
              <w:left w:type="dxa" w:w="110"/>
              <w:bottom w:type="dxa" w:w="90"/>
              <w:right w:type="dxa" w:w="110"/>
            </w:tcMar>
          </w:tcPr>
          <w:p>
            <w:r>
              <w:rPr>
                <w:b w:val="false"/>
                <w:bCs w:val="false"/>
                <w:color w:val="1A1A1A"/>
                <w:sz w:val="19"/>
                <w:szCs w:val="19"/>
              </w:rPr>
              <w:t xml:space="preserve">id, tenant_id, fornecedor_id, compra_id, valor, vencimento, status</w:t>
            </w:r>
          </w:p>
        </w:tc>
      </w:tr>
      <w:tr>
        <w:tc>
          <w:tcPr>
            <w:tcW w:type="dxa" w:w="2600"/>
            <w:tcMar>
              <w:top w:type="dxa" w:w="90"/>
              <w:left w:type="dxa" w:w="110"/>
              <w:bottom w:type="dxa" w:w="90"/>
              <w:right w:type="dxa" w:w="110"/>
            </w:tcMar>
          </w:tcPr>
          <w:p>
            <w:r>
              <w:rPr>
                <w:b w:val="false"/>
                <w:bCs w:val="false"/>
                <w:color w:val="1A1A1A"/>
                <w:sz w:val="19"/>
                <w:szCs w:val="19"/>
              </w:rPr>
              <w:t xml:space="preserve">contas_receber</w:t>
            </w:r>
          </w:p>
        </w:tc>
        <w:tc>
          <w:tcPr>
            <w:tcW w:type="dxa" w:w="7100"/>
            <w:tcMar>
              <w:top w:type="dxa" w:w="90"/>
              <w:left w:type="dxa" w:w="110"/>
              <w:bottom w:type="dxa" w:w="90"/>
              <w:right w:type="dxa" w:w="110"/>
            </w:tcMar>
          </w:tcPr>
          <w:p>
            <w:r>
              <w:rPr>
                <w:b w:val="false"/>
                <w:bCs w:val="false"/>
                <w:color w:val="1A1A1A"/>
                <w:sz w:val="19"/>
                <w:szCs w:val="19"/>
              </w:rPr>
              <w:t xml:space="preserve">id, tenant_id, cliente_id, venda_id, valor, vencimento, status</w:t>
            </w:r>
          </w:p>
        </w:tc>
      </w:tr>
      <w:tr>
        <w:tc>
          <w:tcPr>
            <w:tcW w:type="dxa" w:w="2600"/>
            <w:tcMar>
              <w:top w:type="dxa" w:w="90"/>
              <w:left w:type="dxa" w:w="110"/>
              <w:bottom w:type="dxa" w:w="90"/>
              <w:right w:type="dxa" w:w="110"/>
            </w:tcMar>
          </w:tcPr>
          <w:p>
            <w:r>
              <w:rPr>
                <w:b w:val="false"/>
                <w:bCs w:val="false"/>
                <w:color w:val="1A1A1A"/>
                <w:sz w:val="19"/>
                <w:szCs w:val="19"/>
              </w:rPr>
              <w:t xml:space="preserve">caixa_fluxo_projetado</w:t>
            </w:r>
          </w:p>
        </w:tc>
        <w:tc>
          <w:tcPr>
            <w:tcW w:type="dxa" w:w="7100"/>
            <w:tcMar>
              <w:top w:type="dxa" w:w="90"/>
              <w:left w:type="dxa" w:w="110"/>
              <w:bottom w:type="dxa" w:w="90"/>
              <w:right w:type="dxa" w:w="110"/>
            </w:tcMar>
          </w:tcPr>
          <w:p>
            <w:r>
              <w:rPr>
                <w:b w:val="false"/>
                <w:bCs w:val="false"/>
                <w:color w:val="1A1A1A"/>
                <w:sz w:val="19"/>
                <w:szCs w:val="19"/>
              </w:rPr>
              <w:t xml:space="preserve">tenant_id, data_referencia, tipo, valor_previsto</w:t>
            </w:r>
          </w:p>
        </w:tc>
      </w:tr>
    </w:tbl>
    <w:p>
      <w:pPr>
        <w:pStyle w:val="Heading2"/>
        <w:spacing w:after="140" w:before="320"/>
      </w:pPr>
      <w:r>
        <w:rPr>
          <w:b/>
          <w:bCs/>
          <w:color w:val="B8860B"/>
          <w:sz w:val="26"/>
          <w:szCs w:val="26"/>
        </w:rPr>
        <w:t xml:space="preserve">11.7 Tabelas — CRM, Metas e Fidelidade (V2/V3)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clientes</w:t>
            </w:r>
          </w:p>
        </w:tc>
        <w:tc>
          <w:tcPr>
            <w:tcW w:type="dxa" w:w="7100"/>
            <w:tcMar>
              <w:top w:type="dxa" w:w="90"/>
              <w:left w:type="dxa" w:w="110"/>
              <w:bottom w:type="dxa" w:w="90"/>
              <w:right w:type="dxa" w:w="110"/>
            </w:tcMar>
          </w:tcPr>
          <w:p>
            <w:r>
              <w:rPr>
                <w:b w:val="false"/>
                <w:bCs w:val="false"/>
                <w:color w:val="1A1A1A"/>
                <w:sz w:val="19"/>
                <w:szCs w:val="19"/>
              </w:rPr>
              <w:t xml:space="preserve">id, tenant_id, nome, contato, criado_em</w:t>
            </w:r>
          </w:p>
        </w:tc>
      </w:tr>
      <w:tr>
        <w:tc>
          <w:tcPr>
            <w:tcW w:type="dxa" w:w="2600"/>
            <w:tcMar>
              <w:top w:type="dxa" w:w="90"/>
              <w:left w:type="dxa" w:w="110"/>
              <w:bottom w:type="dxa" w:w="90"/>
              <w:right w:type="dxa" w:w="110"/>
            </w:tcMar>
          </w:tcPr>
          <w:p>
            <w:r>
              <w:rPr>
                <w:b w:val="false"/>
                <w:bCs w:val="false"/>
                <w:color w:val="1A1A1A"/>
                <w:sz w:val="19"/>
                <w:szCs w:val="19"/>
              </w:rPr>
              <w:t xml:space="preserve">metas_vendedor</w:t>
            </w:r>
          </w:p>
        </w:tc>
        <w:tc>
          <w:tcPr>
            <w:tcW w:type="dxa" w:w="7100"/>
            <w:tcMar>
              <w:top w:type="dxa" w:w="90"/>
              <w:left w:type="dxa" w:w="110"/>
              <w:bottom w:type="dxa" w:w="90"/>
              <w:right w:type="dxa" w:w="110"/>
            </w:tcMar>
          </w:tcPr>
          <w:p>
            <w:r>
              <w:rPr>
                <w:b w:val="false"/>
                <w:bCs w:val="false"/>
                <w:color w:val="1A1A1A"/>
                <w:sz w:val="19"/>
                <w:szCs w:val="19"/>
              </w:rPr>
              <w:t xml:space="preserve">id, tenant_id, usuario_id, periodo, valor_meta</w:t>
            </w:r>
          </w:p>
        </w:tc>
      </w:tr>
      <w:tr>
        <w:tc>
          <w:tcPr>
            <w:tcW w:type="dxa" w:w="2600"/>
            <w:tcMar>
              <w:top w:type="dxa" w:w="90"/>
              <w:left w:type="dxa" w:w="110"/>
              <w:bottom w:type="dxa" w:w="90"/>
              <w:right w:type="dxa" w:w="110"/>
            </w:tcMar>
          </w:tcPr>
          <w:p>
            <w:r>
              <w:rPr>
                <w:b w:val="false"/>
                <w:bCs w:val="false"/>
                <w:color w:val="1A1A1A"/>
                <w:sz w:val="19"/>
                <w:szCs w:val="19"/>
              </w:rPr>
              <w:t xml:space="preserve">comissoes</w:t>
            </w:r>
          </w:p>
        </w:tc>
        <w:tc>
          <w:tcPr>
            <w:tcW w:type="dxa" w:w="7100"/>
            <w:tcMar>
              <w:top w:type="dxa" w:w="90"/>
              <w:left w:type="dxa" w:w="110"/>
              <w:bottom w:type="dxa" w:w="90"/>
              <w:right w:type="dxa" w:w="110"/>
            </w:tcMar>
          </w:tcPr>
          <w:p>
            <w:r>
              <w:rPr>
                <w:b w:val="false"/>
                <w:bCs w:val="false"/>
                <w:color w:val="1A1A1A"/>
                <w:sz w:val="19"/>
                <w:szCs w:val="19"/>
              </w:rPr>
              <w:t xml:space="preserve">id, tenant_id, usuario_id, venda_id, valor_comissao</w:t>
            </w:r>
          </w:p>
        </w:tc>
      </w:tr>
      <w:tr>
        <w:tc>
          <w:tcPr>
            <w:tcW w:type="dxa" w:w="2600"/>
            <w:tcMar>
              <w:top w:type="dxa" w:w="90"/>
              <w:left w:type="dxa" w:w="110"/>
              <w:bottom w:type="dxa" w:w="90"/>
              <w:right w:type="dxa" w:w="110"/>
            </w:tcMar>
          </w:tcPr>
          <w:p>
            <w:r>
              <w:rPr>
                <w:b w:val="false"/>
                <w:bCs w:val="false"/>
                <w:color w:val="1A1A1A"/>
                <w:sz w:val="19"/>
                <w:szCs w:val="19"/>
              </w:rPr>
              <w:t xml:space="preserve">fidelidade_pontos</w:t>
            </w:r>
          </w:p>
        </w:tc>
        <w:tc>
          <w:tcPr>
            <w:tcW w:type="dxa" w:w="7100"/>
            <w:tcMar>
              <w:top w:type="dxa" w:w="90"/>
              <w:left w:type="dxa" w:w="110"/>
              <w:bottom w:type="dxa" w:w="90"/>
              <w:right w:type="dxa" w:w="110"/>
            </w:tcMar>
          </w:tcPr>
          <w:p>
            <w:r>
              <w:rPr>
                <w:b w:val="false"/>
                <w:bCs w:val="false"/>
                <w:color w:val="1A1A1A"/>
                <w:sz w:val="19"/>
                <w:szCs w:val="19"/>
              </w:rPr>
              <w:t xml:space="preserve">cliente_id, tenant_id, saldo_pontos, historico (jsonb)</w:t>
            </w:r>
          </w:p>
        </w:tc>
      </w:tr>
    </w:tbl>
    <w:p>
      <w:pPr>
        <w:pStyle w:val="Heading2"/>
        <w:spacing w:after="140" w:before="320"/>
      </w:pPr>
      <w:r>
        <w:rPr>
          <w:b/>
          <w:bCs/>
          <w:color w:val="B8860B"/>
          <w:sz w:val="26"/>
          <w:szCs w:val="26"/>
        </w:rPr>
        <w:t xml:space="preserve">11.8 Tabelas — Auditoria e Governança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Tabela</w:t>
            </w:r>
          </w:p>
        </w:tc>
        <w:tc>
          <w:tcPr>
            <w:tcW w:type="dxa" w:w="71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2600"/>
            <w:tcMar>
              <w:top w:type="dxa" w:w="90"/>
              <w:left w:type="dxa" w:w="110"/>
              <w:bottom w:type="dxa" w:w="90"/>
              <w:right w:type="dxa" w:w="110"/>
            </w:tcMar>
          </w:tcPr>
          <w:p>
            <w:r>
              <w:rPr>
                <w:b w:val="false"/>
                <w:bCs w:val="false"/>
                <w:color w:val="1A1A1A"/>
                <w:sz w:val="19"/>
                <w:szCs w:val="19"/>
              </w:rPr>
              <w:t xml:space="preserve">auditoria_logs</w:t>
            </w:r>
          </w:p>
        </w:tc>
        <w:tc>
          <w:tcPr>
            <w:tcW w:type="dxa" w:w="7100"/>
            <w:tcMar>
              <w:top w:type="dxa" w:w="90"/>
              <w:left w:type="dxa" w:w="110"/>
              <w:bottom w:type="dxa" w:w="90"/>
              <w:right w:type="dxa" w:w="110"/>
            </w:tcMar>
          </w:tcPr>
          <w:p>
            <w:r>
              <w:rPr>
                <w:b w:val="false"/>
                <w:bCs w:val="false"/>
                <w:color w:val="1A1A1A"/>
                <w:sz w:val="19"/>
                <w:szCs w:val="19"/>
              </w:rPr>
              <w:t xml:space="preserve">id, tenant_id, usuario_id, acao, tabela_afetada, registro_id, dados_antes, dados_depois, criado_em</w:t>
            </w:r>
          </w:p>
        </w:tc>
      </w:tr>
      <w:tr>
        <w:tc>
          <w:tcPr>
            <w:tcW w:type="dxa" w:w="2600"/>
            <w:tcMar>
              <w:top w:type="dxa" w:w="90"/>
              <w:left w:type="dxa" w:w="110"/>
              <w:bottom w:type="dxa" w:w="90"/>
              <w:right w:type="dxa" w:w="110"/>
            </w:tcMar>
          </w:tcPr>
          <w:p>
            <w:r>
              <w:rPr>
                <w:b w:val="false"/>
                <w:bCs w:val="false"/>
                <w:color w:val="1A1A1A"/>
                <w:sz w:val="19"/>
                <w:szCs w:val="19"/>
              </w:rPr>
              <w:t xml:space="preserve">notificacoes</w:t>
            </w:r>
          </w:p>
        </w:tc>
        <w:tc>
          <w:tcPr>
            <w:tcW w:type="dxa" w:w="7100"/>
            <w:tcMar>
              <w:top w:type="dxa" w:w="90"/>
              <w:left w:type="dxa" w:w="110"/>
              <w:bottom w:type="dxa" w:w="90"/>
              <w:right w:type="dxa" w:w="110"/>
            </w:tcMar>
          </w:tcPr>
          <w:p>
            <w:r>
              <w:rPr>
                <w:b w:val="false"/>
                <w:bCs w:val="false"/>
                <w:color w:val="1A1A1A"/>
                <w:sz w:val="19"/>
                <w:szCs w:val="19"/>
              </w:rPr>
              <w:t xml:space="preserve">id, tenant_id, usuario_id, tipo, mensagem, lida</w:t>
            </w:r>
          </w:p>
        </w:tc>
      </w:tr>
    </w:tbl>
    <w:p>
      <w:pPr>
        <w:pStyle w:val="Heading2"/>
        <w:spacing w:after="140" w:before="320"/>
      </w:pPr>
      <w:r>
        <w:rPr>
          <w:b/>
          <w:bCs/>
          <w:color w:val="B8860B"/>
          <w:sz w:val="26"/>
          <w:szCs w:val="26"/>
        </w:rPr>
        <w:t xml:space="preserve">11.9 Relacionamentos-Chave</w:t>
      </w:r>
    </w:p>
    <w:p>
      <w:pPr>
        <w:pStyle w:val="ListParagraph"/>
        <w:numPr>
          <w:ilvl w:val="0"/>
          <w:numId w:val="3"/>
        </w:numPr>
        <w:spacing w:after="70"/>
      </w:pPr>
      <w:r>
        <w:rPr>
          <w:sz w:val="21"/>
          <w:szCs w:val="21"/>
        </w:rPr>
        <w:t xml:space="preserve">produtos.categoria_id → categorias.id</w:t>
      </w:r>
    </w:p>
    <w:p>
      <w:pPr>
        <w:pStyle w:val="ListParagraph"/>
        <w:numPr>
          <w:ilvl w:val="0"/>
          <w:numId w:val="3"/>
        </w:numPr>
        <w:spacing w:after="70"/>
      </w:pPr>
      <w:r>
        <w:rPr>
          <w:sz w:val="21"/>
          <w:szCs w:val="21"/>
        </w:rPr>
        <w:t xml:space="preserve">estoque_movimentos.produto_id → produtos.id (1 produto : N movimentos)</w:t>
      </w:r>
    </w:p>
    <w:p>
      <w:pPr>
        <w:pStyle w:val="ListParagraph"/>
        <w:numPr>
          <w:ilvl w:val="0"/>
          <w:numId w:val="3"/>
        </w:numPr>
        <w:spacing w:after="70"/>
      </w:pPr>
      <w:r>
        <w:rPr>
          <w:sz w:val="21"/>
          <w:szCs w:val="21"/>
        </w:rPr>
        <w:t xml:space="preserve">venda_itens.venda_id → vendas.id (1 venda : N itens)</w:t>
      </w:r>
    </w:p>
    <w:p>
      <w:pPr>
        <w:pStyle w:val="ListParagraph"/>
        <w:numPr>
          <w:ilvl w:val="0"/>
          <w:numId w:val="3"/>
        </w:numPr>
        <w:spacing w:after="70"/>
      </w:pPr>
      <w:r>
        <w:rPr>
          <w:sz w:val="21"/>
          <w:szCs w:val="21"/>
        </w:rPr>
        <w:t xml:space="preserve">compra_itens.compra_id → compras.id (1 compra : N itens)</w:t>
      </w:r>
    </w:p>
    <w:p>
      <w:pPr>
        <w:pStyle w:val="ListParagraph"/>
        <w:numPr>
          <w:ilvl w:val="0"/>
          <w:numId w:val="3"/>
        </w:numPr>
        <w:spacing w:after="70"/>
      </w:pPr>
      <w:r>
        <w:rPr>
          <w:sz w:val="21"/>
          <w:szCs w:val="21"/>
        </w:rPr>
        <w:t xml:space="preserve">contas_pagar.compra_id → compras.id (opcional, quando gerada a partir de uma compra)</w:t>
      </w:r>
    </w:p>
    <w:p>
      <w:pPr>
        <w:pStyle w:val="ListParagraph"/>
        <w:numPr>
          <w:ilvl w:val="0"/>
          <w:numId w:val="3"/>
        </w:numPr>
        <w:spacing w:after="70"/>
      </w:pPr>
      <w:r>
        <w:rPr>
          <w:sz w:val="21"/>
          <w:szCs w:val="21"/>
        </w:rPr>
        <w:t xml:space="preserve">Toda tabela de negócio → tenants.id (isolamento multi-tenant)</w:t>
      </w:r>
    </w:p>
    <w:p>
      <w:pPr>
        <w:pStyle w:val="Heading2"/>
        <w:spacing w:after="140" w:before="320"/>
      </w:pPr>
      <w:r>
        <w:rPr>
          <w:b/>
          <w:bCs/>
          <w:color w:val="B8860B"/>
          <w:sz w:val="26"/>
          <w:szCs w:val="26"/>
        </w:rPr>
        <w:t xml:space="preserve">11.10 Índices Recomendados</w:t>
      </w:r>
    </w:p>
    <w:p>
      <w:pPr>
        <w:pStyle w:val="ListParagraph"/>
        <w:numPr>
          <w:ilvl w:val="0"/>
          <w:numId w:val="3"/>
        </w:numPr>
        <w:spacing w:after="70"/>
      </w:pPr>
      <w:r>
        <w:rPr>
          <w:sz w:val="21"/>
          <w:szCs w:val="21"/>
        </w:rPr>
        <w:t xml:space="preserve">Índice composto (tenant_id, ativo) em produtos, para listagens filtradas por tenant.</w:t>
      </w:r>
    </w:p>
    <w:p>
      <w:pPr>
        <w:pStyle w:val="ListParagraph"/>
        <w:numPr>
          <w:ilvl w:val="0"/>
          <w:numId w:val="3"/>
        </w:numPr>
        <w:spacing w:after="70"/>
      </w:pPr>
      <w:r>
        <w:rPr>
          <w:sz w:val="21"/>
          <w:szCs w:val="21"/>
        </w:rPr>
        <w:t xml:space="preserve">Índice único (tenant_id, codigo_barras) em produtos, para leitura rápida no PDV.</w:t>
      </w:r>
    </w:p>
    <w:p>
      <w:pPr>
        <w:pStyle w:val="ListParagraph"/>
        <w:numPr>
          <w:ilvl w:val="0"/>
          <w:numId w:val="3"/>
        </w:numPr>
        <w:spacing w:after="70"/>
      </w:pPr>
      <w:r>
        <w:rPr>
          <w:sz w:val="21"/>
          <w:szCs w:val="21"/>
        </w:rPr>
        <w:t xml:space="preserve">Índice (tenant_id, criado_em) em vendas e estoque_movimentos, para relatórios por período.</w:t>
      </w:r>
    </w:p>
    <w:p>
      <w:pPr>
        <w:pStyle w:val="ListParagraph"/>
        <w:numPr>
          <w:ilvl w:val="0"/>
          <w:numId w:val="3"/>
        </w:numPr>
        <w:spacing w:after="70"/>
      </w:pPr>
      <w:r>
        <w:rPr>
          <w:sz w:val="21"/>
          <w:szCs w:val="21"/>
        </w:rPr>
        <w:t xml:space="preserve">Índice (produto_id, filial_id) em estoque_saldo, chave de consulta mais frequente do sistema.</w:t>
      </w:r>
    </w:p>
    <w:p>
      <w:pPr>
        <w:pStyle w:val="Heading2"/>
        <w:spacing w:after="140" w:before="320"/>
      </w:pPr>
      <w:r>
        <w:rPr>
          <w:b/>
          <w:bCs/>
          <w:color w:val="B8860B"/>
          <w:sz w:val="26"/>
          <w:szCs w:val="26"/>
        </w:rPr>
        <w:t xml:space="preserve">11.11 Triggers</w:t>
      </w:r>
    </w:p>
    <w:p>
      <w:pPr>
        <w:pStyle w:val="ListParagraph"/>
        <w:numPr>
          <w:ilvl w:val="0"/>
          <w:numId w:val="3"/>
        </w:numPr>
        <w:spacing w:after="70"/>
      </w:pPr>
      <w:r>
        <w:rPr>
          <w:sz w:val="21"/>
          <w:szCs w:val="21"/>
        </w:rPr>
        <w:t xml:space="preserve">trg_estoque_apos_venda — decrementa estoque_saldo automaticamente ao confirmar uma venda (RF-EST-04).</w:t>
      </w:r>
    </w:p>
    <w:p>
      <w:pPr>
        <w:pStyle w:val="ListParagraph"/>
        <w:numPr>
          <w:ilvl w:val="0"/>
          <w:numId w:val="3"/>
        </w:numPr>
        <w:spacing w:after="70"/>
      </w:pPr>
      <w:r>
        <w:rPr>
          <w:sz w:val="21"/>
          <w:szCs w:val="21"/>
        </w:rPr>
        <w:t xml:space="preserve">trg_estoque_apos_recebimento — incrementa estoque_saldo ao registrar recebimento de compra.</w:t>
      </w:r>
    </w:p>
    <w:p>
      <w:pPr>
        <w:pStyle w:val="ListParagraph"/>
        <w:numPr>
          <w:ilvl w:val="0"/>
          <w:numId w:val="3"/>
        </w:numPr>
        <w:spacing w:after="70"/>
      </w:pPr>
      <w:r>
        <w:rPr>
          <w:sz w:val="21"/>
          <w:szCs w:val="21"/>
        </w:rPr>
        <w:t xml:space="preserve">trg_auditoria_generica — registra em auditoria_logs qualquer UPDATE/DELETE em tabelas sensíveis (produtos, estoque_movimentos, vendas).</w:t>
      </w:r>
    </w:p>
    <w:p>
      <w:pPr>
        <w:pStyle w:val="ListParagraph"/>
        <w:numPr>
          <w:ilvl w:val="0"/>
          <w:numId w:val="3"/>
        </w:numPr>
        <w:spacing w:after="70"/>
      </w:pPr>
      <w:r>
        <w:rPr>
          <w:sz w:val="21"/>
          <w:szCs w:val="21"/>
        </w:rPr>
        <w:t xml:space="preserve">trg_updated_at — atualiza automaticamente a coluna updated_at em qualquer UPDATE.</w:t>
      </w:r>
    </w:p>
    <w:p>
      <w:pPr>
        <w:pStyle w:val="Heading2"/>
        <w:spacing w:after="140" w:before="320"/>
      </w:pPr>
      <w:r>
        <w:rPr>
          <w:b/>
          <w:bCs/>
          <w:color w:val="B8860B"/>
          <w:sz w:val="26"/>
          <w:szCs w:val="26"/>
        </w:rPr>
        <w:t xml:space="preserve">11.12 Views</w:t>
      </w:r>
    </w:p>
    <w:p>
      <w:pPr>
        <w:pStyle w:val="ListParagraph"/>
        <w:numPr>
          <w:ilvl w:val="0"/>
          <w:numId w:val="3"/>
        </w:numPr>
        <w:spacing w:after="70"/>
      </w:pPr>
      <w:r>
        <w:rPr>
          <w:sz w:val="21"/>
          <w:szCs w:val="21"/>
        </w:rPr>
        <w:t xml:space="preserve">vw_estoque_atual — join de produtos + estoque_saldo, pronta para consulta no PDV e relatórios.</w:t>
      </w:r>
    </w:p>
    <w:p>
      <w:pPr>
        <w:pStyle w:val="ListParagraph"/>
        <w:numPr>
          <w:ilvl w:val="0"/>
          <w:numId w:val="3"/>
        </w:numPr>
        <w:spacing w:after="70"/>
      </w:pPr>
      <w:r>
        <w:rPr>
          <w:sz w:val="21"/>
          <w:szCs w:val="21"/>
        </w:rPr>
        <w:t xml:space="preserve">vw_vendas_resumo_diario — agregação de vendas por dia, usada no Dashboard Executivo.</w:t>
      </w:r>
    </w:p>
    <w:p>
      <w:pPr>
        <w:pStyle w:val="ListParagraph"/>
        <w:numPr>
          <w:ilvl w:val="0"/>
          <w:numId w:val="3"/>
        </w:numPr>
        <w:spacing w:after="70"/>
      </w:pPr>
      <w:r>
        <w:rPr>
          <w:sz w:val="21"/>
          <w:szCs w:val="21"/>
        </w:rPr>
        <w:t xml:space="preserve">vw_curva_abc — classificação de produtos por participação no faturamento (V2).</w:t>
      </w:r>
    </w:p>
    <w:p>
      <w:pPr>
        <w:pStyle w:val="Heading2"/>
        <w:spacing w:after="140" w:before="320"/>
      </w:pPr>
      <w:r>
        <w:rPr>
          <w:b/>
          <w:bCs/>
          <w:color w:val="B8860B"/>
          <w:sz w:val="26"/>
          <w:szCs w:val="26"/>
        </w:rPr>
        <w:t xml:space="preserve">11.13 Row Level Security (RLS) — Padrão</w:t>
      </w:r>
    </w:p>
    <w:p>
      <w:pPr>
        <w:spacing w:after="140" w:line="300"/>
      </w:pPr>
      <w:r>
        <w:rPr>
          <w:sz w:val="21"/>
          <w:szCs w:val="21"/>
        </w:rPr>
        <w:t xml:space="preserve">Toda tabela com tenant_id possui RLS habilitado desde a criação, com policy padrão baseada na função is_admin() (security definer) já validada nos demais produtos do ecossistema RhoneyInc:</w:t>
      </w:r>
    </w:p>
    <w:p>
      <w:pPr>
        <w:pBdr>
          <w:left w:val="single" w:color="3FA796" w:sz="18" w:space="12"/>
        </w:pBdr>
        <w:spacing w:after="200" w:before="120"/>
        <w:ind w:left="400"/>
      </w:pPr>
      <w:r>
        <w:rPr>
          <w:i/>
          <w:iCs/>
          <w:color w:val="555555"/>
          <w:sz w:val="21"/>
          <w:szCs w:val="21"/>
        </w:rPr>
        <w:t xml:space="preserve">CREATE POLICY tenant_isolation ON [tabela] USING (tenant_id = auth.jwt() -&gt;&gt; 'tenant_id' OR is_admin());</w:t>
      </w:r>
    </w:p>
    <w:p>
      <w:pPr>
        <w:spacing w:after="140" w:line="300"/>
      </w:pPr>
      <w:r>
        <w:rPr>
          <w:sz w:val="21"/>
          <w:szCs w:val="21"/>
        </w:rPr>
        <w:t xml:space="preserve">Policies adicionais restringem operações sensíveis (ex: ajuste manual de estoque, exclusão de venda) a papéis específicos (dono, financeiro), conforme detalhado no Capítulo 15.</w:t>
      </w:r>
    </w:p>
    <w:p>
      <w:pPr>
        <w:pStyle w:val="Heading2"/>
        <w:spacing w:after="140" w:before="320"/>
      </w:pPr>
      <w:r>
        <w:rPr>
          <w:b/>
          <w:bCs/>
          <w:color w:val="B8860B"/>
          <w:sz w:val="26"/>
          <w:szCs w:val="26"/>
        </w:rPr>
        <w:t xml:space="preserve">11.14 Tabelas — Módulos Complementares</w:t>
      </w:r>
    </w:p>
    <w:p>
      <w:pPr>
        <w:spacing w:after="140" w:line="300"/>
      </w:pPr>
      <w:r>
        <w:rPr>
          <w:sz w:val="21"/>
          <w:szCs w:val="21"/>
        </w:rPr>
        <w:t xml:space="preserve">Tabelas de suporte aos capítulos de Cadastro Inteligente, Onboarding, Automações, API Pública, Gamificação e Marketplace B2B:</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c>
          <w:tcPr>
            <w:tcW w:type="dxa" w:w="3200"/>
            <w:shd w:fill="1A1A1A" w:val="clear"/>
            <w:tcMar>
              <w:top w:type="dxa" w:w="90"/>
              <w:left w:type="dxa" w:w="110"/>
              <w:bottom w:type="dxa" w:w="90"/>
              <w:right w:type="dxa" w:w="110"/>
            </w:tcMar>
          </w:tcPr>
          <w:p>
            <w:r>
              <w:rPr>
                <w:b/>
                <w:bCs/>
                <w:color w:val="FFFFFF"/>
                <w:sz w:val="19"/>
                <w:szCs w:val="19"/>
              </w:rPr>
              <w:t xml:space="preserve">Tabela</w:t>
            </w:r>
          </w:p>
        </w:tc>
        <w:tc>
          <w:tcPr>
            <w:tcW w:type="dxa" w:w="6500"/>
            <w:shd w:fill="1A1A1A" w:val="clear"/>
            <w:tcMar>
              <w:top w:type="dxa" w:w="90"/>
              <w:left w:type="dxa" w:w="110"/>
              <w:bottom w:type="dxa" w:w="90"/>
              <w:right w:type="dxa" w:w="110"/>
            </w:tcMar>
          </w:tcPr>
          <w:p>
            <w:r>
              <w:rPr>
                <w:b/>
                <w:bCs/>
                <w:color w:val="FFFFFF"/>
                <w:sz w:val="19"/>
                <w:szCs w:val="19"/>
              </w:rPr>
              <w:t xml:space="preserve">Campos principais</w:t>
            </w:r>
          </w:p>
        </w:tc>
      </w:tr>
      <w:tr>
        <w:tc>
          <w:tcPr>
            <w:tcW w:type="dxa" w:w="3200"/>
            <w:tcMar>
              <w:top w:type="dxa" w:w="90"/>
              <w:left w:type="dxa" w:w="110"/>
              <w:bottom w:type="dxa" w:w="90"/>
              <w:right w:type="dxa" w:w="110"/>
            </w:tcMar>
          </w:tcPr>
          <w:p>
            <w:r>
              <w:rPr>
                <w:b w:val="false"/>
                <w:bCs w:val="false"/>
                <w:color w:val="1A1A1A"/>
                <w:sz w:val="19"/>
                <w:szCs w:val="19"/>
              </w:rPr>
              <w:t xml:space="preserve">segmento_templates</w:t>
            </w:r>
          </w:p>
        </w:tc>
        <w:tc>
          <w:tcPr>
            <w:tcW w:type="dxa" w:w="6500"/>
            <w:tcMar>
              <w:top w:type="dxa" w:w="90"/>
              <w:left w:type="dxa" w:w="110"/>
              <w:bottom w:type="dxa" w:w="90"/>
              <w:right w:type="dxa" w:w="110"/>
            </w:tcMar>
          </w:tcPr>
          <w:p>
            <w:r>
              <w:rPr>
                <w:b w:val="false"/>
                <w:bCs w:val="false"/>
                <w:color w:val="1A1A1A"/>
                <w:sz w:val="19"/>
                <w:szCs w:val="19"/>
              </w:rPr>
              <w:t xml:space="preserve">id, nome_segmento, versao (Capítulo 5)</w:t>
            </w:r>
          </w:p>
        </w:tc>
      </w:tr>
      <w:tr>
        <w:tc>
          <w:tcPr>
            <w:tcW w:type="dxa" w:w="3200"/>
            <w:tcMar>
              <w:top w:type="dxa" w:w="90"/>
              <w:left w:type="dxa" w:w="110"/>
              <w:bottom w:type="dxa" w:w="90"/>
              <w:right w:type="dxa" w:w="110"/>
            </w:tcMar>
          </w:tcPr>
          <w:p>
            <w:r>
              <w:rPr>
                <w:b w:val="false"/>
                <w:bCs w:val="false"/>
                <w:color w:val="1A1A1A"/>
                <w:sz w:val="19"/>
                <w:szCs w:val="19"/>
              </w:rPr>
              <w:t xml:space="preserve">segmento_template_categorias/produtos/fornecedores</w:t>
            </w:r>
          </w:p>
        </w:tc>
        <w:tc>
          <w:tcPr>
            <w:tcW w:type="dxa" w:w="6500"/>
            <w:tcMar>
              <w:top w:type="dxa" w:w="90"/>
              <w:left w:type="dxa" w:w="110"/>
              <w:bottom w:type="dxa" w:w="90"/>
              <w:right w:type="dxa" w:w="110"/>
            </w:tcMar>
          </w:tcPr>
          <w:p>
            <w:r>
              <w:rPr>
                <w:b w:val="false"/>
                <w:bCs w:val="false"/>
                <w:color w:val="1A1A1A"/>
                <w:sz w:val="19"/>
                <w:szCs w:val="19"/>
              </w:rPr>
              <w:t xml:space="preserve">template_id, dados sugeridos (Capítulo 5)</w:t>
            </w:r>
          </w:p>
        </w:tc>
      </w:tr>
      <w:tr>
        <w:tc>
          <w:tcPr>
            <w:tcW w:type="dxa" w:w="3200"/>
            <w:tcMar>
              <w:top w:type="dxa" w:w="90"/>
              <w:left w:type="dxa" w:w="110"/>
              <w:bottom w:type="dxa" w:w="90"/>
              <w:right w:type="dxa" w:w="110"/>
            </w:tcMar>
          </w:tcPr>
          <w:p>
            <w:r>
              <w:rPr>
                <w:b w:val="false"/>
                <w:bCs w:val="false"/>
                <w:color w:val="1A1A1A"/>
                <w:sz w:val="19"/>
                <w:szCs w:val="19"/>
              </w:rPr>
              <w:t xml:space="preserve">onboarding_progresso</w:t>
            </w:r>
          </w:p>
        </w:tc>
        <w:tc>
          <w:tcPr>
            <w:tcW w:type="dxa" w:w="6500"/>
            <w:tcMar>
              <w:top w:type="dxa" w:w="90"/>
              <w:left w:type="dxa" w:w="110"/>
              <w:bottom w:type="dxa" w:w="90"/>
              <w:right w:type="dxa" w:w="110"/>
            </w:tcMar>
          </w:tcPr>
          <w:p>
            <w:r>
              <w:rPr>
                <w:b w:val="false"/>
                <w:bCs w:val="false"/>
                <w:color w:val="1A1A1A"/>
                <w:sz w:val="19"/>
                <w:szCs w:val="19"/>
              </w:rPr>
              <w:t xml:space="preserve">tenant_id, modulo, percentual_concluido, atualizado_em (Capítulo 6)</w:t>
            </w:r>
          </w:p>
        </w:tc>
      </w:tr>
      <w:tr>
        <w:tc>
          <w:tcPr>
            <w:tcW w:type="dxa" w:w="3200"/>
            <w:tcMar>
              <w:top w:type="dxa" w:w="90"/>
              <w:left w:type="dxa" w:w="110"/>
              <w:bottom w:type="dxa" w:w="90"/>
              <w:right w:type="dxa" w:w="110"/>
            </w:tcMar>
          </w:tcPr>
          <w:p>
            <w:r>
              <w:rPr>
                <w:b w:val="false"/>
                <w:bCs w:val="false"/>
                <w:color w:val="1A1A1A"/>
                <w:sz w:val="19"/>
                <w:szCs w:val="19"/>
              </w:rPr>
              <w:t xml:space="preserve">automacoes_regras</w:t>
            </w:r>
          </w:p>
        </w:tc>
        <w:tc>
          <w:tcPr>
            <w:tcW w:type="dxa" w:w="6500"/>
            <w:tcMar>
              <w:top w:type="dxa" w:w="90"/>
              <w:left w:type="dxa" w:w="110"/>
              <w:bottom w:type="dxa" w:w="90"/>
              <w:right w:type="dxa" w:w="110"/>
            </w:tcMar>
          </w:tcPr>
          <w:p>
            <w:r>
              <w:rPr>
                <w:b w:val="false"/>
                <w:bCs w:val="false"/>
                <w:color w:val="1A1A1A"/>
                <w:sz w:val="19"/>
                <w:szCs w:val="19"/>
              </w:rPr>
              <w:t xml:space="preserve">id, tenant_id, gatilho, condicoes (jsonb), acoes (jsonb), ativo (Capítulo 16)</w:t>
            </w:r>
          </w:p>
        </w:tc>
      </w:tr>
      <w:tr>
        <w:tc>
          <w:tcPr>
            <w:tcW w:type="dxa" w:w="3200"/>
            <w:tcMar>
              <w:top w:type="dxa" w:w="90"/>
              <w:left w:type="dxa" w:w="110"/>
              <w:bottom w:type="dxa" w:w="90"/>
              <w:right w:type="dxa" w:w="110"/>
            </w:tcMar>
          </w:tcPr>
          <w:p>
            <w:r>
              <w:rPr>
                <w:b w:val="false"/>
                <w:bCs w:val="false"/>
                <w:color w:val="1A1A1A"/>
                <w:sz w:val="19"/>
                <w:szCs w:val="19"/>
              </w:rPr>
              <w:t xml:space="preserve">automacoes_execucoes</w:t>
            </w:r>
          </w:p>
        </w:tc>
        <w:tc>
          <w:tcPr>
            <w:tcW w:type="dxa" w:w="6500"/>
            <w:tcMar>
              <w:top w:type="dxa" w:w="90"/>
              <w:left w:type="dxa" w:w="110"/>
              <w:bottom w:type="dxa" w:w="90"/>
              <w:right w:type="dxa" w:w="110"/>
            </w:tcMar>
          </w:tcPr>
          <w:p>
            <w:r>
              <w:rPr>
                <w:b w:val="false"/>
                <w:bCs w:val="false"/>
                <w:color w:val="1A1A1A"/>
                <w:sz w:val="19"/>
                <w:szCs w:val="19"/>
              </w:rPr>
              <w:t xml:space="preserve">id, regra_id, status, resultado, executado_em (Capítulo 16)</w:t>
            </w:r>
          </w:p>
        </w:tc>
      </w:tr>
      <w:tr>
        <w:tc>
          <w:tcPr>
            <w:tcW w:type="dxa" w:w="3200"/>
            <w:tcMar>
              <w:top w:type="dxa" w:w="90"/>
              <w:left w:type="dxa" w:w="110"/>
              <w:bottom w:type="dxa" w:w="90"/>
              <w:right w:type="dxa" w:w="110"/>
            </w:tcMar>
          </w:tcPr>
          <w:p>
            <w:r>
              <w:rPr>
                <w:b w:val="false"/>
                <w:bCs w:val="false"/>
                <w:color w:val="1A1A1A"/>
                <w:sz w:val="19"/>
                <w:szCs w:val="19"/>
              </w:rPr>
              <w:t xml:space="preserve">api_keys</w:t>
            </w:r>
          </w:p>
        </w:tc>
        <w:tc>
          <w:tcPr>
            <w:tcW w:type="dxa" w:w="6500"/>
            <w:tcMar>
              <w:top w:type="dxa" w:w="90"/>
              <w:left w:type="dxa" w:w="110"/>
              <w:bottom w:type="dxa" w:w="90"/>
              <w:right w:type="dxa" w:w="110"/>
            </w:tcMar>
          </w:tcPr>
          <w:p>
            <w:r>
              <w:rPr>
                <w:b w:val="false"/>
                <w:bCs w:val="false"/>
                <w:color w:val="1A1A1A"/>
                <w:sz w:val="19"/>
                <w:szCs w:val="19"/>
              </w:rPr>
              <w:t xml:space="preserve">id, tenant_id, chave_hash, escopos, criado_em, revogada_em (Capítulo 17)</w:t>
            </w:r>
          </w:p>
        </w:tc>
      </w:tr>
      <w:tr>
        <w:tc>
          <w:tcPr>
            <w:tcW w:type="dxa" w:w="3200"/>
            <w:tcMar>
              <w:top w:type="dxa" w:w="90"/>
              <w:left w:type="dxa" w:w="110"/>
              <w:bottom w:type="dxa" w:w="90"/>
              <w:right w:type="dxa" w:w="110"/>
            </w:tcMar>
          </w:tcPr>
          <w:p>
            <w:r>
              <w:rPr>
                <w:b w:val="false"/>
                <w:bCs w:val="false"/>
                <w:color w:val="1A1A1A"/>
                <w:sz w:val="19"/>
                <w:szCs w:val="19"/>
              </w:rPr>
              <w:t xml:space="preserve">webhooks</w:t>
            </w:r>
          </w:p>
        </w:tc>
        <w:tc>
          <w:tcPr>
            <w:tcW w:type="dxa" w:w="6500"/>
            <w:tcMar>
              <w:top w:type="dxa" w:w="90"/>
              <w:left w:type="dxa" w:w="110"/>
              <w:bottom w:type="dxa" w:w="90"/>
              <w:right w:type="dxa" w:w="110"/>
            </w:tcMar>
          </w:tcPr>
          <w:p>
            <w:r>
              <w:rPr>
                <w:b w:val="false"/>
                <w:bCs w:val="false"/>
                <w:color w:val="1A1A1A"/>
                <w:sz w:val="19"/>
                <w:szCs w:val="19"/>
              </w:rPr>
              <w:t xml:space="preserve">id, tenant_id, url_destino, eventos_assinados, ativo (Capítulo 17)</w:t>
            </w:r>
          </w:p>
        </w:tc>
      </w:tr>
      <w:tr>
        <w:tc>
          <w:tcPr>
            <w:tcW w:type="dxa" w:w="3200"/>
            <w:tcMar>
              <w:top w:type="dxa" w:w="90"/>
              <w:left w:type="dxa" w:w="110"/>
              <w:bottom w:type="dxa" w:w="90"/>
              <w:right w:type="dxa" w:w="110"/>
            </w:tcMar>
          </w:tcPr>
          <w:p>
            <w:r>
              <w:rPr>
                <w:b w:val="false"/>
                <w:bCs w:val="false"/>
                <w:color w:val="1A1A1A"/>
                <w:sz w:val="19"/>
                <w:szCs w:val="19"/>
              </w:rPr>
              <w:t xml:space="preserve">gamificacao_pontos</w:t>
            </w:r>
          </w:p>
        </w:tc>
        <w:tc>
          <w:tcPr>
            <w:tcW w:type="dxa" w:w="6500"/>
            <w:tcMar>
              <w:top w:type="dxa" w:w="90"/>
              <w:left w:type="dxa" w:w="110"/>
              <w:bottom w:type="dxa" w:w="90"/>
              <w:right w:type="dxa" w:w="110"/>
            </w:tcMar>
          </w:tcPr>
          <w:p>
            <w:r>
              <w:rPr>
                <w:b w:val="false"/>
                <w:bCs w:val="false"/>
                <w:color w:val="1A1A1A"/>
                <w:sz w:val="19"/>
                <w:szCs w:val="19"/>
              </w:rPr>
              <w:t xml:space="preserve">usuario_id, tenant_id, pontos_totais, nivel_atual (Capítulo 14)</w:t>
            </w:r>
          </w:p>
        </w:tc>
      </w:tr>
      <w:tr>
        <w:tc>
          <w:tcPr>
            <w:tcW w:type="dxa" w:w="3200"/>
            <w:tcMar>
              <w:top w:type="dxa" w:w="90"/>
              <w:left w:type="dxa" w:w="110"/>
              <w:bottom w:type="dxa" w:w="90"/>
              <w:right w:type="dxa" w:w="110"/>
            </w:tcMar>
          </w:tcPr>
          <w:p>
            <w:r>
              <w:rPr>
                <w:b w:val="false"/>
                <w:bCs w:val="false"/>
                <w:color w:val="1A1A1A"/>
                <w:sz w:val="19"/>
                <w:szCs w:val="19"/>
              </w:rPr>
              <w:t xml:space="preserve">gamificacao_conquistas</w:t>
            </w:r>
          </w:p>
        </w:tc>
        <w:tc>
          <w:tcPr>
            <w:tcW w:type="dxa" w:w="6500"/>
            <w:tcMar>
              <w:top w:type="dxa" w:w="90"/>
              <w:left w:type="dxa" w:w="110"/>
              <w:bottom w:type="dxa" w:w="90"/>
              <w:right w:type="dxa" w:w="110"/>
            </w:tcMar>
          </w:tcPr>
          <w:p>
            <w:r>
              <w:rPr>
                <w:b w:val="false"/>
                <w:bCs w:val="false"/>
                <w:color w:val="1A1A1A"/>
                <w:sz w:val="19"/>
                <w:szCs w:val="19"/>
              </w:rPr>
              <w:t xml:space="preserve">id, usuario_id, tipo_conquista, obtido_em (Capítulo 14)</w:t>
            </w:r>
          </w:p>
        </w:tc>
      </w:tr>
      <w:tr>
        <w:tc>
          <w:tcPr>
            <w:tcW w:type="dxa" w:w="3200"/>
            <w:tcMar>
              <w:top w:type="dxa" w:w="90"/>
              <w:left w:type="dxa" w:w="110"/>
              <w:bottom w:type="dxa" w:w="90"/>
              <w:right w:type="dxa" w:w="110"/>
            </w:tcMar>
          </w:tcPr>
          <w:p>
            <w:r>
              <w:rPr>
                <w:b w:val="false"/>
                <w:bCs w:val="false"/>
                <w:color w:val="1A1A1A"/>
                <w:sz w:val="19"/>
                <w:szCs w:val="19"/>
              </w:rPr>
              <w:t xml:space="preserve">marketplace_ofertas</w:t>
            </w:r>
          </w:p>
        </w:tc>
        <w:tc>
          <w:tcPr>
            <w:tcW w:type="dxa" w:w="6500"/>
            <w:tcMar>
              <w:top w:type="dxa" w:w="90"/>
              <w:left w:type="dxa" w:w="110"/>
              <w:bottom w:type="dxa" w:w="90"/>
              <w:right w:type="dxa" w:w="110"/>
            </w:tcMar>
          </w:tcPr>
          <w:p>
            <w:r>
              <w:rPr>
                <w:b w:val="false"/>
                <w:bCs w:val="false"/>
                <w:color w:val="1A1A1A"/>
                <w:sz w:val="19"/>
                <w:szCs w:val="19"/>
              </w:rPr>
              <w:t xml:space="preserve">id, fornecedor_id, produto_referencia, preco, condicoes (Capítulo 18)</w:t>
            </w:r>
          </w:p>
        </w:tc>
      </w:tr>
    </w:tbl>
    <w:p>
      <w:pPr>
        <w:pStyle w:val="Heading2"/>
        <w:spacing w:after="140" w:before="320"/>
      </w:pPr>
      <w:r>
        <w:rPr>
          <w:b/>
          <w:bCs/>
          <w:color w:val="B8860B"/>
          <w:sz w:val="26"/>
          <w:szCs w:val="26"/>
        </w:rPr>
        <w:t xml:space="preserve">11.15 Diagrama Entidade-Relacionamento (Descrição Textual)</w:t>
      </w:r>
    </w:p>
    <w:p>
      <w:pPr>
        <w:spacing w:after="140" w:line="300"/>
      </w:pPr>
      <w:r>
        <w:rPr>
          <w:sz w:val="21"/>
          <w:szCs w:val="21"/>
        </w:rPr>
        <w:t xml:space="preserve">O ER completo em notação gráfica deve ser gerado e mantido como artefato vivo (ex: dbdiagram.io ou equivalente) a partir deste PRD, versionado junto ao repositório de schema. A estrutura conceitual, em texto, segue os seguintes agrupamentos e cardinalidades centrais:</w:t>
      </w:r>
    </w:p>
    <w:p>
      <w:pPr>
        <w:pStyle w:val="ListParagraph"/>
        <w:numPr>
          <w:ilvl w:val="0"/>
          <w:numId w:val="3"/>
        </w:numPr>
        <w:spacing w:after="70"/>
      </w:pPr>
      <w:r>
        <w:rPr>
          <w:sz w:val="21"/>
          <w:szCs w:val="21"/>
        </w:rPr>
        <w:t xml:space="preserve">tenants (1) — (N) usuarios_tenant, produtos, fornecedores, vendas, compras: todo dado de negócio pertence a exatamente um tenant</w:t>
      </w:r>
    </w:p>
    <w:p>
      <w:pPr>
        <w:pStyle w:val="ListParagraph"/>
        <w:numPr>
          <w:ilvl w:val="0"/>
          <w:numId w:val="3"/>
        </w:numPr>
        <w:spacing w:after="70"/>
      </w:pPr>
      <w:r>
        <w:rPr>
          <w:sz w:val="21"/>
          <w:szCs w:val="21"/>
        </w:rPr>
        <w:t xml:space="preserve">produtos (1) — (N) estoque_movimentos, venda_itens, compra_itens, produto_variacoes</w:t>
      </w:r>
    </w:p>
    <w:p>
      <w:pPr>
        <w:pStyle w:val="ListParagraph"/>
        <w:numPr>
          <w:ilvl w:val="0"/>
          <w:numId w:val="3"/>
        </w:numPr>
        <w:spacing w:after="70"/>
      </w:pPr>
      <w:r>
        <w:rPr>
          <w:sz w:val="21"/>
          <w:szCs w:val="21"/>
        </w:rPr>
        <w:t xml:space="preserve">vendas (1) — (N) venda_itens; vendas (N) — (1) caixa_turnos</w:t>
      </w:r>
    </w:p>
    <w:p>
      <w:pPr>
        <w:pStyle w:val="ListParagraph"/>
        <w:numPr>
          <w:ilvl w:val="0"/>
          <w:numId w:val="3"/>
        </w:numPr>
        <w:spacing w:after="70"/>
      </w:pPr>
      <w:r>
        <w:rPr>
          <w:sz w:val="21"/>
          <w:szCs w:val="21"/>
        </w:rPr>
        <w:t xml:space="preserve">compras (1) — (N) compra_itens; compras (N) — (1) fornecedores</w:t>
      </w:r>
    </w:p>
    <w:p>
      <w:pPr>
        <w:pStyle w:val="ListParagraph"/>
        <w:numPr>
          <w:ilvl w:val="0"/>
          <w:numId w:val="3"/>
        </w:numPr>
        <w:spacing w:after="70"/>
      </w:pPr>
      <w:r>
        <w:rPr>
          <w:sz w:val="21"/>
          <w:szCs w:val="21"/>
        </w:rPr>
        <w:t xml:space="preserve">categorias (1) — (N) categorias (autorrelacionamento, para subcategorias) e (1) — (N) produtos</w:t>
      </w:r>
    </w:p>
    <w:p>
      <w:pPr>
        <w:spacing w:after="140" w:line="300"/>
      </w:pPr>
      <w:r>
        <w:rPr>
          <w:sz w:val="21"/>
          <w:szCs w:val="21"/>
        </w:rPr>
        <w:t xml:space="preserve">Este agrupamento deve ser a base para o diagrama visual formal antes do início da implementação do schema em produção.</w:t>
      </w:r>
    </w:p>
    <w:p>
      <w:pPr>
        <w:pStyle w:val="Heading2"/>
        <w:spacing w:after="140" w:before="320"/>
      </w:pPr>
      <w:r>
        <w:rPr>
          <w:b/>
          <w:bCs/>
          <w:color w:val="B8860B"/>
          <w:sz w:val="26"/>
          <w:szCs w:val="26"/>
        </w:rPr>
        <w:t xml:space="preserve">11.16 Convenções de Nomenclatura</w:t>
      </w:r>
    </w:p>
    <w:p>
      <w:pPr>
        <w:pStyle w:val="ListParagraph"/>
        <w:numPr>
          <w:ilvl w:val="0"/>
          <w:numId w:val="3"/>
        </w:numPr>
        <w:spacing w:after="70"/>
      </w:pPr>
      <w:r>
        <w:rPr>
          <w:sz w:val="21"/>
          <w:szCs w:val="21"/>
        </w:rPr>
        <w:t xml:space="preserve">Tabelas em português, plural, snake_case (ex: estoque_movimentos, contas_pagar).</w:t>
      </w:r>
    </w:p>
    <w:p>
      <w:pPr>
        <w:pStyle w:val="ListParagraph"/>
        <w:numPr>
          <w:ilvl w:val="0"/>
          <w:numId w:val="3"/>
        </w:numPr>
        <w:spacing w:after="70"/>
      </w:pPr>
      <w:r>
        <w:rPr>
          <w:sz w:val="21"/>
          <w:szCs w:val="21"/>
        </w:rPr>
        <w:t xml:space="preserve">Colunas de chave estrangeira nomeadas como [entidade_singular]_id (ex: produto_id, fornecedor_id).</w:t>
      </w:r>
    </w:p>
    <w:p>
      <w:pPr>
        <w:pStyle w:val="ListParagraph"/>
        <w:numPr>
          <w:ilvl w:val="0"/>
          <w:numId w:val="3"/>
        </w:numPr>
        <w:spacing w:after="70"/>
      </w:pPr>
      <w:r>
        <w:rPr>
          <w:sz w:val="21"/>
          <w:szCs w:val="21"/>
        </w:rPr>
        <w:t xml:space="preserve">Colunas booleanas com prefixo is_ ou sufixo semântico claro (ex: ativo, is_admin).</w:t>
      </w:r>
    </w:p>
    <w:p>
      <w:pPr>
        <w:pStyle w:val="ListParagraph"/>
        <w:numPr>
          <w:ilvl w:val="0"/>
          <w:numId w:val="3"/>
        </w:numPr>
        <w:spacing w:after="70"/>
      </w:pPr>
      <w:r>
        <w:rPr>
          <w:sz w:val="21"/>
          <w:szCs w:val="21"/>
        </w:rPr>
        <w:t xml:space="preserve">Tabelas de junção N:N nomeadas pela combinação das duas entidades (ex: produto_categorias, se aplicável no futuro).</w:t>
      </w:r>
    </w:p>
    <w:p>
      <w:pPr>
        <w:pStyle w:val="ListParagraph"/>
        <w:numPr>
          <w:ilvl w:val="0"/>
          <w:numId w:val="3"/>
        </w:numPr>
        <w:spacing w:after="70"/>
      </w:pPr>
      <w:r>
        <w:rPr>
          <w:sz w:val="21"/>
          <w:szCs w:val="21"/>
        </w:rPr>
        <w:t xml:space="preserve">Funções de banco de dados em snake_case com verbo no infinitivo descrevendo a ação (ex: calcular_margem, aplicar_desconto).</w:t>
      </w:r>
    </w:p>
    <w:p>
      <w:pPr>
        <w:pStyle w:val="ListParagraph"/>
        <w:numPr>
          <w:ilvl w:val="0"/>
          <w:numId w:val="3"/>
        </w:numPr>
        <w:spacing w:after="70"/>
      </w:pPr>
      <w:r>
        <w:rPr>
          <w:sz w:val="21"/>
          <w:szCs w:val="21"/>
        </w:rPr>
        <w:t xml:space="preserve">Nenhuma abreviação não óbvia é permitida em nome de tabela ou coluna — clareza sempre prevalece sobre brevidade.</w:t>
      </w:r>
    </w:p>
    <w:p>
      <w:pPr>
        <w:pStyle w:val="Heading2"/>
        <w:spacing w:after="140" w:before="320"/>
      </w:pPr>
      <w:r>
        <w:rPr>
          <w:b/>
          <w:bCs/>
          <w:color w:val="B8860B"/>
          <w:sz w:val="26"/>
          <w:szCs w:val="26"/>
        </w:rPr>
        <w:t xml:space="preserve">11.17 Estratégia de Versionamento de Schema</w:t>
      </w:r>
    </w:p>
    <w:p>
      <w:pPr>
        <w:pStyle w:val="ListParagraph"/>
        <w:numPr>
          <w:ilvl w:val="0"/>
          <w:numId w:val="3"/>
        </w:numPr>
        <w:spacing w:after="70"/>
      </w:pPr>
      <w:r>
        <w:rPr>
          <w:sz w:val="21"/>
          <w:szCs w:val="21"/>
        </w:rPr>
        <w:t xml:space="preserve">Toda alteração de schema é uma migração numerada e versionada (ex: 0001_create_produtos.sql, 0002_add_codigo_barras.sql), aplicada em sequência estrita.</w:t>
      </w:r>
    </w:p>
    <w:p>
      <w:pPr>
        <w:pStyle w:val="ListParagraph"/>
        <w:numPr>
          <w:ilvl w:val="0"/>
          <w:numId w:val="3"/>
        </w:numPr>
        <w:spacing w:after="70"/>
      </w:pPr>
      <w:r>
        <w:rPr>
          <w:sz w:val="21"/>
          <w:szCs w:val="21"/>
        </w:rPr>
        <w:t xml:space="preserve">Migrações são aditivas por padrão — novas colunas nullable ou com valor padrão, nunca removendo ou renomeando colunas em uso sem um período de transição documentado.</w:t>
      </w:r>
    </w:p>
    <w:p>
      <w:pPr>
        <w:pStyle w:val="ListParagraph"/>
        <w:numPr>
          <w:ilvl w:val="0"/>
          <w:numId w:val="3"/>
        </w:numPr>
        <w:spacing w:after="70"/>
      </w:pPr>
      <w:r>
        <w:rPr>
          <w:sz w:val="21"/>
          <w:szCs w:val="21"/>
        </w:rPr>
        <w:t xml:space="preserve">Toda migração destrutiva (remoção de coluna/tabela) exige uma migração de depreciação anterior, mantendo o campo por ao menos um ciclo de release antes da remoção definitiva.</w:t>
      </w:r>
    </w:p>
    <w:p>
      <w:pPr>
        <w:pStyle w:val="ListParagraph"/>
        <w:numPr>
          <w:ilvl w:val="0"/>
          <w:numId w:val="3"/>
        </w:numPr>
        <w:spacing w:after="70"/>
      </w:pPr>
      <w:r>
        <w:rPr>
          <w:sz w:val="21"/>
          <w:szCs w:val="21"/>
        </w:rPr>
        <w:t xml:space="preserve">Migrações são testadas em ambiente de staging com cópia representativa de dados antes de aplicação em produção.</w:t>
      </w:r>
    </w:p>
    <w:p>
      <w:pPr>
        <w:pStyle w:val="Heading2"/>
        <w:spacing w:after="140" w:before="320"/>
      </w:pPr>
      <w:r>
        <w:rPr>
          <w:b/>
          <w:bCs/>
          <w:color w:val="B8860B"/>
          <w:sz w:val="26"/>
          <w:szCs w:val="26"/>
        </w:rPr>
        <w:t xml:space="preserve">11.18 Política de Migração de Dados</w:t>
      </w:r>
    </w:p>
    <w:p>
      <w:pPr>
        <w:pStyle w:val="ListParagraph"/>
        <w:numPr>
          <w:ilvl w:val="0"/>
          <w:numId w:val="3"/>
        </w:numPr>
        <w:spacing w:after="70"/>
      </w:pPr>
      <w:r>
        <w:rPr>
          <w:sz w:val="21"/>
          <w:szCs w:val="21"/>
        </w:rPr>
        <w:t xml:space="preserve">Nenhuma migração é aplicada diretamente em produção sem rollback documentado e testado.</w:t>
      </w:r>
    </w:p>
    <w:p>
      <w:pPr>
        <w:pStyle w:val="ListParagraph"/>
        <w:numPr>
          <w:ilvl w:val="0"/>
          <w:numId w:val="3"/>
        </w:numPr>
        <w:spacing w:after="70"/>
      </w:pPr>
      <w:r>
        <w:rPr>
          <w:sz w:val="21"/>
          <w:szCs w:val="21"/>
        </w:rPr>
        <w:t xml:space="preserve">Migrações que alteram grande volume de linhas são executadas em lotes (batches), para não travar a tabela em produção durante o horário de operação do cliente.</w:t>
      </w:r>
    </w:p>
    <w:p>
      <w:pPr>
        <w:pStyle w:val="ListParagraph"/>
        <w:numPr>
          <w:ilvl w:val="0"/>
          <w:numId w:val="3"/>
        </w:numPr>
        <w:spacing w:after="70"/>
      </w:pPr>
      <w:r>
        <w:rPr>
          <w:sz w:val="21"/>
          <w:szCs w:val="21"/>
        </w:rPr>
        <w:t xml:space="preserve">Mudanças de schema que afetam módulos ativos em tenants já em produção seguem o princípio de compatibilidade retroativa estabelecido no Capítulo 1 — a aplicação antiga continua funcionando até a migração ser 100% concluída.</w:t>
      </w:r>
    </w:p>
    <w:p>
      <w:pPr>
        <w:pStyle w:val="Heading2"/>
        <w:spacing w:after="140" w:before="320"/>
      </w:pPr>
      <w:r>
        <w:rPr>
          <w:b/>
          <w:bCs/>
          <w:color w:val="B8860B"/>
          <w:sz w:val="26"/>
          <w:szCs w:val="26"/>
        </w:rPr>
        <w:t xml:space="preserve">11.19 Estratégia de Particionamento para Grandes Volumes</w:t>
      </w:r>
    </w:p>
    <w:p>
      <w:pPr>
        <w:spacing w:after="140" w:line="300"/>
      </w:pPr>
      <w:r>
        <w:rPr>
          <w:sz w:val="21"/>
          <w:szCs w:val="21"/>
        </w:rPr>
        <w:t xml:space="preserve">Para tabelas de alto volume e crescimento contínuo — especialmente estoque_movimentos, venda_itens e auditoria_logs — a estratégia de particionamento é avaliada a partir da fase V2, quando o volume de dados por tenant justificar:</w:t>
      </w:r>
    </w:p>
    <w:p>
      <w:pPr>
        <w:pStyle w:val="ListParagraph"/>
        <w:numPr>
          <w:ilvl w:val="0"/>
          <w:numId w:val="3"/>
        </w:numPr>
        <w:spacing w:after="70"/>
      </w:pPr>
      <w:r>
        <w:rPr>
          <w:sz w:val="21"/>
          <w:szCs w:val="21"/>
        </w:rPr>
        <w:t xml:space="preserve">Particionamento por intervalo de data (range partitioning) nas tabelas de movimento e auditoria, com partições mensais, permitindo consultas de relatório mais rápidas e manutenção (arquivamento) de partições antigas.</w:t>
      </w:r>
    </w:p>
    <w:p>
      <w:pPr>
        <w:pStyle w:val="ListParagraph"/>
        <w:numPr>
          <w:ilvl w:val="0"/>
          <w:numId w:val="3"/>
        </w:numPr>
        <w:spacing w:after="70"/>
      </w:pPr>
      <w:r>
        <w:rPr>
          <w:sz w:val="21"/>
          <w:szCs w:val="21"/>
        </w:rPr>
        <w:t xml:space="preserve">Tenants de altíssimo volume (fase V3, plano Enterprise) podem receber particionamento adicional por tenant_id, isolando fisicamente sua carga de consulta das demais.</w:t>
      </w:r>
    </w:p>
    <w:p>
      <w:pPr>
        <w:pStyle w:val="ListParagraph"/>
        <w:numPr>
          <w:ilvl w:val="0"/>
          <w:numId w:val="3"/>
        </w:numPr>
        <w:spacing w:after="70"/>
      </w:pPr>
      <w:r>
        <w:rPr>
          <w:sz w:val="21"/>
          <w:szCs w:val="21"/>
        </w:rPr>
        <w:t xml:space="preserve">Nenhum particionamento é implementado prematuramente no MVP — a decisão é guiada por métricas reais de volume, não por antecipação especulativa.</w:t>
      </w:r>
    </w:p>
    <w:p>
      <w:pPr>
        <w:pStyle w:val="Heading1"/>
        <w:pageBreakBefore/>
        <w:pBdr>
          <w:bottom w:val="single" w:color="3FA796" w:sz="6" w:space="8"/>
        </w:pBdr>
        <w:spacing w:after="240" w:before="0"/>
      </w:pPr>
      <w:r>
        <w:rPr>
          <w:b/>
          <w:bCs/>
          <w:color w:val="B8860B"/>
          <w:sz w:val="22"/>
          <w:szCs w:val="22"/>
        </w:rPr>
        <w:t xml:space="preserve">CAPÍTULO 12</w:t>
      </w:r>
      <w:r>
        <w:t xml:space="preserve">  </w:t>
      </w:r>
    </w:p>
    <w:p>
      <w:pPr>
        <w:pStyle w:val="Heading1"/>
        <w:spacing w:after="280" w:before="0"/>
      </w:pPr>
      <w:r>
        <w:rPr>
          <w:b/>
          <w:bCs/>
          <w:color w:val="1A1A1A"/>
          <w:sz w:val="36"/>
          <w:szCs w:val="36"/>
        </w:rPr>
        <w:t xml:space="preserve">Design System e UX/UI</w:t>
      </w:r>
    </w:p>
    <w:p>
      <w:pPr>
        <w:pStyle w:val="Heading2"/>
        <w:spacing w:after="140" w:before="320"/>
      </w:pPr>
      <w:r>
        <w:rPr>
          <w:b/>
          <w:bCs/>
          <w:color w:val="B8860B"/>
          <w:sz w:val="26"/>
          <w:szCs w:val="26"/>
        </w:rPr>
        <w:t xml:space="preserve">12.1 Princípios de Design</w:t>
      </w:r>
    </w:p>
    <w:p>
      <w:pPr>
        <w:pStyle w:val="ListParagraph"/>
        <w:numPr>
          <w:ilvl w:val="0"/>
          <w:numId w:val="3"/>
        </w:numPr>
        <w:spacing w:after="70"/>
      </w:pPr>
      <w:r>
        <w:rPr>
          <w:sz w:val="21"/>
          <w:szCs w:val="21"/>
        </w:rPr>
        <w:t xml:space="preserve">Clareza acima de densidade — cada tela mostra o essencial para a tarefa em curso, não tudo que existe no sistema.</w:t>
      </w:r>
    </w:p>
    <w:p>
      <w:pPr>
        <w:pStyle w:val="ListParagraph"/>
        <w:numPr>
          <w:ilvl w:val="0"/>
          <w:numId w:val="3"/>
        </w:numPr>
        <w:spacing w:after="70"/>
      </w:pPr>
      <w:r>
        <w:rPr>
          <w:sz w:val="21"/>
          <w:szCs w:val="21"/>
        </w:rPr>
        <w:t xml:space="preserve">Poucos cliques — fluxos críticos (venda, cadastro de produto) otimizados para o menor número de toques possível.</w:t>
      </w:r>
    </w:p>
    <w:p>
      <w:pPr>
        <w:pStyle w:val="ListParagraph"/>
        <w:numPr>
          <w:ilvl w:val="0"/>
          <w:numId w:val="3"/>
        </w:numPr>
        <w:spacing w:after="70"/>
      </w:pPr>
      <w:r>
        <w:rPr>
          <w:sz w:val="21"/>
          <w:szCs w:val="21"/>
        </w:rPr>
        <w:t xml:space="preserve">Feedback imediato — toda ação relevante (venda registrada, estoque atualizado) tem confirmação visual instantânea.</w:t>
      </w:r>
    </w:p>
    <w:p>
      <w:pPr>
        <w:pStyle w:val="ListParagraph"/>
        <w:numPr>
          <w:ilvl w:val="0"/>
          <w:numId w:val="3"/>
        </w:numPr>
        <w:spacing w:after="70"/>
      </w:pPr>
      <w:r>
        <w:rPr>
          <w:sz w:val="21"/>
          <w:szCs w:val="21"/>
        </w:rPr>
        <w:t xml:space="preserve">Consistência com a identidade visual RhoneyInc, adaptada ao contexto de gestão comercial (mais neutro e funcional que o MenuFlex, mais orientado a dados).</w:t>
      </w:r>
    </w:p>
    <w:p>
      <w:pPr>
        <w:pStyle w:val="Heading2"/>
        <w:spacing w:after="140" w:before="320"/>
      </w:pPr>
      <w:r>
        <w:rPr>
          <w:b/>
          <w:bCs/>
          <w:color w:val="B8860B"/>
          <w:sz w:val="26"/>
          <w:szCs w:val="26"/>
        </w:rPr>
        <w:t xml:space="preserve">12.2 Paleta de Cores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00"/>
      </w:tblGrid>
      <w:tr>
        <w:tc>
          <w:tcPr>
            <w:tcW w:type="dxa" w:w="2800"/>
            <w:shd w:fill="1A1A1A" w:val="clear"/>
            <w:tcMar>
              <w:top w:type="dxa" w:w="90"/>
              <w:left w:type="dxa" w:w="110"/>
              <w:bottom w:type="dxa" w:w="90"/>
              <w:right w:type="dxa" w:w="110"/>
            </w:tcMar>
          </w:tcPr>
          <w:p>
            <w:r>
              <w:rPr>
                <w:b/>
                <w:bCs/>
                <w:color w:val="FFFFFF"/>
                <w:sz w:val="19"/>
                <w:szCs w:val="19"/>
              </w:rPr>
              <w:t xml:space="preserve">Uso</w:t>
            </w:r>
          </w:p>
        </w:tc>
        <w:tc>
          <w:tcPr>
            <w:tcW w:type="dxa" w:w="3400"/>
            <w:shd w:fill="1A1A1A" w:val="clear"/>
            <w:tcMar>
              <w:top w:type="dxa" w:w="90"/>
              <w:left w:type="dxa" w:w="110"/>
              <w:bottom w:type="dxa" w:w="90"/>
              <w:right w:type="dxa" w:w="110"/>
            </w:tcMar>
          </w:tcPr>
          <w:p>
            <w:r>
              <w:rPr>
                <w:b/>
                <w:bCs/>
                <w:color w:val="FFFFFF"/>
                <w:sz w:val="19"/>
                <w:szCs w:val="19"/>
              </w:rPr>
              <w:t xml:space="preserve">Cor</w:t>
            </w:r>
          </w:p>
        </w:tc>
        <w:tc>
          <w:tcPr>
            <w:tcW w:type="dxa" w:w="3100"/>
            <w:shd w:fill="1A1A1A" w:val="clear"/>
            <w:tcMar>
              <w:top w:type="dxa" w:w="90"/>
              <w:left w:type="dxa" w:w="110"/>
              <w:bottom w:type="dxa" w:w="90"/>
              <w:right w:type="dxa" w:w="110"/>
            </w:tcMar>
          </w:tcPr>
          <w:p>
            <w:r>
              <w:rPr>
                <w:b/>
                <w:bCs/>
                <w:color w:val="FFFFFF"/>
                <w:sz w:val="19"/>
                <w:szCs w:val="19"/>
              </w:rPr>
              <w:t xml:space="preserve">Hex</w:t>
            </w:r>
          </w:p>
        </w:tc>
      </w:tr>
      <w:tr>
        <w:tc>
          <w:tcPr>
            <w:tcW w:type="dxa" w:w="2800"/>
            <w:tcMar>
              <w:top w:type="dxa" w:w="90"/>
              <w:left w:type="dxa" w:w="110"/>
              <w:bottom w:type="dxa" w:w="90"/>
              <w:right w:type="dxa" w:w="110"/>
            </w:tcMar>
          </w:tcPr>
          <w:p>
            <w:r>
              <w:rPr>
                <w:b w:val="false"/>
                <w:bCs w:val="false"/>
                <w:color w:val="1A1A1A"/>
                <w:sz w:val="19"/>
                <w:szCs w:val="19"/>
              </w:rPr>
              <w:t xml:space="preserve">Cor primária (marca)</w:t>
            </w:r>
          </w:p>
        </w:tc>
        <w:tc>
          <w:tcPr>
            <w:tcW w:type="dxa" w:w="3400"/>
            <w:tcMar>
              <w:top w:type="dxa" w:w="90"/>
              <w:left w:type="dxa" w:w="110"/>
              <w:bottom w:type="dxa" w:w="90"/>
              <w:right w:type="dxa" w:w="110"/>
            </w:tcMar>
          </w:tcPr>
          <w:p>
            <w:r>
              <w:rPr>
                <w:b w:val="false"/>
                <w:bCs w:val="false"/>
                <w:color w:val="1A1A1A"/>
                <w:sz w:val="19"/>
                <w:szCs w:val="19"/>
              </w:rPr>
              <w:t xml:space="preserve">Dourado RhoneyInc</w:t>
            </w:r>
          </w:p>
        </w:tc>
        <w:tc>
          <w:tcPr>
            <w:tcW w:type="dxa" w:w="3100"/>
            <w:tcMar>
              <w:top w:type="dxa" w:w="90"/>
              <w:left w:type="dxa" w:w="110"/>
              <w:bottom w:type="dxa" w:w="90"/>
              <w:right w:type="dxa" w:w="110"/>
            </w:tcMar>
          </w:tcPr>
          <w:p>
            <w:r>
              <w:rPr>
                <w:b w:val="false"/>
                <w:bCs w:val="false"/>
                <w:color w:val="1A1A1A"/>
                <w:sz w:val="19"/>
                <w:szCs w:val="19"/>
              </w:rPr>
              <w:t xml:space="preserve">#B8860B</w:t>
            </w:r>
          </w:p>
        </w:tc>
      </w:tr>
      <w:tr>
        <w:tc>
          <w:tcPr>
            <w:tcW w:type="dxa" w:w="2800"/>
            <w:tcMar>
              <w:top w:type="dxa" w:w="90"/>
              <w:left w:type="dxa" w:w="110"/>
              <w:bottom w:type="dxa" w:w="90"/>
              <w:right w:type="dxa" w:w="110"/>
            </w:tcMar>
          </w:tcPr>
          <w:p>
            <w:r>
              <w:rPr>
                <w:b w:val="false"/>
                <w:bCs w:val="false"/>
                <w:color w:val="1A1A1A"/>
                <w:sz w:val="19"/>
                <w:szCs w:val="19"/>
              </w:rPr>
              <w:t xml:space="preserve">Cor secundária (ação/destaque)</w:t>
            </w:r>
          </w:p>
        </w:tc>
        <w:tc>
          <w:tcPr>
            <w:tcW w:type="dxa" w:w="3400"/>
            <w:tcMar>
              <w:top w:type="dxa" w:w="90"/>
              <w:left w:type="dxa" w:w="110"/>
              <w:bottom w:type="dxa" w:w="90"/>
              <w:right w:type="dxa" w:w="110"/>
            </w:tcMar>
          </w:tcPr>
          <w:p>
            <w:r>
              <w:rPr>
                <w:b w:val="false"/>
                <w:bCs w:val="false"/>
                <w:color w:val="1A1A1A"/>
                <w:sz w:val="19"/>
                <w:szCs w:val="19"/>
              </w:rPr>
              <w:t xml:space="preserve">Teal</w:t>
            </w:r>
          </w:p>
        </w:tc>
        <w:tc>
          <w:tcPr>
            <w:tcW w:type="dxa" w:w="3100"/>
            <w:tcMar>
              <w:top w:type="dxa" w:w="90"/>
              <w:left w:type="dxa" w:w="110"/>
              <w:bottom w:type="dxa" w:w="90"/>
              <w:right w:type="dxa" w:w="110"/>
            </w:tcMar>
          </w:tcPr>
          <w:p>
            <w:r>
              <w:rPr>
                <w:b w:val="false"/>
                <w:bCs w:val="false"/>
                <w:color w:val="1A1A1A"/>
                <w:sz w:val="19"/>
                <w:szCs w:val="19"/>
              </w:rPr>
              <w:t xml:space="preserve">#3FA796</w:t>
            </w:r>
          </w:p>
        </w:tc>
      </w:tr>
      <w:tr>
        <w:tc>
          <w:tcPr>
            <w:tcW w:type="dxa" w:w="2800"/>
            <w:tcMar>
              <w:top w:type="dxa" w:w="90"/>
              <w:left w:type="dxa" w:w="110"/>
              <w:bottom w:type="dxa" w:w="90"/>
              <w:right w:type="dxa" w:w="110"/>
            </w:tcMar>
          </w:tcPr>
          <w:p>
            <w:r>
              <w:rPr>
                <w:b w:val="false"/>
                <w:bCs w:val="false"/>
                <w:color w:val="1A1A1A"/>
                <w:sz w:val="19"/>
                <w:szCs w:val="19"/>
              </w:rPr>
              <w:t xml:space="preserve">Sucesso</w:t>
            </w:r>
          </w:p>
        </w:tc>
        <w:tc>
          <w:tcPr>
            <w:tcW w:type="dxa" w:w="3400"/>
            <w:tcMar>
              <w:top w:type="dxa" w:w="90"/>
              <w:left w:type="dxa" w:w="110"/>
              <w:bottom w:type="dxa" w:w="90"/>
              <w:right w:type="dxa" w:w="110"/>
            </w:tcMar>
          </w:tcPr>
          <w:p>
            <w:r>
              <w:rPr>
                <w:b w:val="false"/>
                <w:bCs w:val="false"/>
                <w:color w:val="1A1A1A"/>
                <w:sz w:val="19"/>
                <w:szCs w:val="19"/>
              </w:rPr>
              <w:t xml:space="preserve">Verde</w:t>
            </w:r>
          </w:p>
        </w:tc>
        <w:tc>
          <w:tcPr>
            <w:tcW w:type="dxa" w:w="3100"/>
            <w:tcMar>
              <w:top w:type="dxa" w:w="90"/>
              <w:left w:type="dxa" w:w="110"/>
              <w:bottom w:type="dxa" w:w="90"/>
              <w:right w:type="dxa" w:w="110"/>
            </w:tcMar>
          </w:tcPr>
          <w:p>
            <w:r>
              <w:rPr>
                <w:b w:val="false"/>
                <w:bCs w:val="false"/>
                <w:color w:val="1A1A1A"/>
                <w:sz w:val="19"/>
                <w:szCs w:val="19"/>
              </w:rPr>
              <w:t xml:space="preserve">#2E9E5B</w:t>
            </w:r>
          </w:p>
        </w:tc>
      </w:tr>
      <w:tr>
        <w:tc>
          <w:tcPr>
            <w:tcW w:type="dxa" w:w="2800"/>
            <w:tcMar>
              <w:top w:type="dxa" w:w="90"/>
              <w:left w:type="dxa" w:w="110"/>
              <w:bottom w:type="dxa" w:w="90"/>
              <w:right w:type="dxa" w:w="110"/>
            </w:tcMar>
          </w:tcPr>
          <w:p>
            <w:r>
              <w:rPr>
                <w:b w:val="false"/>
                <w:bCs w:val="false"/>
                <w:color w:val="1A1A1A"/>
                <w:sz w:val="19"/>
                <w:szCs w:val="19"/>
              </w:rPr>
              <w:t xml:space="preserve">Alerta</w:t>
            </w:r>
          </w:p>
        </w:tc>
        <w:tc>
          <w:tcPr>
            <w:tcW w:type="dxa" w:w="3400"/>
            <w:tcMar>
              <w:top w:type="dxa" w:w="90"/>
              <w:left w:type="dxa" w:w="110"/>
              <w:bottom w:type="dxa" w:w="90"/>
              <w:right w:type="dxa" w:w="110"/>
            </w:tcMar>
          </w:tcPr>
          <w:p>
            <w:r>
              <w:rPr>
                <w:b w:val="false"/>
                <w:bCs w:val="false"/>
                <w:color w:val="1A1A1A"/>
                <w:sz w:val="19"/>
                <w:szCs w:val="19"/>
              </w:rPr>
              <w:t xml:space="preserve">Âmbar</w:t>
            </w:r>
          </w:p>
        </w:tc>
        <w:tc>
          <w:tcPr>
            <w:tcW w:type="dxa" w:w="3100"/>
            <w:tcMar>
              <w:top w:type="dxa" w:w="90"/>
              <w:left w:type="dxa" w:w="110"/>
              <w:bottom w:type="dxa" w:w="90"/>
              <w:right w:type="dxa" w:w="110"/>
            </w:tcMar>
          </w:tcPr>
          <w:p>
            <w:r>
              <w:rPr>
                <w:b w:val="false"/>
                <w:bCs w:val="false"/>
                <w:color w:val="1A1A1A"/>
                <w:sz w:val="19"/>
                <w:szCs w:val="19"/>
              </w:rPr>
              <w:t xml:space="preserve">#E0A62E</w:t>
            </w:r>
          </w:p>
        </w:tc>
      </w:tr>
      <w:tr>
        <w:tc>
          <w:tcPr>
            <w:tcW w:type="dxa" w:w="2800"/>
            <w:tcMar>
              <w:top w:type="dxa" w:w="90"/>
              <w:left w:type="dxa" w:w="110"/>
              <w:bottom w:type="dxa" w:w="90"/>
              <w:right w:type="dxa" w:w="110"/>
            </w:tcMar>
          </w:tcPr>
          <w:p>
            <w:r>
              <w:rPr>
                <w:b w:val="false"/>
                <w:bCs w:val="false"/>
                <w:color w:val="1A1A1A"/>
                <w:sz w:val="19"/>
                <w:szCs w:val="19"/>
              </w:rPr>
              <w:t xml:space="preserve">Erro/Crítico</w:t>
            </w:r>
          </w:p>
        </w:tc>
        <w:tc>
          <w:tcPr>
            <w:tcW w:type="dxa" w:w="3400"/>
            <w:tcMar>
              <w:top w:type="dxa" w:w="90"/>
              <w:left w:type="dxa" w:w="110"/>
              <w:bottom w:type="dxa" w:w="90"/>
              <w:right w:type="dxa" w:w="110"/>
            </w:tcMar>
          </w:tcPr>
          <w:p>
            <w:r>
              <w:rPr>
                <w:b w:val="false"/>
                <w:bCs w:val="false"/>
                <w:color w:val="1A1A1A"/>
                <w:sz w:val="19"/>
                <w:szCs w:val="19"/>
              </w:rPr>
              <w:t xml:space="preserve">Vermelho</w:t>
            </w:r>
          </w:p>
        </w:tc>
        <w:tc>
          <w:tcPr>
            <w:tcW w:type="dxa" w:w="3100"/>
            <w:tcMar>
              <w:top w:type="dxa" w:w="90"/>
              <w:left w:type="dxa" w:w="110"/>
              <w:bottom w:type="dxa" w:w="90"/>
              <w:right w:type="dxa" w:w="110"/>
            </w:tcMar>
          </w:tcPr>
          <w:p>
            <w:r>
              <w:rPr>
                <w:b w:val="false"/>
                <w:bCs w:val="false"/>
                <w:color w:val="1A1A1A"/>
                <w:sz w:val="19"/>
                <w:szCs w:val="19"/>
              </w:rPr>
              <w:t xml:space="preserve">#D64545</w:t>
            </w:r>
          </w:p>
        </w:tc>
      </w:tr>
      <w:tr>
        <w:tc>
          <w:tcPr>
            <w:tcW w:type="dxa" w:w="2800"/>
            <w:tcMar>
              <w:top w:type="dxa" w:w="90"/>
              <w:left w:type="dxa" w:w="110"/>
              <w:bottom w:type="dxa" w:w="90"/>
              <w:right w:type="dxa" w:w="110"/>
            </w:tcMar>
          </w:tcPr>
          <w:p>
            <w:r>
              <w:rPr>
                <w:b w:val="false"/>
                <w:bCs w:val="false"/>
                <w:color w:val="1A1A1A"/>
                <w:sz w:val="19"/>
                <w:szCs w:val="19"/>
              </w:rPr>
              <w:t xml:space="preserve">Fundo modo claro</w:t>
            </w:r>
          </w:p>
        </w:tc>
        <w:tc>
          <w:tcPr>
            <w:tcW w:type="dxa" w:w="3400"/>
            <w:tcMar>
              <w:top w:type="dxa" w:w="90"/>
              <w:left w:type="dxa" w:w="110"/>
              <w:bottom w:type="dxa" w:w="90"/>
              <w:right w:type="dxa" w:w="110"/>
            </w:tcMar>
          </w:tcPr>
          <w:p>
            <w:r>
              <w:rPr>
                <w:b w:val="false"/>
                <w:bCs w:val="false"/>
                <w:color w:val="1A1A1A"/>
                <w:sz w:val="19"/>
                <w:szCs w:val="19"/>
              </w:rPr>
              <w:t xml:space="preserve">Cinza muito claro</w:t>
            </w:r>
          </w:p>
        </w:tc>
        <w:tc>
          <w:tcPr>
            <w:tcW w:type="dxa" w:w="3100"/>
            <w:tcMar>
              <w:top w:type="dxa" w:w="90"/>
              <w:left w:type="dxa" w:w="110"/>
              <w:bottom w:type="dxa" w:w="90"/>
              <w:right w:type="dxa" w:w="110"/>
            </w:tcMar>
          </w:tcPr>
          <w:p>
            <w:r>
              <w:rPr>
                <w:b w:val="false"/>
                <w:bCs w:val="false"/>
                <w:color w:val="1A1A1A"/>
                <w:sz w:val="19"/>
                <w:szCs w:val="19"/>
              </w:rPr>
              <w:t xml:space="preserve">#F7F7F5</w:t>
            </w:r>
          </w:p>
        </w:tc>
      </w:tr>
      <w:tr>
        <w:tc>
          <w:tcPr>
            <w:tcW w:type="dxa" w:w="2800"/>
            <w:tcMar>
              <w:top w:type="dxa" w:w="90"/>
              <w:left w:type="dxa" w:w="110"/>
              <w:bottom w:type="dxa" w:w="90"/>
              <w:right w:type="dxa" w:w="110"/>
            </w:tcMar>
          </w:tcPr>
          <w:p>
            <w:r>
              <w:rPr>
                <w:b w:val="false"/>
                <w:bCs w:val="false"/>
                <w:color w:val="1A1A1A"/>
                <w:sz w:val="19"/>
                <w:szCs w:val="19"/>
              </w:rPr>
              <w:t xml:space="preserve">Fundo modo escuro</w:t>
            </w:r>
          </w:p>
        </w:tc>
        <w:tc>
          <w:tcPr>
            <w:tcW w:type="dxa" w:w="3400"/>
            <w:tcMar>
              <w:top w:type="dxa" w:w="90"/>
              <w:left w:type="dxa" w:w="110"/>
              <w:bottom w:type="dxa" w:w="90"/>
              <w:right w:type="dxa" w:w="110"/>
            </w:tcMar>
          </w:tcPr>
          <w:p>
            <w:r>
              <w:rPr>
                <w:b w:val="false"/>
                <w:bCs w:val="false"/>
                <w:color w:val="1A1A1A"/>
                <w:sz w:val="19"/>
                <w:szCs w:val="19"/>
              </w:rPr>
              <w:t xml:space="preserve">Grafite</w:t>
            </w:r>
          </w:p>
        </w:tc>
        <w:tc>
          <w:tcPr>
            <w:tcW w:type="dxa" w:w="3100"/>
            <w:tcMar>
              <w:top w:type="dxa" w:w="90"/>
              <w:left w:type="dxa" w:w="110"/>
              <w:bottom w:type="dxa" w:w="90"/>
              <w:right w:type="dxa" w:w="110"/>
            </w:tcMar>
          </w:tcPr>
          <w:p>
            <w:r>
              <w:rPr>
                <w:b w:val="false"/>
                <w:bCs w:val="false"/>
                <w:color w:val="1A1A1A"/>
                <w:sz w:val="19"/>
                <w:szCs w:val="19"/>
              </w:rPr>
              <w:t xml:space="preserve">#121417</w:t>
            </w:r>
          </w:p>
        </w:tc>
      </w:tr>
      <w:tr>
        <w:tc>
          <w:tcPr>
            <w:tcW w:type="dxa" w:w="2800"/>
            <w:tcMar>
              <w:top w:type="dxa" w:w="90"/>
              <w:left w:type="dxa" w:w="110"/>
              <w:bottom w:type="dxa" w:w="90"/>
              <w:right w:type="dxa" w:w="110"/>
            </w:tcMar>
          </w:tcPr>
          <w:p>
            <w:r>
              <w:rPr>
                <w:b w:val="false"/>
                <w:bCs w:val="false"/>
                <w:color w:val="1A1A1A"/>
                <w:sz w:val="19"/>
                <w:szCs w:val="19"/>
              </w:rPr>
              <w:t xml:space="preserve">Texto principal (claro)</w:t>
            </w:r>
          </w:p>
        </w:tc>
        <w:tc>
          <w:tcPr>
            <w:tcW w:type="dxa" w:w="3400"/>
            <w:tcMar>
              <w:top w:type="dxa" w:w="90"/>
              <w:left w:type="dxa" w:w="110"/>
              <w:bottom w:type="dxa" w:w="90"/>
              <w:right w:type="dxa" w:w="110"/>
            </w:tcMar>
          </w:tcPr>
          <w:p>
            <w:r>
              <w:rPr>
                <w:b w:val="false"/>
                <w:bCs w:val="false"/>
                <w:color w:val="1A1A1A"/>
                <w:sz w:val="19"/>
                <w:szCs w:val="19"/>
              </w:rPr>
              <w:t xml:space="preserve">Quase preto</w:t>
            </w:r>
          </w:p>
        </w:tc>
        <w:tc>
          <w:tcPr>
            <w:tcW w:type="dxa" w:w="3100"/>
            <w:tcMar>
              <w:top w:type="dxa" w:w="90"/>
              <w:left w:type="dxa" w:w="110"/>
              <w:bottom w:type="dxa" w:w="90"/>
              <w:right w:type="dxa" w:w="110"/>
            </w:tcMar>
          </w:tcPr>
          <w:p>
            <w:r>
              <w:rPr>
                <w:b w:val="false"/>
                <w:bCs w:val="false"/>
                <w:color w:val="1A1A1A"/>
                <w:sz w:val="19"/>
                <w:szCs w:val="19"/>
              </w:rPr>
              <w:t xml:space="preserve">#1A1A1A</w:t>
            </w:r>
          </w:p>
        </w:tc>
      </w:tr>
      <w:tr>
        <w:tc>
          <w:tcPr>
            <w:tcW w:type="dxa" w:w="2800"/>
            <w:tcMar>
              <w:top w:type="dxa" w:w="90"/>
              <w:left w:type="dxa" w:w="110"/>
              <w:bottom w:type="dxa" w:w="90"/>
              <w:right w:type="dxa" w:w="110"/>
            </w:tcMar>
          </w:tcPr>
          <w:p>
            <w:r>
              <w:rPr>
                <w:b w:val="false"/>
                <w:bCs w:val="false"/>
                <w:color w:val="1A1A1A"/>
                <w:sz w:val="19"/>
                <w:szCs w:val="19"/>
              </w:rPr>
              <w:t xml:space="preserve">Texto principal (escuro)</w:t>
            </w:r>
          </w:p>
        </w:tc>
        <w:tc>
          <w:tcPr>
            <w:tcW w:type="dxa" w:w="3400"/>
            <w:tcMar>
              <w:top w:type="dxa" w:w="90"/>
              <w:left w:type="dxa" w:w="110"/>
              <w:bottom w:type="dxa" w:w="90"/>
              <w:right w:type="dxa" w:w="110"/>
            </w:tcMar>
          </w:tcPr>
          <w:p>
            <w:r>
              <w:rPr>
                <w:b w:val="false"/>
                <w:bCs w:val="false"/>
                <w:color w:val="1A1A1A"/>
                <w:sz w:val="19"/>
                <w:szCs w:val="19"/>
              </w:rPr>
              <w:t xml:space="preserve">Quase branco</w:t>
            </w:r>
          </w:p>
        </w:tc>
        <w:tc>
          <w:tcPr>
            <w:tcW w:type="dxa" w:w="3100"/>
            <w:tcMar>
              <w:top w:type="dxa" w:w="90"/>
              <w:left w:type="dxa" w:w="110"/>
              <w:bottom w:type="dxa" w:w="90"/>
              <w:right w:type="dxa" w:w="110"/>
            </w:tcMar>
          </w:tcPr>
          <w:p>
            <w:r>
              <w:rPr>
                <w:b w:val="false"/>
                <w:bCs w:val="false"/>
                <w:color w:val="1A1A1A"/>
                <w:sz w:val="19"/>
                <w:szCs w:val="19"/>
              </w:rPr>
              <w:t xml:space="preserve">#F2F2F0</w:t>
            </w:r>
          </w:p>
        </w:tc>
      </w:tr>
    </w:tbl>
    <w:p>
      <w:pPr>
        <w:pStyle w:val="Heading2"/>
        <w:spacing w:after="140" w:before="320"/>
      </w:pPr>
      <w:r>
        <w:rPr>
          <w:b/>
          <w:bCs/>
          <w:color w:val="B8860B"/>
          <w:sz w:val="26"/>
          <w:szCs w:val="26"/>
        </w:rPr>
        <w:t xml:space="preserve">12.3 Tipografia</w:t>
      </w:r>
    </w:p>
    <w:p>
      <w:pPr>
        <w:pStyle w:val="ListParagraph"/>
        <w:numPr>
          <w:ilvl w:val="0"/>
          <w:numId w:val="3"/>
        </w:numPr>
        <w:spacing w:after="70"/>
      </w:pPr>
      <w:r>
        <w:rPr>
          <w:sz w:val="21"/>
          <w:szCs w:val="21"/>
        </w:rPr>
        <w:t xml:space="preserve">Fonte de interface: Inter (legibilidade em telas pequenas e densidade de dados).</w:t>
      </w:r>
    </w:p>
    <w:p>
      <w:pPr>
        <w:pStyle w:val="ListParagraph"/>
        <w:numPr>
          <w:ilvl w:val="0"/>
          <w:numId w:val="3"/>
        </w:numPr>
        <w:spacing w:after="70"/>
      </w:pPr>
      <w:r>
        <w:rPr>
          <w:sz w:val="21"/>
          <w:szCs w:val="21"/>
        </w:rPr>
        <w:t xml:space="preserve">Fonte de destaque/títulos: Fraunces, reservada para telas institucionais (login, onboarding), mantendo o PDV e telas operacionais 100% em Inter para máxima legibilidade.</w:t>
      </w:r>
    </w:p>
    <w:p>
      <w:pPr>
        <w:pStyle w:val="ListParagraph"/>
        <w:numPr>
          <w:ilvl w:val="0"/>
          <w:numId w:val="3"/>
        </w:numPr>
        <w:spacing w:after="70"/>
      </w:pPr>
      <w:r>
        <w:rPr>
          <w:sz w:val="21"/>
          <w:szCs w:val="21"/>
        </w:rPr>
        <w:t xml:space="preserve">Fonte monoespaçada (JetBrains Mono) para valores numéricos em tabelas financeiras, garantindo alinhamento visual de casas decimais.</w:t>
      </w:r>
    </w:p>
    <w:p>
      <w:pPr>
        <w:pStyle w:val="ListParagraph"/>
        <w:numPr>
          <w:ilvl w:val="0"/>
          <w:numId w:val="3"/>
        </w:numPr>
        <w:spacing w:after="70"/>
      </w:pPr>
      <w:r>
        <w:rPr>
          <w:sz w:val="21"/>
          <w:szCs w:val="21"/>
        </w:rPr>
        <w:t xml:space="preserve">Escala tipográfica: 12px (legendas), 14px (corpo padrão), 16px (corpo destacado), 20px (subtítulo), 28px (título de seção), 36px (título de página).</w:t>
      </w:r>
    </w:p>
    <w:p>
      <w:pPr>
        <w:pStyle w:val="Heading2"/>
        <w:spacing w:after="140" w:before="320"/>
      </w:pPr>
      <w:r>
        <w:rPr>
          <w:b/>
          <w:bCs/>
          <w:color w:val="B8860B"/>
          <w:sz w:val="26"/>
          <w:szCs w:val="26"/>
        </w:rPr>
        <w:t xml:space="preserve">12.4 Espaçamento e Grid</w:t>
      </w:r>
    </w:p>
    <w:p>
      <w:pPr>
        <w:pStyle w:val="ListParagraph"/>
        <w:numPr>
          <w:ilvl w:val="0"/>
          <w:numId w:val="3"/>
        </w:numPr>
        <w:spacing w:after="70"/>
      </w:pPr>
      <w:r>
        <w:rPr>
          <w:sz w:val="21"/>
          <w:szCs w:val="21"/>
        </w:rPr>
        <w:t xml:space="preserve">Unidade base de espaçamento: 4px, com escala 4/8/12/16/24/32/48px.</w:t>
      </w:r>
    </w:p>
    <w:p>
      <w:pPr>
        <w:pStyle w:val="ListParagraph"/>
        <w:numPr>
          <w:ilvl w:val="0"/>
          <w:numId w:val="3"/>
        </w:numPr>
        <w:spacing w:after="70"/>
      </w:pPr>
      <w:r>
        <w:rPr>
          <w:sz w:val="21"/>
          <w:szCs w:val="21"/>
        </w:rPr>
        <w:t xml:space="preserve">Grid de 12 colunas em desktop, colapsando para coluna única em mobile abaixo de 640px.</w:t>
      </w:r>
    </w:p>
    <w:p>
      <w:pPr>
        <w:pStyle w:val="ListParagraph"/>
        <w:numPr>
          <w:ilvl w:val="0"/>
          <w:numId w:val="3"/>
        </w:numPr>
        <w:spacing w:after="70"/>
      </w:pPr>
      <w:r>
        <w:rPr>
          <w:sz w:val="21"/>
          <w:szCs w:val="21"/>
        </w:rPr>
        <w:t xml:space="preserve">Área de toque mínima de 44x44px em qualquer elemento interativo (padrão de acessibilidade do Capítulo 9).</w:t>
      </w:r>
    </w:p>
    <w:p>
      <w:pPr>
        <w:pStyle w:val="Heading2"/>
        <w:spacing w:after="140" w:before="320"/>
      </w:pPr>
      <w:r>
        <w:rPr>
          <w:b/>
          <w:bCs/>
          <w:color w:val="B8860B"/>
          <w:sz w:val="26"/>
          <w:szCs w:val="26"/>
        </w:rPr>
        <w:t xml:space="preserve">12.5 Componentes — Botões</w:t>
      </w:r>
    </w:p>
    <w:p>
      <w:pPr>
        <w:pStyle w:val="ListParagraph"/>
        <w:numPr>
          <w:ilvl w:val="0"/>
          <w:numId w:val="3"/>
        </w:numPr>
        <w:spacing w:after="70"/>
      </w:pPr>
      <w:r>
        <w:rPr>
          <w:sz w:val="21"/>
          <w:szCs w:val="21"/>
        </w:rPr>
        <w:t xml:space="preserve">Primário — ação principal da tela (ex: "Finalizar Venda"), cor de destaque sólida.</w:t>
      </w:r>
    </w:p>
    <w:p>
      <w:pPr>
        <w:pStyle w:val="ListParagraph"/>
        <w:numPr>
          <w:ilvl w:val="0"/>
          <w:numId w:val="3"/>
        </w:numPr>
        <w:spacing w:after="70"/>
      </w:pPr>
      <w:r>
        <w:rPr>
          <w:sz w:val="21"/>
          <w:szCs w:val="21"/>
        </w:rPr>
        <w:t xml:space="preserve">Secundário — ação alternativa, contorno sem preenchimento.</w:t>
      </w:r>
    </w:p>
    <w:p>
      <w:pPr>
        <w:pStyle w:val="ListParagraph"/>
        <w:numPr>
          <w:ilvl w:val="0"/>
          <w:numId w:val="3"/>
        </w:numPr>
        <w:spacing w:after="70"/>
      </w:pPr>
      <w:r>
        <w:rPr>
          <w:sz w:val="21"/>
          <w:szCs w:val="21"/>
        </w:rPr>
        <w:t xml:space="preserve">Destrutivo — ações irreversíveis (excluir, cancelar venda), cor de erro, sempre com confirmação.</w:t>
      </w:r>
    </w:p>
    <w:p>
      <w:pPr>
        <w:pStyle w:val="ListParagraph"/>
        <w:numPr>
          <w:ilvl w:val="0"/>
          <w:numId w:val="3"/>
        </w:numPr>
        <w:spacing w:after="70"/>
      </w:pPr>
      <w:r>
        <w:rPr>
          <w:sz w:val="21"/>
          <w:szCs w:val="21"/>
        </w:rPr>
        <w:t xml:space="preserve">Estados obrigatórios: default, hover, pressed, disabled, loading (com spinner inline, nunca travando a tela toda).</w:t>
      </w:r>
    </w:p>
    <w:p>
      <w:pPr>
        <w:pStyle w:val="Heading2"/>
        <w:spacing w:after="140" w:before="320"/>
      </w:pPr>
      <w:r>
        <w:rPr>
          <w:b/>
          <w:bCs/>
          <w:color w:val="B8860B"/>
          <w:sz w:val="26"/>
          <w:szCs w:val="26"/>
        </w:rPr>
        <w:t xml:space="preserve">12.6 Componentes — Inputs</w:t>
      </w:r>
    </w:p>
    <w:p>
      <w:pPr>
        <w:pStyle w:val="ListParagraph"/>
        <w:numPr>
          <w:ilvl w:val="0"/>
          <w:numId w:val="3"/>
        </w:numPr>
        <w:spacing w:after="70"/>
      </w:pPr>
      <w:r>
        <w:rPr>
          <w:sz w:val="21"/>
          <w:szCs w:val="21"/>
        </w:rPr>
        <w:t xml:space="preserve">Campo de texto com rótulo sempre visível (nunca apenas placeholder, para não perder contexto ao preencher).</w:t>
      </w:r>
    </w:p>
    <w:p>
      <w:pPr>
        <w:pStyle w:val="ListParagraph"/>
        <w:numPr>
          <w:ilvl w:val="0"/>
          <w:numId w:val="3"/>
        </w:numPr>
        <w:spacing w:after="70"/>
      </w:pPr>
      <w:r>
        <w:rPr>
          <w:sz w:val="21"/>
          <w:szCs w:val="21"/>
        </w:rPr>
        <w:t xml:space="preserve">Validação inline, exibida no blur do campo, nunca apenas no submit do formulário.</w:t>
      </w:r>
    </w:p>
    <w:p>
      <w:pPr>
        <w:pStyle w:val="ListParagraph"/>
        <w:numPr>
          <w:ilvl w:val="0"/>
          <w:numId w:val="3"/>
        </w:numPr>
        <w:spacing w:after="70"/>
      </w:pPr>
      <w:r>
        <w:rPr>
          <w:sz w:val="21"/>
          <w:szCs w:val="21"/>
        </w:rPr>
        <w:t xml:space="preserve">Campo numérico monetário com máscara automática de moeda (R$).</w:t>
      </w:r>
    </w:p>
    <w:p>
      <w:pPr>
        <w:pStyle w:val="ListParagraph"/>
        <w:numPr>
          <w:ilvl w:val="0"/>
          <w:numId w:val="3"/>
        </w:numPr>
        <w:spacing w:after="70"/>
      </w:pPr>
      <w:r>
        <w:rPr>
          <w:sz w:val="21"/>
          <w:szCs w:val="21"/>
        </w:rPr>
        <w:t xml:space="preserve">Campo de busca com debounce de 300ms para buscas em catálogo.</w:t>
      </w:r>
    </w:p>
    <w:p>
      <w:pPr>
        <w:pStyle w:val="Heading2"/>
        <w:spacing w:after="140" w:before="320"/>
      </w:pPr>
      <w:r>
        <w:rPr>
          <w:b/>
          <w:bCs/>
          <w:color w:val="B8860B"/>
          <w:sz w:val="26"/>
          <w:szCs w:val="26"/>
        </w:rPr>
        <w:t xml:space="preserve">12.7 Componentes — Cards, Tabelas e Modais</w:t>
      </w:r>
    </w:p>
    <w:p>
      <w:pPr>
        <w:pStyle w:val="ListParagraph"/>
        <w:numPr>
          <w:ilvl w:val="0"/>
          <w:numId w:val="3"/>
        </w:numPr>
        <w:spacing w:after="70"/>
      </w:pPr>
      <w:r>
        <w:rPr>
          <w:sz w:val="21"/>
          <w:szCs w:val="21"/>
        </w:rPr>
        <w:t xml:space="preserve">Cards usados para visão resumida (dashboard, produto em grade); Tabelas usadas para visão analítica densa (relatórios, listagem administrativa).</w:t>
      </w:r>
    </w:p>
    <w:p>
      <w:pPr>
        <w:pStyle w:val="ListParagraph"/>
        <w:numPr>
          <w:ilvl w:val="0"/>
          <w:numId w:val="3"/>
        </w:numPr>
        <w:spacing w:after="70"/>
      </w:pPr>
      <w:r>
        <w:rPr>
          <w:sz w:val="21"/>
          <w:szCs w:val="21"/>
        </w:rPr>
        <w:t xml:space="preserve">Tabelas com cabeçalho fixo (sticky) em rolagem vertical e paginação obrigatória acima de 50 linhas.</w:t>
      </w:r>
    </w:p>
    <w:p>
      <w:pPr>
        <w:pStyle w:val="ListParagraph"/>
        <w:numPr>
          <w:ilvl w:val="0"/>
          <w:numId w:val="3"/>
        </w:numPr>
        <w:spacing w:after="70"/>
      </w:pPr>
      <w:r>
        <w:rPr>
          <w:sz w:val="21"/>
          <w:szCs w:val="21"/>
        </w:rPr>
        <w:t xml:space="preserve">Modais reservados para confirmações e formulários curtos; formulários longos (cadastro completo de produto) usam página dedicada, não modal.</w:t>
      </w:r>
    </w:p>
    <w:p>
      <w:pPr>
        <w:pStyle w:val="Heading2"/>
        <w:spacing w:after="140" w:before="320"/>
      </w:pPr>
      <w:r>
        <w:rPr>
          <w:b/>
          <w:bCs/>
          <w:color w:val="B8860B"/>
          <w:sz w:val="26"/>
          <w:szCs w:val="26"/>
        </w:rPr>
        <w:t xml:space="preserve">12.8 Componentes — Menu e Navegação</w:t>
      </w:r>
    </w:p>
    <w:p>
      <w:pPr>
        <w:pStyle w:val="ListParagraph"/>
        <w:numPr>
          <w:ilvl w:val="0"/>
          <w:numId w:val="3"/>
        </w:numPr>
        <w:spacing w:after="70"/>
      </w:pPr>
      <w:r>
        <w:rPr>
          <w:sz w:val="21"/>
          <w:szCs w:val="21"/>
        </w:rPr>
        <w:t xml:space="preserve">Navegação lateral fixa em desktop, com ícones + rótulo; navegação inferior por abas em mobile, priorizando PDV, Estoque, Vendas e Mais.</w:t>
      </w:r>
    </w:p>
    <w:p>
      <w:pPr>
        <w:pStyle w:val="ListParagraph"/>
        <w:numPr>
          <w:ilvl w:val="0"/>
          <w:numId w:val="3"/>
        </w:numPr>
        <w:spacing w:after="70"/>
      </w:pPr>
      <w:r>
        <w:rPr>
          <w:sz w:val="21"/>
          <w:szCs w:val="21"/>
        </w:rPr>
        <w:t xml:space="preserve">Atalho de acesso rápido ao PDV sempre visível, por ser o fluxo mais frequente do sistema.</w:t>
      </w:r>
    </w:p>
    <w:p>
      <w:pPr>
        <w:pStyle w:val="Heading2"/>
        <w:spacing w:after="140" w:before="320"/>
      </w:pPr>
      <w:r>
        <w:rPr>
          <w:b/>
          <w:bCs/>
          <w:color w:val="B8860B"/>
          <w:sz w:val="26"/>
          <w:szCs w:val="26"/>
        </w:rPr>
        <w:t xml:space="preserve">12.9 Feedback Visual e Estados</w:t>
      </w:r>
    </w:p>
    <w:p>
      <w:pPr>
        <w:pStyle w:val="ListParagraph"/>
        <w:numPr>
          <w:ilvl w:val="0"/>
          <w:numId w:val="3"/>
        </w:numPr>
        <w:spacing w:after="70"/>
      </w:pPr>
      <w:r>
        <w:rPr>
          <w:sz w:val="21"/>
          <w:szCs w:val="21"/>
        </w:rPr>
        <w:t xml:space="preserve">Toast de confirmação para ações rápidas (produto salvo, venda registrada).</w:t>
      </w:r>
    </w:p>
    <w:p>
      <w:pPr>
        <w:pStyle w:val="ListParagraph"/>
        <w:numPr>
          <w:ilvl w:val="0"/>
          <w:numId w:val="3"/>
        </w:numPr>
        <w:spacing w:after="70"/>
      </w:pPr>
      <w:r>
        <w:rPr>
          <w:sz w:val="21"/>
          <w:szCs w:val="21"/>
        </w:rPr>
        <w:t xml:space="preserve">Banner persistente para alertas que exigem atenção contínua (estoque crítico, caixa em aberto há mais de 24h).</w:t>
      </w:r>
    </w:p>
    <w:p>
      <w:pPr>
        <w:pStyle w:val="ListParagraph"/>
        <w:numPr>
          <w:ilvl w:val="0"/>
          <w:numId w:val="3"/>
        </w:numPr>
        <w:spacing w:after="70"/>
      </w:pPr>
      <w:r>
        <w:rPr>
          <w:sz w:val="21"/>
          <w:szCs w:val="21"/>
        </w:rPr>
        <w:t xml:space="preserve">Estado vazio (empty state) ilustrado e com chamada à ação em toda listagem sem dados, nunca uma tela em branco sem explicação.</w:t>
      </w:r>
    </w:p>
    <w:p>
      <w:pPr>
        <w:pStyle w:val="ListParagraph"/>
        <w:numPr>
          <w:ilvl w:val="0"/>
          <w:numId w:val="3"/>
        </w:numPr>
        <w:spacing w:after="70"/>
      </w:pPr>
      <w:r>
        <w:rPr>
          <w:sz w:val="21"/>
          <w:szCs w:val="21"/>
        </w:rPr>
        <w:t xml:space="preserve">Estado de erro sempre com mensagem acionável ("Não foi possível salvar. Verifique sua conexão e tente novamente"), nunca mensagem técnica crua.</w:t>
      </w:r>
    </w:p>
    <w:p>
      <w:pPr>
        <w:pStyle w:val="Heading2"/>
        <w:spacing w:after="140" w:before="320"/>
      </w:pPr>
      <w:r>
        <w:rPr>
          <w:b/>
          <w:bCs/>
          <w:color w:val="B8860B"/>
          <w:sz w:val="26"/>
          <w:szCs w:val="26"/>
        </w:rPr>
        <w:t xml:space="preserve">12.10 Modo Claro e Modo Escuro</w:t>
      </w:r>
    </w:p>
    <w:p>
      <w:pPr>
        <w:spacing w:after="140" w:line="300"/>
      </w:pPr>
      <w:r>
        <w:rPr>
          <w:sz w:val="21"/>
          <w:szCs w:val="21"/>
        </w:rPr>
        <w:t xml:space="preserve">Ambos os modos são suportados desde o MVP, com preferência inicial detectada automaticamente pelo sistema operacional do dispositivo e ajustável manualmente nas configurações do usuário.</w:t>
      </w:r>
    </w:p>
    <w:p>
      <w:pPr>
        <w:pStyle w:val="Heading2"/>
        <w:spacing w:after="140" w:before="320"/>
      </w:pPr>
      <w:r>
        <w:rPr>
          <w:b/>
          <w:bCs/>
          <w:color w:val="B8860B"/>
          <w:sz w:val="26"/>
          <w:szCs w:val="26"/>
        </w:rPr>
        <w:t xml:space="preserve">12.11 Responsividade</w:t>
      </w:r>
    </w:p>
    <w:p>
      <w:pPr>
        <w:spacing w:after="140" w:line="300"/>
      </w:pPr>
      <w:r>
        <w:rPr>
          <w:sz w:val="21"/>
          <w:szCs w:val="21"/>
        </w:rPr>
        <w:t xml:space="preserve">Responsividade total é requisito obrigatório (padrão RhoneyInc) em três breakpoints principais: mobile (&lt; 640px), tablet (640–1024px) e desktop (&gt; 1024px). O fluxo de PDV é desenhado mobile-first, pois é o mais usado no balcão de venda; os relatórios e o painel administrativo são desenhados desktop-first, por serem consultados majoritariamente em telas maiores.</w:t>
      </w:r>
    </w:p>
    <w:p>
      <w:pPr>
        <w:pStyle w:val="Heading2"/>
        <w:spacing w:after="140" w:before="320"/>
      </w:pPr>
      <w:r>
        <w:rPr>
          <w:b/>
          <w:bCs/>
          <w:color w:val="B8860B"/>
          <w:sz w:val="26"/>
          <w:szCs w:val="26"/>
        </w:rPr>
        <w:t xml:space="preserve">12.12 Rodapé Padrão</w:t>
      </w:r>
    </w:p>
    <w:p>
      <w:pPr>
        <w:spacing w:after="140" w:line="300"/>
      </w:pPr>
      <w:r>
        <w:rPr>
          <w:sz w:val="21"/>
          <w:szCs w:val="21"/>
        </w:rPr>
        <w:t xml:space="preserve">Todas as telas institucionais (login, onboarding, páginas públicas) exibem o rodapé padrão do ecossistema: "Copyright @RhoneyInc", conforme regra já aplicada aos demais produtos.</w:t>
      </w:r>
    </w:p>
    <w:p>
      <w:pPr>
        <w:pStyle w:val="Heading2"/>
        <w:spacing w:after="140" w:before="320"/>
      </w:pPr>
      <w:r>
        <w:rPr>
          <w:b/>
          <w:bCs/>
          <w:color w:val="B8860B"/>
          <w:sz w:val="26"/>
          <w:szCs w:val="26"/>
        </w:rPr>
        <w:t xml:space="preserve">12.13 UX Premium — Microinterações e Refinamento</w:t>
      </w:r>
    </w:p>
    <w:p>
      <w:pPr>
        <w:spacing w:after="140" w:line="300"/>
      </w:pPr>
      <w:r>
        <w:rPr>
          <w:sz w:val="21"/>
          <w:szCs w:val="21"/>
        </w:rPr>
        <w:t xml:space="preserve">A partir da fase V2, o VendeFlex incorpora um conjunto de refinamentos de experiência que elevam a percepção de qualidade do produto frente a ERPs tradicionais, sem comprometer a performance definida no Capítulo 9:</w:t>
      </w:r>
    </w:p>
    <w:p>
      <w:pPr>
        <w:pStyle w:val="ListParagraph"/>
        <w:numPr>
          <w:ilvl w:val="0"/>
          <w:numId w:val="3"/>
        </w:numPr>
        <w:spacing w:after="70"/>
      </w:pPr>
      <w:r>
        <w:rPr>
          <w:sz w:val="21"/>
          <w:szCs w:val="21"/>
        </w:rPr>
        <w:t xml:space="preserve">Microinterações — pequenas animações de confirmação (ex: item "voando" para o carrinho no PDV) que reforçam feedback sem atrasar o fluxo.</w:t>
      </w:r>
    </w:p>
    <w:p>
      <w:pPr>
        <w:pStyle w:val="ListParagraph"/>
        <w:numPr>
          <w:ilvl w:val="0"/>
          <w:numId w:val="3"/>
        </w:numPr>
        <w:spacing w:after="70"/>
      </w:pPr>
      <w:r>
        <w:rPr>
          <w:sz w:val="21"/>
          <w:szCs w:val="21"/>
        </w:rPr>
        <w:t xml:space="preserve">Skeleton loading — em vez de spinners genéricos, telas de listagem exibem placeholders no formato do conteúdo final enquanto carregam, reduzindo a percepção de espera.</w:t>
      </w:r>
    </w:p>
    <w:p>
      <w:pPr>
        <w:pStyle w:val="ListParagraph"/>
        <w:numPr>
          <w:ilvl w:val="0"/>
          <w:numId w:val="3"/>
        </w:numPr>
        <w:spacing w:after="70"/>
      </w:pPr>
      <w:r>
        <w:rPr>
          <w:sz w:val="21"/>
          <w:szCs w:val="21"/>
        </w:rPr>
        <w:t xml:space="preserve">Animações e transições — transições suaves entre telas (200–300ms), nunca decorativas a ponto de atrasar a tarefa do usuário.</w:t>
      </w:r>
    </w:p>
    <w:p>
      <w:pPr>
        <w:pStyle w:val="ListParagraph"/>
        <w:numPr>
          <w:ilvl w:val="0"/>
          <w:numId w:val="3"/>
        </w:numPr>
        <w:spacing w:after="70"/>
      </w:pPr>
      <w:r>
        <w:rPr>
          <w:sz w:val="21"/>
          <w:szCs w:val="21"/>
        </w:rPr>
        <w:t xml:space="preserve">Feedback háptico (mobile) — vibração curta de confirmação em ações críticas do PDV (venda finalizada, item escaneado com sucesso), quando o dispositivo suportar.</w:t>
      </w:r>
    </w:p>
    <w:p>
      <w:pPr>
        <w:pStyle w:val="ListParagraph"/>
        <w:numPr>
          <w:ilvl w:val="0"/>
          <w:numId w:val="3"/>
        </w:numPr>
        <w:spacing w:after="70"/>
      </w:pPr>
      <w:r>
        <w:rPr>
          <w:sz w:val="21"/>
          <w:szCs w:val="21"/>
        </w:rPr>
        <w:t xml:space="preserve">Atalhos de teclado — atalhos para ações frequentes em desktop (ex: F2 para busca rápida de produto, F4 para finalizar venda).</w:t>
      </w:r>
    </w:p>
    <w:p>
      <w:pPr>
        <w:pStyle w:val="ListParagraph"/>
        <w:numPr>
          <w:ilvl w:val="0"/>
          <w:numId w:val="3"/>
        </w:numPr>
        <w:spacing w:after="70"/>
      </w:pPr>
      <w:r>
        <w:rPr>
          <w:sz w:val="21"/>
          <w:szCs w:val="21"/>
        </w:rPr>
        <w:t xml:space="preserve">Busca universal — campo de busca global (Ctrl+K / Cmd+K) que localiza produtos, clientes, vendas e configurações a partir de um único ponto de entrada.</w:t>
      </w:r>
    </w:p>
    <w:p>
      <w:pPr>
        <w:pStyle w:val="ListParagraph"/>
        <w:numPr>
          <w:ilvl w:val="0"/>
          <w:numId w:val="3"/>
        </w:numPr>
        <w:spacing w:after="70"/>
      </w:pPr>
      <w:r>
        <w:rPr>
          <w:sz w:val="21"/>
          <w:szCs w:val="21"/>
        </w:rPr>
        <w:t xml:space="preserve">Comandos rápidos (command palette) — paleta de comandos para usuários avançados executarem ações sem navegar por menus, inspirada em ferramentas como Notion e Linear.</w:t>
      </w:r>
    </w:p>
    <w:p>
      <w:pPr>
        <w:spacing w:after="140" w:line="300"/>
      </w:pPr>
      <w:r>
        <w:rPr>
          <w:sz w:val="21"/>
          <w:szCs w:val="21"/>
        </w:rPr>
        <w:t xml:space="preserve">Estes refinamentos são tratados como aprimoramento progressivo (progressive enhancement): a ausência de qualquer um deles não compromete a usabilidade central do sistema, mantendo o princípio de robustez sobre estética já estabelecido no Capítulo 1.</w:t>
      </w:r>
    </w:p>
    <w:p>
      <w:pPr>
        <w:pStyle w:val="Heading1"/>
        <w:pageBreakBefore/>
        <w:pBdr>
          <w:bottom w:val="single" w:color="3FA796" w:sz="6" w:space="8"/>
        </w:pBdr>
        <w:spacing w:after="240" w:before="0"/>
      </w:pPr>
      <w:r>
        <w:rPr>
          <w:b/>
          <w:bCs/>
          <w:color w:val="B8860B"/>
          <w:sz w:val="22"/>
          <w:szCs w:val="22"/>
        </w:rPr>
        <w:t xml:space="preserve">CAPÍTULO 13</w:t>
      </w:r>
      <w:r>
        <w:t xml:space="preserve">  </w:t>
      </w:r>
    </w:p>
    <w:p>
      <w:pPr>
        <w:pStyle w:val="Heading1"/>
        <w:spacing w:after="280" w:before="0"/>
      </w:pPr>
      <w:r>
        <w:rPr>
          <w:b/>
          <w:bCs/>
          <w:color w:val="1A1A1A"/>
          <w:sz w:val="36"/>
          <w:szCs w:val="36"/>
        </w:rPr>
        <w:t xml:space="preserve">Central de IA e Assistente Virtual</w:t>
      </w:r>
    </w:p>
    <w:p>
      <w:pPr>
        <w:pStyle w:val="Heading2"/>
        <w:spacing w:after="140" w:before="320"/>
      </w:pPr>
      <w:r>
        <w:rPr>
          <w:b/>
          <w:bCs/>
          <w:color w:val="B8860B"/>
          <w:sz w:val="26"/>
          <w:szCs w:val="26"/>
        </w:rPr>
        <w:t xml:space="preserve">13.1 Princípio Norteador</w:t>
      </w:r>
    </w:p>
    <w:p>
      <w:pPr>
        <w:spacing w:after="140" w:line="300"/>
      </w:pPr>
      <w:r>
        <w:rPr>
          <w:sz w:val="21"/>
          <w:szCs w:val="21"/>
        </w:rPr>
        <w:t xml:space="preserve">A IA no VendeFlex atua exclusivamente como camada de assistência sobre fluxos que já funcionam de forma manual e independente. Nenhuma funcionalidade essencial do sistema fica indisponível caso o serviço de IA esteja fora do ar — este é um requisito de robustez inegociável, reafirmado do Capítulo 1.</w:t>
      </w:r>
    </w:p>
    <w:p>
      <w:pPr>
        <w:pStyle w:val="Heading2"/>
        <w:spacing w:after="140" w:before="320"/>
      </w:pPr>
      <w:r>
        <w:rPr>
          <w:b/>
          <w:bCs/>
          <w:color w:val="B8860B"/>
          <w:sz w:val="26"/>
          <w:szCs w:val="26"/>
        </w:rPr>
        <w:t xml:space="preserve">13.2 Aplicações de IA por Módulo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Módulo</w:t>
            </w:r>
          </w:p>
        </w:tc>
        <w:tc>
          <w:tcPr>
            <w:tcW w:type="dxa" w:w="5300"/>
            <w:shd w:fill="1A1A1A" w:val="clear"/>
            <w:tcMar>
              <w:top w:type="dxa" w:w="90"/>
              <w:left w:type="dxa" w:w="110"/>
              <w:bottom w:type="dxa" w:w="90"/>
              <w:right w:type="dxa" w:w="110"/>
            </w:tcMar>
          </w:tcPr>
          <w:p>
            <w:r>
              <w:rPr>
                <w:b/>
                <w:bCs/>
                <w:color w:val="FFFFFF"/>
                <w:sz w:val="19"/>
                <w:szCs w:val="19"/>
              </w:rPr>
              <w:t xml:space="preserve">Aplicação de IA</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Produtos</w:t>
            </w:r>
          </w:p>
        </w:tc>
        <w:tc>
          <w:tcPr>
            <w:tcW w:type="dxa" w:w="5300"/>
            <w:tcMar>
              <w:top w:type="dxa" w:w="90"/>
              <w:left w:type="dxa" w:w="110"/>
              <w:bottom w:type="dxa" w:w="90"/>
              <w:right w:type="dxa" w:w="110"/>
            </w:tcMar>
          </w:tcPr>
          <w:p>
            <w:r>
              <w:rPr>
                <w:b w:val="false"/>
                <w:bCs w:val="false"/>
                <w:color w:val="1A1A1A"/>
                <w:sz w:val="19"/>
                <w:szCs w:val="19"/>
              </w:rPr>
              <w:t xml:space="preserve">Sugestão de categoria a partir do nome do produto digitado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Produtos</w:t>
            </w:r>
          </w:p>
        </w:tc>
        <w:tc>
          <w:tcPr>
            <w:tcW w:type="dxa" w:w="5300"/>
            <w:tcMar>
              <w:top w:type="dxa" w:w="90"/>
              <w:left w:type="dxa" w:w="110"/>
              <w:bottom w:type="dxa" w:w="90"/>
              <w:right w:type="dxa" w:w="110"/>
            </w:tcMar>
          </w:tcPr>
          <w:p>
            <w:r>
              <w:rPr>
                <w:b w:val="false"/>
                <w:bCs w:val="false"/>
                <w:color w:val="1A1A1A"/>
                <w:sz w:val="19"/>
                <w:szCs w:val="19"/>
              </w:rPr>
              <w:t xml:space="preserve">Sugestão de preço de venda com base em margem-alvo e custo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Compras</w:t>
            </w:r>
          </w:p>
        </w:tc>
        <w:tc>
          <w:tcPr>
            <w:tcW w:type="dxa" w:w="5300"/>
            <w:tcMar>
              <w:top w:type="dxa" w:w="90"/>
              <w:left w:type="dxa" w:w="110"/>
              <w:bottom w:type="dxa" w:w="90"/>
              <w:right w:type="dxa" w:w="110"/>
            </w:tcMar>
          </w:tcPr>
          <w:p>
            <w:r>
              <w:rPr>
                <w:b w:val="false"/>
                <w:bCs w:val="false"/>
                <w:color w:val="1A1A1A"/>
                <w:sz w:val="19"/>
                <w:szCs w:val="19"/>
              </w:rPr>
              <w:t xml:space="preserve">Sugestão de fornecedor mais vantajoso por histórico de preço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Compras</w:t>
            </w:r>
          </w:p>
        </w:tc>
        <w:tc>
          <w:tcPr>
            <w:tcW w:type="dxa" w:w="5300"/>
            <w:tcMar>
              <w:top w:type="dxa" w:w="90"/>
              <w:left w:type="dxa" w:w="110"/>
              <w:bottom w:type="dxa" w:w="90"/>
              <w:right w:type="dxa" w:w="110"/>
            </w:tcMar>
          </w:tcPr>
          <w:p>
            <w:r>
              <w:rPr>
                <w:b w:val="false"/>
                <w:bCs w:val="false"/>
                <w:color w:val="1A1A1A"/>
                <w:sz w:val="19"/>
                <w:szCs w:val="19"/>
              </w:rPr>
              <w:t xml:space="preserve">Sugestão automática de necessidade de compra por previsão de demanda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Estoque</w:t>
            </w:r>
          </w:p>
        </w:tc>
        <w:tc>
          <w:tcPr>
            <w:tcW w:type="dxa" w:w="5300"/>
            <w:tcMar>
              <w:top w:type="dxa" w:w="90"/>
              <w:left w:type="dxa" w:w="110"/>
              <w:bottom w:type="dxa" w:w="90"/>
              <w:right w:type="dxa" w:w="110"/>
            </w:tcMar>
          </w:tcPr>
          <w:p>
            <w:r>
              <w:rPr>
                <w:b w:val="false"/>
                <w:bCs w:val="false"/>
                <w:color w:val="1A1A1A"/>
                <w:sz w:val="19"/>
                <w:szCs w:val="19"/>
              </w:rPr>
              <w:t xml:space="preserve">Previsão de ruptura de estoque com base em velocidade de venda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Relatórios</w:t>
            </w:r>
          </w:p>
        </w:tc>
        <w:tc>
          <w:tcPr>
            <w:tcW w:type="dxa" w:w="5300"/>
            <w:tcMar>
              <w:top w:type="dxa" w:w="90"/>
              <w:left w:type="dxa" w:w="110"/>
              <w:bottom w:type="dxa" w:w="90"/>
              <w:right w:type="dxa" w:w="110"/>
            </w:tcMar>
          </w:tcPr>
          <w:p>
            <w:r>
              <w:rPr>
                <w:b w:val="false"/>
                <w:bCs w:val="false"/>
                <w:color w:val="1A1A1A"/>
                <w:sz w:val="19"/>
                <w:szCs w:val="19"/>
              </w:rPr>
              <w:t xml:space="preserve">Geração de insights automáticos em linguagem natural (ex: queda de margem)</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Relatórios</w:t>
            </w:r>
          </w:p>
        </w:tc>
        <w:tc>
          <w:tcPr>
            <w:tcW w:type="dxa" w:w="5300"/>
            <w:tcMar>
              <w:top w:type="dxa" w:w="90"/>
              <w:left w:type="dxa" w:w="110"/>
              <w:bottom w:type="dxa" w:w="90"/>
              <w:right w:type="dxa" w:w="110"/>
            </w:tcMar>
          </w:tcPr>
          <w:p>
            <w:r>
              <w:rPr>
                <w:b w:val="false"/>
                <w:bCs w:val="false"/>
                <w:color w:val="1A1A1A"/>
                <w:sz w:val="19"/>
                <w:szCs w:val="19"/>
              </w:rPr>
              <w:t xml:space="preserve">Resumo executivo semanal gerado automaticamente</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CRM</w:t>
            </w:r>
          </w:p>
        </w:tc>
        <w:tc>
          <w:tcPr>
            <w:tcW w:type="dxa" w:w="5300"/>
            <w:tcMar>
              <w:top w:type="dxa" w:w="90"/>
              <w:left w:type="dxa" w:w="110"/>
              <w:bottom w:type="dxa" w:w="90"/>
              <w:right w:type="dxa" w:w="110"/>
            </w:tcMar>
          </w:tcPr>
          <w:p>
            <w:r>
              <w:rPr>
                <w:b w:val="false"/>
                <w:bCs w:val="false"/>
                <w:color w:val="1A1A1A"/>
                <w:sz w:val="19"/>
                <w:szCs w:val="19"/>
              </w:rPr>
              <w:t xml:space="preserve">Segmentação de clientes por padrão de compra</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Atendimento</w:t>
            </w:r>
          </w:p>
        </w:tc>
        <w:tc>
          <w:tcPr>
            <w:tcW w:type="dxa" w:w="5300"/>
            <w:tcMar>
              <w:top w:type="dxa" w:w="90"/>
              <w:left w:type="dxa" w:w="110"/>
              <w:bottom w:type="dxa" w:w="90"/>
              <w:right w:type="dxa" w:w="110"/>
            </w:tcMar>
          </w:tcPr>
          <w:p>
            <w:r>
              <w:rPr>
                <w:b w:val="false"/>
                <w:bCs w:val="false"/>
                <w:color w:val="1A1A1A"/>
                <w:sz w:val="19"/>
                <w:szCs w:val="19"/>
              </w:rPr>
              <w:t xml:space="preserve">Assistente virtual para dúvidas de uso do sistema (onboarding e suporte)</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2"/>
        <w:spacing w:after="140" w:before="320"/>
      </w:pPr>
      <w:r>
        <w:rPr>
          <w:b/>
          <w:bCs/>
          <w:color w:val="B8860B"/>
          <w:sz w:val="26"/>
          <w:szCs w:val="26"/>
        </w:rPr>
        <w:t xml:space="preserve">13.3 Cadastro Inteligente de Produtos</w:t>
      </w:r>
    </w:p>
    <w:p>
      <w:pPr>
        <w:spacing w:after="140" w:line="300"/>
      </w:pPr>
      <w:r>
        <w:rPr>
          <w:sz w:val="21"/>
          <w:szCs w:val="21"/>
        </w:rPr>
        <w:t xml:space="preserve">Ao digitar o nome de um produto, o sistema sugere categoria, e opcionalmente marca e faixa de preço, com base em produtos similares já cadastrados na base (própria do tenant) e em padrões gerais do segmento de negócio. A sugestão é sempre editável e nunca aplicada automaticamente sem confirmação do usuário.</w:t>
      </w:r>
    </w:p>
    <w:p>
      <w:pPr>
        <w:pStyle w:val="Heading2"/>
        <w:spacing w:after="140" w:before="320"/>
      </w:pPr>
      <w:r>
        <w:rPr>
          <w:b/>
          <w:bCs/>
          <w:color w:val="B8860B"/>
          <w:sz w:val="26"/>
          <w:szCs w:val="26"/>
        </w:rPr>
        <w:t xml:space="preserve">13.4 Precificação Assistida</w:t>
      </w:r>
    </w:p>
    <w:p>
      <w:pPr>
        <w:spacing w:after="140" w:line="300"/>
      </w:pPr>
      <w:r>
        <w:rPr>
          <w:sz w:val="21"/>
          <w:szCs w:val="21"/>
        </w:rPr>
        <w:t xml:space="preserve">A partir do preço de custo informado e de uma margem-alvo configurada pelo tenant (ou por categoria), o sistema sugere o preço de venda. Em fases futuras, a sugestão pode considerar também a elasticidade observada (produtos que venderam bem mesmo com margem maior).</w:t>
      </w:r>
    </w:p>
    <w:p>
      <w:pPr>
        <w:pStyle w:val="Heading2"/>
        <w:spacing w:after="140" w:before="320"/>
      </w:pPr>
      <w:r>
        <w:rPr>
          <w:b/>
          <w:bCs/>
          <w:color w:val="B8860B"/>
          <w:sz w:val="26"/>
          <w:szCs w:val="26"/>
        </w:rPr>
        <w:t xml:space="preserve">13.5 Previsão de Estoque e Compras</w:t>
      </w:r>
    </w:p>
    <w:p>
      <w:pPr>
        <w:spacing w:after="140" w:line="300"/>
      </w:pPr>
      <w:r>
        <w:rPr>
          <w:sz w:val="21"/>
          <w:szCs w:val="21"/>
        </w:rPr>
        <w:t xml:space="preserve">Com base no histórico de saída de cada produto, o sistema estima a data provável de ruptura de estoque e sugere quantidade de reposição, considerando também sazonalidade quando houver histórico suficiente (mínimo de 90 dias de dados).</w:t>
      </w:r>
    </w:p>
    <w:p>
      <w:pPr>
        <w:pStyle w:val="Heading2"/>
        <w:spacing w:after="140" w:before="320"/>
      </w:pPr>
      <w:r>
        <w:rPr>
          <w:b/>
          <w:bCs/>
          <w:color w:val="B8860B"/>
          <w:sz w:val="26"/>
          <w:szCs w:val="26"/>
        </w:rPr>
        <w:t xml:space="preserve">13.6 Relatórios e Insights Automáticos</w:t>
      </w:r>
    </w:p>
    <w:p>
      <w:pPr>
        <w:spacing w:after="140" w:line="300"/>
      </w:pPr>
      <w:r>
        <w:rPr>
          <w:sz w:val="21"/>
          <w:szCs w:val="21"/>
        </w:rPr>
        <w:t xml:space="preserve">Em vez de exigir que o usuário interprete gráficos, o sistema gera observações textuais diretas, por exemplo: produto com queda de margem sustentada, categoria com giro muito abaixo da média, ou fornecedor cujo preço subiu de forma atípica. Cada insight aponta para a tela de detalhe correspondente.</w:t>
      </w:r>
    </w:p>
    <w:p>
      <w:pPr>
        <w:pStyle w:val="Heading2"/>
        <w:spacing w:after="140" w:before="320"/>
      </w:pPr>
      <w:r>
        <w:rPr>
          <w:b/>
          <w:bCs/>
          <w:color w:val="B8860B"/>
          <w:sz w:val="26"/>
          <w:szCs w:val="26"/>
        </w:rPr>
        <w:t xml:space="preserve">13.7 Central de IA — Assistente Virtual</w:t>
      </w:r>
    </w:p>
    <w:p>
      <w:pPr>
        <w:spacing w:after="140" w:line="300"/>
      </w:pPr>
      <w:r>
        <w:rPr>
          <w:sz w:val="21"/>
          <w:szCs w:val="21"/>
        </w:rPr>
        <w:t xml:space="preserve">A Central de IA é um módulo dedicado, acessível de qualquer tela do sistema, disponível a partir da fase V3. Diferente das sugestões pontuais descritas nas seções anteriores (que aparecem no contexto de cada módulo), a Central de IA permite ao lojista fazer perguntas abertas em linguagem natural sobre o próprio negócio, com respostas geradas a partir dos dados reais do tenant.</w:t>
      </w:r>
    </w:p>
    <w:p>
      <w:pPr>
        <w:spacing w:after="140" w:line="300"/>
      </w:pPr>
      <w:r>
        <w:rPr>
          <w:sz w:val="21"/>
          <w:szCs w:val="21"/>
        </w:rPr>
        <w:t xml:space="preserve">Exemplos de perguntas suportadas:</w:t>
      </w:r>
    </w:p>
    <w:p>
      <w:pPr>
        <w:pStyle w:val="ListParagraph"/>
        <w:numPr>
          <w:ilvl w:val="0"/>
          <w:numId w:val="3"/>
        </w:numPr>
        <w:spacing w:after="70"/>
      </w:pPr>
      <w:r>
        <w:rPr>
          <w:sz w:val="21"/>
          <w:szCs w:val="21"/>
        </w:rPr>
        <w:t xml:space="preserve">"Como posso aumentar meu lucro?" — o assistente analisa margem por categoria e sugere onde há maior oportunidade de ajuste de preço ou redução de custo</w:t>
      </w:r>
    </w:p>
    <w:p>
      <w:pPr>
        <w:pStyle w:val="ListParagraph"/>
        <w:numPr>
          <w:ilvl w:val="0"/>
          <w:numId w:val="3"/>
        </w:numPr>
        <w:spacing w:after="70"/>
      </w:pPr>
      <w:r>
        <w:rPr>
          <w:sz w:val="21"/>
          <w:szCs w:val="21"/>
        </w:rPr>
        <w:t xml:space="preserve">"Quais produtos devo comprar?" — cruza previsão de ruptura de estoque com velocidade de venda para sugerir uma lista de compra priorizada</w:t>
      </w:r>
    </w:p>
    <w:p>
      <w:pPr>
        <w:pStyle w:val="ListParagraph"/>
        <w:numPr>
          <w:ilvl w:val="0"/>
          <w:numId w:val="3"/>
        </w:numPr>
        <w:spacing w:after="70"/>
      </w:pPr>
      <w:r>
        <w:rPr>
          <w:sz w:val="21"/>
          <w:szCs w:val="21"/>
        </w:rPr>
        <w:t xml:space="preserve">"Quais clientes não compram há 60 dias?" — consulta o CRM (Capítulo 7) e retorna a lista, já pronta para uma ação de reengajamento</w:t>
      </w:r>
    </w:p>
    <w:p>
      <w:pPr>
        <w:pStyle w:val="ListParagraph"/>
        <w:numPr>
          <w:ilvl w:val="0"/>
          <w:numId w:val="3"/>
        </w:numPr>
        <w:spacing w:after="70"/>
      </w:pPr>
      <w:r>
        <w:rPr>
          <w:sz w:val="21"/>
          <w:szCs w:val="21"/>
        </w:rPr>
        <w:t xml:space="preserve">"Meu estoque acabará quando?" — projeta a data de ruptura por produto com base no consumo médio recente</w:t>
      </w:r>
    </w:p>
    <w:p>
      <w:pPr>
        <w:pStyle w:val="ListParagraph"/>
        <w:numPr>
          <w:ilvl w:val="0"/>
          <w:numId w:val="3"/>
        </w:numPr>
        <w:spacing w:after="70"/>
      </w:pPr>
      <w:r>
        <w:rPr>
          <w:sz w:val="21"/>
          <w:szCs w:val="21"/>
        </w:rPr>
        <w:t xml:space="preserve">"Quem vende mais?" — retorna o ranking de vendedores do período, com atalho para o Dashboard Executivo (Capítulo 8)</w:t>
      </w:r>
    </w:p>
    <w:p>
      <w:pPr>
        <w:pStyle w:val="ListParagraph"/>
        <w:numPr>
          <w:ilvl w:val="0"/>
          <w:numId w:val="3"/>
        </w:numPr>
        <w:spacing w:after="70"/>
      </w:pPr>
      <w:r>
        <w:rPr>
          <w:sz w:val="21"/>
          <w:szCs w:val="21"/>
        </w:rPr>
        <w:t xml:space="preserve">"Qual fornecedor está caro?" — compara o preço mais recente de cada fornecedor com o histórico e sinaliza variações atípicas</w:t>
      </w:r>
    </w:p>
    <w:p>
      <w:pPr>
        <w:spacing w:after="140" w:line="300"/>
      </w:pPr>
      <w:r>
        <w:rPr>
          <w:sz w:val="21"/>
          <w:szCs w:val="21"/>
        </w:rPr>
        <w:t xml:space="preserve">Toda resposta da Central de IA inclui um atalho direto para a tela de origem dos dados usados, permitindo ao lojista verificar e agir sobre a informação, nunca apenas confiar cegamente na resposta — reforçando o princípio de transparência da seção 13.8.</w:t>
      </w:r>
    </w:p>
    <w:p>
      <w:pPr>
        <w:pStyle w:val="Heading2"/>
        <w:spacing w:after="140" w:before="320"/>
      </w:pPr>
      <w:r>
        <w:rPr>
          <w:b/>
          <w:bCs/>
          <w:color w:val="B8860B"/>
          <w:sz w:val="26"/>
          <w:szCs w:val="26"/>
        </w:rPr>
        <w:t xml:space="preserve">13.8 Governança de IA</w:t>
      </w:r>
    </w:p>
    <w:p>
      <w:pPr>
        <w:pStyle w:val="ListParagraph"/>
        <w:numPr>
          <w:ilvl w:val="0"/>
          <w:numId w:val="3"/>
        </w:numPr>
        <w:spacing w:after="70"/>
      </w:pPr>
      <w:r>
        <w:rPr>
          <w:sz w:val="21"/>
          <w:szCs w:val="21"/>
        </w:rPr>
        <w:t xml:space="preserve">Toda sugestão de IA é claramente identificada na interface como sugestão, nunca apresentada como fato definitivo.</w:t>
      </w:r>
    </w:p>
    <w:p>
      <w:pPr>
        <w:pStyle w:val="ListParagraph"/>
        <w:numPr>
          <w:ilvl w:val="0"/>
          <w:numId w:val="3"/>
        </w:numPr>
        <w:spacing w:after="70"/>
      </w:pPr>
      <w:r>
        <w:rPr>
          <w:sz w:val="21"/>
          <w:szCs w:val="21"/>
        </w:rPr>
        <w:t xml:space="preserve">Dados usados para gerar sugestões nunca cruzam a fronteira de tenant — cada sugestão usa exclusivamente dados do próprio negócio, exceto quando explicitamente informado ao usuário que um padrão agregado e anonimizado do segmento está sendo usado.</w:t>
      </w:r>
    </w:p>
    <w:p>
      <w:pPr>
        <w:pStyle w:val="ListParagraph"/>
        <w:numPr>
          <w:ilvl w:val="0"/>
          <w:numId w:val="3"/>
        </w:numPr>
        <w:spacing w:after="70"/>
      </w:pPr>
      <w:r>
        <w:rPr>
          <w:sz w:val="21"/>
          <w:szCs w:val="21"/>
        </w:rPr>
        <w:t xml:space="preserve">O usuário pode desativar sugestões de IA por módulo, individualmente, nas configurações do tenant.</w:t>
      </w:r>
    </w:p>
    <w:p>
      <w:pPr>
        <w:pStyle w:val="ListParagraph"/>
        <w:numPr>
          <w:ilvl w:val="0"/>
          <w:numId w:val="3"/>
        </w:numPr>
        <w:spacing w:after="70"/>
      </w:pPr>
      <w:r>
        <w:rPr>
          <w:sz w:val="21"/>
          <w:szCs w:val="21"/>
        </w:rPr>
        <w:t xml:space="preserve">Custos de chamadas a modelos de IA são monitorados por tenant, para sustentar a viabilidade do modelo de monetização (Capítulo 20).</w:t>
      </w:r>
    </w:p>
    <w:p>
      <w:pPr>
        <w:pStyle w:val="Heading2"/>
        <w:spacing w:after="140" w:before="320"/>
      </w:pPr>
      <w:r>
        <w:rPr>
          <w:b/>
          <w:bCs/>
          <w:color w:val="B8860B"/>
          <w:sz w:val="26"/>
          <w:szCs w:val="26"/>
        </w:rPr>
        <w:t xml:space="preserve">13.9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RF-IA-01</w:t>
            </w:r>
          </w:p>
        </w:tc>
        <w:tc>
          <w:tcPr>
            <w:tcW w:type="dxa" w:w="5300"/>
            <w:tcMar>
              <w:top w:type="dxa" w:w="90"/>
              <w:left w:type="dxa" w:w="110"/>
              <w:bottom w:type="dxa" w:w="90"/>
              <w:right w:type="dxa" w:w="110"/>
            </w:tcMar>
          </w:tcPr>
          <w:p>
            <w:r>
              <w:rPr>
                <w:b w:val="false"/>
                <w:bCs w:val="false"/>
                <w:color w:val="1A1A1A"/>
                <w:sz w:val="19"/>
                <w:szCs w:val="19"/>
              </w:rPr>
              <w:t xml:space="preserve">Sugestão de categoria e preço na criação de produto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RF-IA-02</w:t>
            </w:r>
          </w:p>
        </w:tc>
        <w:tc>
          <w:tcPr>
            <w:tcW w:type="dxa" w:w="5300"/>
            <w:tcMar>
              <w:top w:type="dxa" w:w="90"/>
              <w:left w:type="dxa" w:w="110"/>
              <w:bottom w:type="dxa" w:w="90"/>
              <w:right w:type="dxa" w:w="110"/>
            </w:tcMar>
          </w:tcPr>
          <w:p>
            <w:r>
              <w:rPr>
                <w:b w:val="false"/>
                <w:bCs w:val="false"/>
                <w:color w:val="1A1A1A"/>
                <w:sz w:val="19"/>
                <w:szCs w:val="19"/>
              </w:rPr>
              <w:t xml:space="preserve">Previsão de ruptura de estoque e sugestão de compra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RF-IA-03</w:t>
            </w:r>
          </w:p>
        </w:tc>
        <w:tc>
          <w:tcPr>
            <w:tcW w:type="dxa" w:w="5300"/>
            <w:tcMar>
              <w:top w:type="dxa" w:w="90"/>
              <w:left w:type="dxa" w:w="110"/>
              <w:bottom w:type="dxa" w:w="90"/>
              <w:right w:type="dxa" w:w="110"/>
            </w:tcMar>
          </w:tcPr>
          <w:p>
            <w:r>
              <w:rPr>
                <w:b w:val="false"/>
                <w:bCs w:val="false"/>
                <w:color w:val="1A1A1A"/>
                <w:sz w:val="19"/>
                <w:szCs w:val="19"/>
              </w:rPr>
              <w:t xml:space="preserve">Insights automáticos em relatórios e dashboard</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RF-IA-04</w:t>
            </w:r>
          </w:p>
        </w:tc>
        <w:tc>
          <w:tcPr>
            <w:tcW w:type="dxa" w:w="5300"/>
            <w:tcMar>
              <w:top w:type="dxa" w:w="90"/>
              <w:left w:type="dxa" w:w="110"/>
              <w:bottom w:type="dxa" w:w="90"/>
              <w:right w:type="dxa" w:w="110"/>
            </w:tcMar>
          </w:tcPr>
          <w:p>
            <w:r>
              <w:rPr>
                <w:b w:val="false"/>
                <w:bCs w:val="false"/>
                <w:color w:val="1A1A1A"/>
                <w:sz w:val="19"/>
                <w:szCs w:val="19"/>
              </w:rPr>
              <w:t xml:space="preserve">Central de IA com perguntas em linguagem natural sobre o negócio</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RF-IA-05</w:t>
            </w:r>
          </w:p>
        </w:tc>
        <w:tc>
          <w:tcPr>
            <w:tcW w:type="dxa" w:w="5300"/>
            <w:tcMar>
              <w:top w:type="dxa" w:w="90"/>
              <w:left w:type="dxa" w:w="110"/>
              <w:bottom w:type="dxa" w:w="90"/>
              <w:right w:type="dxa" w:w="110"/>
            </w:tcMar>
          </w:tcPr>
          <w:p>
            <w:r>
              <w:rPr>
                <w:b w:val="false"/>
                <w:bCs w:val="false"/>
                <w:color w:val="1A1A1A"/>
                <w:sz w:val="19"/>
                <w:szCs w:val="19"/>
              </w:rPr>
              <w:t xml:space="preserve">Desativação de sugestões de IA por módulo, por tenant</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14</w:t>
      </w:r>
      <w:r>
        <w:t xml:space="preserve">  </w:t>
      </w:r>
    </w:p>
    <w:p>
      <w:pPr>
        <w:pStyle w:val="Heading1"/>
        <w:spacing w:after="280" w:before="0"/>
      </w:pPr>
      <w:r>
        <w:rPr>
          <w:b/>
          <w:bCs/>
          <w:color w:val="1A1A1A"/>
          <w:sz w:val="36"/>
          <w:szCs w:val="36"/>
        </w:rPr>
        <w:t xml:space="preserve">Gamificação</w:t>
      </w:r>
    </w:p>
    <w:p>
      <w:pPr>
        <w:pStyle w:val="Heading2"/>
        <w:spacing w:after="140" w:before="320"/>
      </w:pPr>
      <w:r>
        <w:rPr>
          <w:b/>
          <w:bCs/>
          <w:color w:val="B8860B"/>
          <w:sz w:val="26"/>
          <w:szCs w:val="26"/>
        </w:rPr>
        <w:t xml:space="preserve">14.1 Objetivo</w:t>
      </w:r>
    </w:p>
    <w:p>
      <w:pPr>
        <w:spacing w:after="140" w:line="300"/>
      </w:pPr>
      <w:r>
        <w:rPr>
          <w:sz w:val="21"/>
          <w:szCs w:val="21"/>
        </w:rPr>
        <w:t xml:space="preserve">A gamificação é voltada à equipe de vendas, com o objetivo de aumentar engajamento e desempenho por meio de reconhecimento visível de progresso, sem introduzir competição tóxica entre colegas. É um módulo opcional, ativado pelo dono do tenant.</w:t>
      </w:r>
    </w:p>
    <w:p>
      <w:pPr>
        <w:pStyle w:val="Heading2"/>
        <w:spacing w:after="140" w:before="320"/>
      </w:pPr>
      <w:r>
        <w:rPr>
          <w:b/>
          <w:bCs/>
          <w:color w:val="B8860B"/>
          <w:sz w:val="26"/>
          <w:szCs w:val="26"/>
        </w:rPr>
        <w:t xml:space="preserve">14.2 Mecânicas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1A1A1A" w:val="clear"/>
            <w:tcMar>
              <w:top w:type="dxa" w:w="90"/>
              <w:left w:type="dxa" w:w="110"/>
              <w:bottom w:type="dxa" w:w="90"/>
              <w:right w:type="dxa" w:w="110"/>
            </w:tcMar>
          </w:tcPr>
          <w:p>
            <w:r>
              <w:rPr>
                <w:b/>
                <w:bCs/>
                <w:color w:val="FFFFFF"/>
                <w:sz w:val="19"/>
                <w:szCs w:val="19"/>
              </w:rPr>
              <w:t xml:space="preserve">Mecânica</w:t>
            </w:r>
          </w:p>
        </w:tc>
        <w:tc>
          <w:tcPr>
            <w:tcW w:type="dxa" w:w="7300"/>
            <w:shd w:fill="1A1A1A" w:val="clear"/>
            <w:tcMar>
              <w:top w:type="dxa" w:w="90"/>
              <w:left w:type="dxa" w:w="110"/>
              <w:bottom w:type="dxa" w:w="90"/>
              <w:right w:type="dxa" w:w="110"/>
            </w:tcMar>
          </w:tcPr>
          <w:p>
            <w:r>
              <w:rPr>
                <w:b/>
                <w:bCs/>
                <w:color w:val="FFFFFF"/>
                <w:sz w:val="19"/>
                <w:szCs w:val="19"/>
              </w:rPr>
              <w:t xml:space="preserve">Descrição</w:t>
            </w:r>
          </w:p>
        </w:tc>
      </w:tr>
      <w:tr>
        <w:tc>
          <w:tcPr>
            <w:tcW w:type="dxa" w:w="2400"/>
            <w:tcMar>
              <w:top w:type="dxa" w:w="90"/>
              <w:left w:type="dxa" w:w="110"/>
              <w:bottom w:type="dxa" w:w="90"/>
              <w:right w:type="dxa" w:w="110"/>
            </w:tcMar>
          </w:tcPr>
          <w:p>
            <w:r>
              <w:rPr>
                <w:b w:val="false"/>
                <w:bCs w:val="false"/>
                <w:color w:val="1A1A1A"/>
                <w:sz w:val="19"/>
                <w:szCs w:val="19"/>
              </w:rPr>
              <w:t xml:space="preserve">Metas</w:t>
            </w:r>
          </w:p>
        </w:tc>
        <w:tc>
          <w:tcPr>
            <w:tcW w:type="dxa" w:w="7300"/>
            <w:tcMar>
              <w:top w:type="dxa" w:w="90"/>
              <w:left w:type="dxa" w:w="110"/>
              <w:bottom w:type="dxa" w:w="90"/>
              <w:right w:type="dxa" w:w="110"/>
            </w:tcMar>
          </w:tcPr>
          <w:p>
            <w:r>
              <w:rPr>
                <w:b w:val="false"/>
                <w:bCs w:val="false"/>
                <w:color w:val="1A1A1A"/>
                <w:sz w:val="19"/>
                <w:szCs w:val="19"/>
              </w:rPr>
              <w:t xml:space="preserve">Progresso visual da meta individual do vendedor no período (reaproveita o módulo de Metas do Capítulo 7)</w:t>
            </w:r>
          </w:p>
        </w:tc>
      </w:tr>
      <w:tr>
        <w:tc>
          <w:tcPr>
            <w:tcW w:type="dxa" w:w="2400"/>
            <w:tcMar>
              <w:top w:type="dxa" w:w="90"/>
              <w:left w:type="dxa" w:w="110"/>
              <w:bottom w:type="dxa" w:w="90"/>
              <w:right w:type="dxa" w:w="110"/>
            </w:tcMar>
          </w:tcPr>
          <w:p>
            <w:r>
              <w:rPr>
                <w:b w:val="false"/>
                <w:bCs w:val="false"/>
                <w:color w:val="1A1A1A"/>
                <w:sz w:val="19"/>
                <w:szCs w:val="19"/>
              </w:rPr>
              <w:t xml:space="preserve">Ranking</w:t>
            </w:r>
          </w:p>
        </w:tc>
        <w:tc>
          <w:tcPr>
            <w:tcW w:type="dxa" w:w="7300"/>
            <w:tcMar>
              <w:top w:type="dxa" w:w="90"/>
              <w:left w:type="dxa" w:w="110"/>
              <w:bottom w:type="dxa" w:w="90"/>
              <w:right w:type="dxa" w:w="110"/>
            </w:tcMar>
          </w:tcPr>
          <w:p>
            <w:r>
              <w:rPr>
                <w:b w:val="false"/>
                <w:bCs w:val="false"/>
                <w:color w:val="1A1A1A"/>
                <w:sz w:val="19"/>
                <w:szCs w:val="19"/>
              </w:rPr>
              <w:t xml:space="preserve">Classificação da equipe por desempenho no período, com opção de o dono tornar o ranking público ou privado (visível apenas ao próprio vendedor)</w:t>
            </w:r>
          </w:p>
        </w:tc>
      </w:tr>
      <w:tr>
        <w:tc>
          <w:tcPr>
            <w:tcW w:type="dxa" w:w="2400"/>
            <w:tcMar>
              <w:top w:type="dxa" w:w="90"/>
              <w:left w:type="dxa" w:w="110"/>
              <w:bottom w:type="dxa" w:w="90"/>
              <w:right w:type="dxa" w:w="110"/>
            </w:tcMar>
          </w:tcPr>
          <w:p>
            <w:r>
              <w:rPr>
                <w:b w:val="false"/>
                <w:bCs w:val="false"/>
                <w:color w:val="1A1A1A"/>
                <w:sz w:val="19"/>
                <w:szCs w:val="19"/>
              </w:rPr>
              <w:t xml:space="preserve">Conquistas</w:t>
            </w:r>
          </w:p>
        </w:tc>
        <w:tc>
          <w:tcPr>
            <w:tcW w:type="dxa" w:w="7300"/>
            <w:tcMar>
              <w:top w:type="dxa" w:w="90"/>
              <w:left w:type="dxa" w:w="110"/>
              <w:bottom w:type="dxa" w:w="90"/>
              <w:right w:type="dxa" w:w="110"/>
            </w:tcMar>
          </w:tcPr>
          <w:p>
            <w:r>
              <w:rPr>
                <w:b w:val="false"/>
                <w:bCs w:val="false"/>
                <w:color w:val="1A1A1A"/>
                <w:sz w:val="19"/>
                <w:szCs w:val="19"/>
              </w:rPr>
              <w:t xml:space="preserve">Marcos alcançados de forma pontual (ex: "primeira venda do dia", "melhor dia do mês")</w:t>
            </w:r>
          </w:p>
        </w:tc>
      </w:tr>
      <w:tr>
        <w:tc>
          <w:tcPr>
            <w:tcW w:type="dxa" w:w="2400"/>
            <w:tcMar>
              <w:top w:type="dxa" w:w="90"/>
              <w:left w:type="dxa" w:w="110"/>
              <w:bottom w:type="dxa" w:w="90"/>
              <w:right w:type="dxa" w:w="110"/>
            </w:tcMar>
          </w:tcPr>
          <w:p>
            <w:r>
              <w:rPr>
                <w:b w:val="false"/>
                <w:bCs w:val="false"/>
                <w:color w:val="1A1A1A"/>
                <w:sz w:val="19"/>
                <w:szCs w:val="19"/>
              </w:rPr>
              <w:t xml:space="preserve">Medalhas/Níveis</w:t>
            </w:r>
          </w:p>
        </w:tc>
        <w:tc>
          <w:tcPr>
            <w:tcW w:type="dxa" w:w="7300"/>
            <w:tcMar>
              <w:top w:type="dxa" w:w="90"/>
              <w:left w:type="dxa" w:w="110"/>
              <w:bottom w:type="dxa" w:w="90"/>
              <w:right w:type="dxa" w:w="110"/>
            </w:tcMar>
          </w:tcPr>
          <w:p>
            <w:r>
              <w:rPr>
                <w:b w:val="false"/>
                <w:bCs w:val="false"/>
                <w:color w:val="1A1A1A"/>
                <w:sz w:val="19"/>
                <w:szCs w:val="19"/>
              </w:rPr>
              <w:t xml:space="preserve">Progressão de reconhecimento por desempenho sustentado ao longo do tempo, não apenas picos isolados</w:t>
            </w:r>
          </w:p>
        </w:tc>
      </w:tr>
    </w:tbl>
    <w:p>
      <w:pPr>
        <w:pStyle w:val="Heading2"/>
        <w:spacing w:after="140" w:before="320"/>
      </w:pPr>
      <w:r>
        <w:rPr>
          <w:b/>
          <w:bCs/>
          <w:color w:val="B8860B"/>
          <w:sz w:val="26"/>
          <w:szCs w:val="26"/>
        </w:rPr>
        <w:t xml:space="preserve">14.3 Princípios de Design da Gamificação</w:t>
      </w:r>
    </w:p>
    <w:p>
      <w:pPr>
        <w:pStyle w:val="ListParagraph"/>
        <w:numPr>
          <w:ilvl w:val="0"/>
          <w:numId w:val="3"/>
        </w:numPr>
        <w:spacing w:after="70"/>
      </w:pPr>
      <w:r>
        <w:rPr>
          <w:sz w:val="21"/>
          <w:szCs w:val="21"/>
        </w:rPr>
        <w:t xml:space="preserve">Nunca expor desempenho individual publicamente sem consentimento do vendedor e configuração explícita do dono do tenant.</w:t>
      </w:r>
    </w:p>
    <w:p>
      <w:pPr>
        <w:pStyle w:val="ListParagraph"/>
        <w:numPr>
          <w:ilvl w:val="0"/>
          <w:numId w:val="3"/>
        </w:numPr>
        <w:spacing w:after="70"/>
      </w:pPr>
      <w:r>
        <w:rPr>
          <w:sz w:val="21"/>
          <w:szCs w:val="21"/>
        </w:rPr>
        <w:t xml:space="preserve">Conquistas reconhecem tanto volume quanto qualidade (ex: menor taxa de cancelamento de venda), evitando incentivar apenas velocidade às custas de erros.</w:t>
      </w:r>
    </w:p>
    <w:p>
      <w:pPr>
        <w:pStyle w:val="ListParagraph"/>
        <w:numPr>
          <w:ilvl w:val="0"/>
          <w:numId w:val="3"/>
        </w:numPr>
        <w:spacing w:after="70"/>
      </w:pPr>
      <w:r>
        <w:rPr>
          <w:sz w:val="21"/>
          <w:szCs w:val="21"/>
        </w:rPr>
        <w:t xml:space="preserve">Gamificação é sempre um complemento visual sobre dados já existentes (vendas, metas) — não introduz nenhuma regra de negócio nova nem afeta cálculo de comissão real.</w:t>
      </w:r>
    </w:p>
    <w:p>
      <w:pPr>
        <w:pStyle w:val="Heading2"/>
        <w:spacing w:after="140" w:before="320"/>
      </w:pPr>
      <w:r>
        <w:rPr>
          <w:b/>
          <w:bCs/>
          <w:color w:val="B8860B"/>
          <w:sz w:val="26"/>
          <w:szCs w:val="26"/>
        </w:rPr>
        <w:t xml:space="preserve">14.4 Onde a Gamificação Aparece</w:t>
      </w:r>
    </w:p>
    <w:p>
      <w:pPr>
        <w:pStyle w:val="ListParagraph"/>
        <w:numPr>
          <w:ilvl w:val="0"/>
          <w:numId w:val="3"/>
        </w:numPr>
        <w:spacing w:after="70"/>
      </w:pPr>
      <w:r>
        <w:rPr>
          <w:sz w:val="21"/>
          <w:szCs w:val="21"/>
        </w:rPr>
        <w:t xml:space="preserve">Painel pessoal do vendedor, com progresso de meta e conquistas recentes.</w:t>
      </w:r>
    </w:p>
    <w:p>
      <w:pPr>
        <w:pStyle w:val="ListParagraph"/>
        <w:numPr>
          <w:ilvl w:val="0"/>
          <w:numId w:val="3"/>
        </w:numPr>
        <w:spacing w:after="70"/>
      </w:pPr>
      <w:r>
        <w:rPr>
          <w:sz w:val="21"/>
          <w:szCs w:val="21"/>
        </w:rPr>
        <w:t xml:space="preserve">Tela de time (para o dono/gestor), com ranking e visão consolidada da equipe.</w:t>
      </w:r>
    </w:p>
    <w:p>
      <w:pPr>
        <w:pStyle w:val="ListParagraph"/>
        <w:numPr>
          <w:ilvl w:val="0"/>
          <w:numId w:val="3"/>
        </w:numPr>
        <w:spacing w:after="70"/>
      </w:pPr>
      <w:r>
        <w:rPr>
          <w:sz w:val="21"/>
          <w:szCs w:val="21"/>
        </w:rPr>
        <w:t xml:space="preserve">Notificação leve ao atingir um marco relevante (ex: meta batida), sem interromper o fluxo de trabalho no PDV.</w:t>
      </w:r>
    </w:p>
    <w:p>
      <w:pPr>
        <w:pStyle w:val="Heading2"/>
        <w:spacing w:after="140" w:before="320"/>
      </w:pPr>
      <w:r>
        <w:rPr>
          <w:b/>
          <w:bCs/>
          <w:color w:val="B8860B"/>
          <w:sz w:val="26"/>
          <w:szCs w:val="26"/>
        </w:rPr>
        <w:t xml:space="preserve">14.5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RF-GAM-01</w:t>
            </w:r>
          </w:p>
        </w:tc>
        <w:tc>
          <w:tcPr>
            <w:tcW w:type="dxa" w:w="5300"/>
            <w:tcMar>
              <w:top w:type="dxa" w:w="90"/>
              <w:left w:type="dxa" w:w="110"/>
              <w:bottom w:type="dxa" w:w="90"/>
              <w:right w:type="dxa" w:w="110"/>
            </w:tcMar>
          </w:tcPr>
          <w:p>
            <w:r>
              <w:rPr>
                <w:b w:val="false"/>
                <w:bCs w:val="false"/>
                <w:color w:val="1A1A1A"/>
                <w:sz w:val="19"/>
                <w:szCs w:val="19"/>
              </w:rPr>
              <w:t xml:space="preserve">Exibir progresso de meta individual do vendedor de forma visual</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RF-GAM-02</w:t>
            </w:r>
          </w:p>
        </w:tc>
        <w:tc>
          <w:tcPr>
            <w:tcW w:type="dxa" w:w="5300"/>
            <w:tcMar>
              <w:top w:type="dxa" w:w="90"/>
              <w:left w:type="dxa" w:w="110"/>
              <w:bottom w:type="dxa" w:w="90"/>
              <w:right w:type="dxa" w:w="110"/>
            </w:tcMar>
          </w:tcPr>
          <w:p>
            <w:r>
              <w:rPr>
                <w:b w:val="false"/>
                <w:bCs w:val="false"/>
                <w:color w:val="1A1A1A"/>
                <w:sz w:val="19"/>
                <w:szCs w:val="19"/>
              </w:rPr>
              <w:t xml:space="preserve">Gerar conquistas automáticas com base em marcos de venda</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RF-GAM-03</w:t>
            </w:r>
          </w:p>
        </w:tc>
        <w:tc>
          <w:tcPr>
            <w:tcW w:type="dxa" w:w="5300"/>
            <w:tcMar>
              <w:top w:type="dxa" w:w="90"/>
              <w:left w:type="dxa" w:w="110"/>
              <w:bottom w:type="dxa" w:w="90"/>
              <w:right w:type="dxa" w:w="110"/>
            </w:tcMar>
          </w:tcPr>
          <w:p>
            <w:r>
              <w:rPr>
                <w:b w:val="false"/>
                <w:bCs w:val="false"/>
                <w:color w:val="1A1A1A"/>
                <w:sz w:val="19"/>
                <w:szCs w:val="19"/>
              </w:rPr>
              <w:t xml:space="preserve">Exibir ranking de equipe, com opção de privacidade configurável pelo dono</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RF-GAM-04</w:t>
            </w:r>
          </w:p>
        </w:tc>
        <w:tc>
          <w:tcPr>
            <w:tcW w:type="dxa" w:w="5300"/>
            <w:tcMar>
              <w:top w:type="dxa" w:w="90"/>
              <w:left w:type="dxa" w:w="110"/>
              <w:bottom w:type="dxa" w:w="90"/>
              <w:right w:type="dxa" w:w="110"/>
            </w:tcMar>
          </w:tcPr>
          <w:p>
            <w:r>
              <w:rPr>
                <w:b w:val="false"/>
                <w:bCs w:val="false"/>
                <w:color w:val="1A1A1A"/>
                <w:sz w:val="19"/>
                <w:szCs w:val="19"/>
              </w:rPr>
              <w:t xml:space="preserve">Sistema de níveis por desempenho sustentado</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15</w:t>
      </w:r>
      <w:r>
        <w:t xml:space="preserve">  </w:t>
      </w:r>
    </w:p>
    <w:p>
      <w:pPr>
        <w:pStyle w:val="Heading1"/>
        <w:spacing w:after="280" w:before="0"/>
      </w:pPr>
      <w:r>
        <w:rPr>
          <w:b/>
          <w:bCs/>
          <w:color w:val="1A1A1A"/>
          <w:sz w:val="36"/>
          <w:szCs w:val="36"/>
        </w:rPr>
        <w:t xml:space="preserve">Segurança e Compliance</w:t>
      </w:r>
    </w:p>
    <w:p>
      <w:pPr>
        <w:pStyle w:val="Heading2"/>
        <w:spacing w:after="140" w:before="320"/>
      </w:pPr>
      <w:r>
        <w:rPr>
          <w:b/>
          <w:bCs/>
          <w:color w:val="B8860B"/>
          <w:sz w:val="26"/>
          <w:szCs w:val="26"/>
        </w:rPr>
        <w:t xml:space="preserve">15.1 Isolamento Multi-Tenant (RLS)</w:t>
      </w:r>
    </w:p>
    <w:p>
      <w:pPr>
        <w:spacing w:after="140" w:line="300"/>
      </w:pPr>
      <w:r>
        <w:rPr>
          <w:sz w:val="21"/>
          <w:szCs w:val="21"/>
        </w:rPr>
        <w:t xml:space="preserve">Toda tabela de dado de negócio possui Row Level Security habilitado desde a criação, nunca adicionado posteriormente. A policy padrão restringe leitura e escrita ao tenant_id do usuário autenticado, com exceção para o papel administrativo interno (is_admin()), usado exclusivamente pela equipe RhoneyInc para suporte.</w:t>
      </w:r>
    </w:p>
    <w:p>
      <w:pPr>
        <w:pStyle w:val="ListParagraph"/>
        <w:numPr>
          <w:ilvl w:val="0"/>
          <w:numId w:val="3"/>
        </w:numPr>
        <w:spacing w:after="70"/>
      </w:pPr>
      <w:r>
        <w:rPr>
          <w:sz w:val="21"/>
          <w:szCs w:val="21"/>
        </w:rPr>
        <w:t xml:space="preserve">Nenhuma query de aplicação depende de filtro manual por tenant_id no código — o isolamento é garantido no banco, não na aplicação.</w:t>
      </w:r>
    </w:p>
    <w:p>
      <w:pPr>
        <w:pStyle w:val="ListParagraph"/>
        <w:numPr>
          <w:ilvl w:val="0"/>
          <w:numId w:val="3"/>
        </w:numPr>
        <w:spacing w:after="70"/>
      </w:pPr>
      <w:r>
        <w:rPr>
          <w:sz w:val="21"/>
          <w:szCs w:val="21"/>
        </w:rPr>
        <w:t xml:space="preserve">Policies adicionais restringem operações sensíveis por papel: apenas dono e financeiro podem excluir vendas; apenas dono e estoquista podem fazer ajuste manual de estoque.</w:t>
      </w:r>
    </w:p>
    <w:p>
      <w:pPr>
        <w:pStyle w:val="Heading2"/>
        <w:spacing w:after="140" w:before="320"/>
      </w:pPr>
      <w:r>
        <w:rPr>
          <w:b/>
          <w:bCs/>
          <w:color w:val="B8860B"/>
          <w:sz w:val="26"/>
          <w:szCs w:val="26"/>
        </w:rPr>
        <w:t xml:space="preserve">15.2 LGPD</w:t>
      </w:r>
    </w:p>
    <w:p>
      <w:pPr>
        <w:pStyle w:val="ListParagraph"/>
        <w:numPr>
          <w:ilvl w:val="0"/>
          <w:numId w:val="3"/>
        </w:numPr>
        <w:spacing w:after="70"/>
      </w:pPr>
      <w:r>
        <w:rPr>
          <w:sz w:val="21"/>
          <w:szCs w:val="21"/>
        </w:rPr>
        <w:t xml:space="preserve">Dados pessoais de clientes (CRM) coletados apenas com finalidade explícita e consentimento, quando aplicável.</w:t>
      </w:r>
    </w:p>
    <w:p>
      <w:pPr>
        <w:pStyle w:val="ListParagraph"/>
        <w:numPr>
          <w:ilvl w:val="0"/>
          <w:numId w:val="3"/>
        </w:numPr>
        <w:spacing w:after="70"/>
      </w:pPr>
      <w:r>
        <w:rPr>
          <w:sz w:val="21"/>
          <w:szCs w:val="21"/>
        </w:rPr>
        <w:t xml:space="preserve">Direito de exportação e exclusão de dados pessoais disponível ao tenant, para atender solicitações de titulares.</w:t>
      </w:r>
    </w:p>
    <w:p>
      <w:pPr>
        <w:pStyle w:val="ListParagraph"/>
        <w:numPr>
          <w:ilvl w:val="0"/>
          <w:numId w:val="3"/>
        </w:numPr>
        <w:spacing w:after="70"/>
      </w:pPr>
      <w:r>
        <w:rPr>
          <w:sz w:val="21"/>
          <w:szCs w:val="21"/>
        </w:rPr>
        <w:t xml:space="preserve">Dados sensíveis (quando existirem, ex: dados de pagamento) nunca armazenados diretamente — processados via provedores de pagamento certificados, seguindo o mesmo padrão já usado no FinWise.</w:t>
      </w:r>
    </w:p>
    <w:p>
      <w:pPr>
        <w:pStyle w:val="ListParagraph"/>
        <w:numPr>
          <w:ilvl w:val="0"/>
          <w:numId w:val="3"/>
        </w:numPr>
        <w:spacing w:after="70"/>
      </w:pPr>
      <w:r>
        <w:rPr>
          <w:sz w:val="21"/>
          <w:szCs w:val="21"/>
        </w:rPr>
        <w:t xml:space="preserve">Política de retenção de dados definida por tipo de dado, com prazos documentados nas configurações de compliance do tenant.</w:t>
      </w:r>
    </w:p>
    <w:p>
      <w:pPr>
        <w:pStyle w:val="Heading2"/>
        <w:spacing w:after="140" w:before="320"/>
      </w:pPr>
      <w:r>
        <w:rPr>
          <w:b/>
          <w:bCs/>
          <w:color w:val="B8860B"/>
          <w:sz w:val="26"/>
          <w:szCs w:val="26"/>
        </w:rPr>
        <w:t xml:space="preserve">15.3 Backups e Recuperação</w:t>
      </w:r>
    </w:p>
    <w:p>
      <w:pPr>
        <w:pStyle w:val="ListParagraph"/>
        <w:numPr>
          <w:ilvl w:val="0"/>
          <w:numId w:val="3"/>
        </w:numPr>
        <w:spacing w:after="70"/>
      </w:pPr>
      <w:r>
        <w:rPr>
          <w:sz w:val="21"/>
          <w:szCs w:val="21"/>
        </w:rPr>
        <w:t xml:space="preserve">Backups automáticos diários do banco de dados, com retenção mínima de 30 dias.</w:t>
      </w:r>
    </w:p>
    <w:p>
      <w:pPr>
        <w:pStyle w:val="ListParagraph"/>
        <w:numPr>
          <w:ilvl w:val="0"/>
          <w:numId w:val="3"/>
        </w:numPr>
        <w:spacing w:after="70"/>
      </w:pPr>
      <w:r>
        <w:rPr>
          <w:sz w:val="21"/>
          <w:szCs w:val="21"/>
        </w:rPr>
        <w:t xml:space="preserve">Testes periódicos de restauração de backup, para validar que o processo de recuperação funciona de fato, não apenas que o backup foi gerado.</w:t>
      </w:r>
    </w:p>
    <w:p>
      <w:pPr>
        <w:pStyle w:val="ListParagraph"/>
        <w:numPr>
          <w:ilvl w:val="0"/>
          <w:numId w:val="3"/>
        </w:numPr>
        <w:spacing w:after="70"/>
      </w:pPr>
      <w:r>
        <w:rPr>
          <w:sz w:val="21"/>
          <w:szCs w:val="21"/>
        </w:rPr>
        <w:t xml:space="preserve">Plano de recuperação de desastre documentado, com tempo de recuperação alvo (RTO) e ponto de recuperação alvo (RPO) definidos antes do lançamento em produção.</w:t>
      </w:r>
    </w:p>
    <w:p>
      <w:pPr>
        <w:pStyle w:val="Heading2"/>
        <w:spacing w:after="140" w:before="320"/>
      </w:pPr>
      <w:r>
        <w:rPr>
          <w:b/>
          <w:bCs/>
          <w:color w:val="B8860B"/>
          <w:sz w:val="26"/>
          <w:szCs w:val="26"/>
        </w:rPr>
        <w:t xml:space="preserve">15.4 Logs e Auditoria</w:t>
      </w:r>
    </w:p>
    <w:p>
      <w:pPr>
        <w:pStyle w:val="ListParagraph"/>
        <w:numPr>
          <w:ilvl w:val="0"/>
          <w:numId w:val="3"/>
        </w:numPr>
        <w:spacing w:after="70"/>
      </w:pPr>
      <w:r>
        <w:rPr>
          <w:sz w:val="21"/>
          <w:szCs w:val="21"/>
        </w:rPr>
        <w:t xml:space="preserve">Toda ação sensível (exclusão, ajuste manual de estoque, cancelamento de venda, alteração de permissão) é registrada na tabela auditoria_logs, com usuário, timestamp, dado anterior e dado novo.</w:t>
      </w:r>
    </w:p>
    <w:p>
      <w:pPr>
        <w:pStyle w:val="ListParagraph"/>
        <w:numPr>
          <w:ilvl w:val="0"/>
          <w:numId w:val="3"/>
        </w:numPr>
        <w:spacing w:after="70"/>
      </w:pPr>
      <w:r>
        <w:rPr>
          <w:sz w:val="21"/>
          <w:szCs w:val="21"/>
        </w:rPr>
        <w:t xml:space="preserve">Logs de auditoria são imutáveis — não podem ser editados ou excluídos, nem pelo papel administrativo.</w:t>
      </w:r>
    </w:p>
    <w:p>
      <w:pPr>
        <w:pStyle w:val="ListParagraph"/>
        <w:numPr>
          <w:ilvl w:val="0"/>
          <w:numId w:val="3"/>
        </w:numPr>
        <w:spacing w:after="70"/>
      </w:pPr>
      <w:r>
        <w:rPr>
          <w:sz w:val="21"/>
          <w:szCs w:val="21"/>
        </w:rPr>
        <w:t xml:space="preserve">Trilha de auditoria exportável para compliance a partir da fase V3, atendendo negócios de médio/grande porte com exigências formais de auditoria.</w:t>
      </w:r>
    </w:p>
    <w:p>
      <w:pPr>
        <w:pStyle w:val="Heading2"/>
        <w:spacing w:after="140" w:before="320"/>
      </w:pPr>
      <w:r>
        <w:rPr>
          <w:b/>
          <w:bCs/>
          <w:color w:val="B8860B"/>
          <w:sz w:val="26"/>
          <w:szCs w:val="26"/>
        </w:rPr>
        <w:t xml:space="preserve">15.5 Criptografia</w:t>
      </w:r>
    </w:p>
    <w:p>
      <w:pPr>
        <w:pStyle w:val="ListParagraph"/>
        <w:numPr>
          <w:ilvl w:val="0"/>
          <w:numId w:val="3"/>
        </w:numPr>
        <w:spacing w:after="70"/>
      </w:pPr>
      <w:r>
        <w:rPr>
          <w:sz w:val="21"/>
          <w:szCs w:val="21"/>
        </w:rPr>
        <w:t xml:space="preserve">Dados em trânsito protegidos por TLS em toda comunicação entre cliente e servidor.</w:t>
      </w:r>
    </w:p>
    <w:p>
      <w:pPr>
        <w:pStyle w:val="ListParagraph"/>
        <w:numPr>
          <w:ilvl w:val="0"/>
          <w:numId w:val="3"/>
        </w:numPr>
        <w:spacing w:after="70"/>
      </w:pPr>
      <w:r>
        <w:rPr>
          <w:sz w:val="21"/>
          <w:szCs w:val="21"/>
        </w:rPr>
        <w:t xml:space="preserve">Dados sensíveis em repouso criptografados no nível do provedor de banco de dados (Supabase/PostgreSQL).</w:t>
      </w:r>
    </w:p>
    <w:p>
      <w:pPr>
        <w:pStyle w:val="ListParagraph"/>
        <w:numPr>
          <w:ilvl w:val="0"/>
          <w:numId w:val="3"/>
        </w:numPr>
        <w:spacing w:after="70"/>
      </w:pPr>
      <w:r>
        <w:rPr>
          <w:sz w:val="21"/>
          <w:szCs w:val="21"/>
        </w:rPr>
        <w:t xml:space="preserve">Chaves de API e segredos de integração nunca armazenados no frontend, geridos via variáveis de ambiente seguras.</w:t>
      </w:r>
    </w:p>
    <w:p>
      <w:pPr>
        <w:pStyle w:val="Heading2"/>
        <w:spacing w:after="140" w:before="320"/>
      </w:pPr>
      <w:r>
        <w:rPr>
          <w:b/>
          <w:bCs/>
          <w:color w:val="B8860B"/>
          <w:sz w:val="26"/>
          <w:szCs w:val="26"/>
        </w:rPr>
        <w:t xml:space="preserve">15.6 Controle de Acesso e Sessões</w:t>
      </w:r>
    </w:p>
    <w:p>
      <w:pPr>
        <w:pStyle w:val="ListParagraph"/>
        <w:numPr>
          <w:ilvl w:val="0"/>
          <w:numId w:val="3"/>
        </w:numPr>
        <w:spacing w:after="70"/>
      </w:pPr>
      <w:r>
        <w:rPr>
          <w:sz w:val="21"/>
          <w:szCs w:val="21"/>
        </w:rPr>
        <w:t xml:space="preserve">Autenticação via Supabase Auth, compartilhada com o hub RhoneyInc (login único).</w:t>
      </w:r>
    </w:p>
    <w:p>
      <w:pPr>
        <w:pStyle w:val="ListParagraph"/>
        <w:numPr>
          <w:ilvl w:val="0"/>
          <w:numId w:val="3"/>
        </w:numPr>
        <w:spacing w:after="70"/>
      </w:pPr>
      <w:r>
        <w:rPr>
          <w:sz w:val="21"/>
          <w:szCs w:val="21"/>
        </w:rPr>
        <w:t xml:space="preserve">Sessões com expiração configurável e renovação segura de token.</w:t>
      </w:r>
    </w:p>
    <w:p>
      <w:pPr>
        <w:pStyle w:val="ListParagraph"/>
        <w:numPr>
          <w:ilvl w:val="0"/>
          <w:numId w:val="3"/>
        </w:numPr>
        <w:spacing w:after="70"/>
      </w:pPr>
      <w:r>
        <w:rPr>
          <w:sz w:val="21"/>
          <w:szCs w:val="21"/>
        </w:rPr>
        <w:t xml:space="preserve">Possibilidade de encerrar sessões remotamente (ex: dispositivo perdido) — requisito V2.</w:t>
      </w:r>
    </w:p>
    <w:p>
      <w:pPr>
        <w:pStyle w:val="ListParagraph"/>
        <w:numPr>
          <w:ilvl w:val="0"/>
          <w:numId w:val="3"/>
        </w:numPr>
        <w:spacing w:after="70"/>
      </w:pPr>
      <w:r>
        <w:rPr>
          <w:sz w:val="21"/>
          <w:szCs w:val="21"/>
        </w:rPr>
        <w:t xml:space="preserve">Autenticação de dois fatores disponível como opção para o papel de dono/administrador do tenant — requisito V2.</w:t>
      </w:r>
    </w:p>
    <w:p>
      <w:pPr>
        <w:pStyle w:val="Heading2"/>
        <w:spacing w:after="140" w:before="320"/>
      </w:pPr>
      <w:r>
        <w:rPr>
          <w:b/>
          <w:bCs/>
          <w:color w:val="B8860B"/>
          <w:sz w:val="26"/>
          <w:szCs w:val="26"/>
        </w:rPr>
        <w:t xml:space="preserve">15.7 Permissões por Papel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Papel</w:t>
            </w:r>
          </w:p>
        </w:tc>
        <w:tc>
          <w:tcPr>
            <w:tcW w:type="dxa" w:w="7300"/>
            <w:shd w:fill="1A1A1A" w:val="clear"/>
            <w:tcMar>
              <w:top w:type="dxa" w:w="90"/>
              <w:left w:type="dxa" w:w="110"/>
              <w:bottom w:type="dxa" w:w="90"/>
              <w:right w:type="dxa" w:w="110"/>
            </w:tcMar>
          </w:tcPr>
          <w:p>
            <w:r>
              <w:rPr>
                <w:b/>
                <w:bCs/>
                <w:color w:val="FFFFFF"/>
                <w:sz w:val="19"/>
                <w:szCs w:val="19"/>
              </w:rPr>
              <w:t xml:space="preserve">Acesso típico</w:t>
            </w:r>
          </w:p>
        </w:tc>
      </w:tr>
      <w:tr>
        <w:tc>
          <w:tcPr>
            <w:tcW w:type="dxa" w:w="2200"/>
            <w:tcMar>
              <w:top w:type="dxa" w:w="90"/>
              <w:left w:type="dxa" w:w="110"/>
              <w:bottom w:type="dxa" w:w="90"/>
              <w:right w:type="dxa" w:w="110"/>
            </w:tcMar>
          </w:tcPr>
          <w:p>
            <w:r>
              <w:rPr>
                <w:b w:val="false"/>
                <w:bCs w:val="false"/>
                <w:color w:val="1A1A1A"/>
                <w:sz w:val="19"/>
                <w:szCs w:val="19"/>
              </w:rPr>
              <w:t xml:space="preserve">Dono</w:t>
            </w:r>
          </w:p>
        </w:tc>
        <w:tc>
          <w:tcPr>
            <w:tcW w:type="dxa" w:w="7300"/>
            <w:tcMar>
              <w:top w:type="dxa" w:w="90"/>
              <w:left w:type="dxa" w:w="110"/>
              <w:bottom w:type="dxa" w:w="90"/>
              <w:right w:type="dxa" w:w="110"/>
            </w:tcMar>
          </w:tcPr>
          <w:p>
            <w:r>
              <w:rPr>
                <w:b w:val="false"/>
                <w:bCs w:val="false"/>
                <w:color w:val="1A1A1A"/>
                <w:sz w:val="19"/>
                <w:szCs w:val="19"/>
              </w:rPr>
              <w:t xml:space="preserve">Acesso completo a todos os módulos e configurações do tenant</w:t>
            </w:r>
          </w:p>
        </w:tc>
      </w:tr>
      <w:tr>
        <w:tc>
          <w:tcPr>
            <w:tcW w:type="dxa" w:w="2200"/>
            <w:tcMar>
              <w:top w:type="dxa" w:w="90"/>
              <w:left w:type="dxa" w:w="110"/>
              <w:bottom w:type="dxa" w:w="90"/>
              <w:right w:type="dxa" w:w="110"/>
            </w:tcMar>
          </w:tcPr>
          <w:p>
            <w:r>
              <w:rPr>
                <w:b w:val="false"/>
                <w:bCs w:val="false"/>
                <w:color w:val="1A1A1A"/>
                <w:sz w:val="19"/>
                <w:szCs w:val="19"/>
              </w:rPr>
              <w:t xml:space="preserve">Financeiro</w:t>
            </w:r>
          </w:p>
        </w:tc>
        <w:tc>
          <w:tcPr>
            <w:tcW w:type="dxa" w:w="7300"/>
            <w:tcMar>
              <w:top w:type="dxa" w:w="90"/>
              <w:left w:type="dxa" w:w="110"/>
              <w:bottom w:type="dxa" w:w="90"/>
              <w:right w:type="dxa" w:w="110"/>
            </w:tcMar>
          </w:tcPr>
          <w:p>
            <w:r>
              <w:rPr>
                <w:b w:val="false"/>
                <w:bCs w:val="false"/>
                <w:color w:val="1A1A1A"/>
                <w:sz w:val="19"/>
                <w:szCs w:val="19"/>
              </w:rPr>
              <w:t xml:space="preserve">Acesso a Financeiro, Relatórios, Contas a pagar/receber; sem acesso a exclusão de produtos</w:t>
            </w:r>
          </w:p>
        </w:tc>
      </w:tr>
      <w:tr>
        <w:tc>
          <w:tcPr>
            <w:tcW w:type="dxa" w:w="2200"/>
            <w:tcMar>
              <w:top w:type="dxa" w:w="90"/>
              <w:left w:type="dxa" w:w="110"/>
              <w:bottom w:type="dxa" w:w="90"/>
              <w:right w:type="dxa" w:w="110"/>
            </w:tcMar>
          </w:tcPr>
          <w:p>
            <w:r>
              <w:rPr>
                <w:b w:val="false"/>
                <w:bCs w:val="false"/>
                <w:color w:val="1A1A1A"/>
                <w:sz w:val="19"/>
                <w:szCs w:val="19"/>
              </w:rPr>
              <w:t xml:space="preserve">Estoquista</w:t>
            </w:r>
          </w:p>
        </w:tc>
        <w:tc>
          <w:tcPr>
            <w:tcW w:type="dxa" w:w="7300"/>
            <w:tcMar>
              <w:top w:type="dxa" w:w="90"/>
              <w:left w:type="dxa" w:w="110"/>
              <w:bottom w:type="dxa" w:w="90"/>
              <w:right w:type="dxa" w:w="110"/>
            </w:tcMar>
          </w:tcPr>
          <w:p>
            <w:r>
              <w:rPr>
                <w:b w:val="false"/>
                <w:bCs w:val="false"/>
                <w:color w:val="1A1A1A"/>
                <w:sz w:val="19"/>
                <w:szCs w:val="19"/>
              </w:rPr>
              <w:t xml:space="preserve">Acesso a Produtos, Estoque, Compras, Fornecedores; sem acesso a Financeiro</w:t>
            </w:r>
          </w:p>
        </w:tc>
      </w:tr>
      <w:tr>
        <w:tc>
          <w:tcPr>
            <w:tcW w:type="dxa" w:w="2200"/>
            <w:tcMar>
              <w:top w:type="dxa" w:w="90"/>
              <w:left w:type="dxa" w:w="110"/>
              <w:bottom w:type="dxa" w:w="90"/>
              <w:right w:type="dxa" w:w="110"/>
            </w:tcMar>
          </w:tcPr>
          <w:p>
            <w:r>
              <w:rPr>
                <w:b w:val="false"/>
                <w:bCs w:val="false"/>
                <w:color w:val="1A1A1A"/>
                <w:sz w:val="19"/>
                <w:szCs w:val="19"/>
              </w:rPr>
              <w:t xml:space="preserve">Vendedor</w:t>
            </w:r>
          </w:p>
        </w:tc>
        <w:tc>
          <w:tcPr>
            <w:tcW w:type="dxa" w:w="7300"/>
            <w:tcMar>
              <w:top w:type="dxa" w:w="90"/>
              <w:left w:type="dxa" w:w="110"/>
              <w:bottom w:type="dxa" w:w="90"/>
              <w:right w:type="dxa" w:w="110"/>
            </w:tcMar>
          </w:tcPr>
          <w:p>
            <w:r>
              <w:rPr>
                <w:b w:val="false"/>
                <w:bCs w:val="false"/>
                <w:color w:val="1A1A1A"/>
                <w:sz w:val="19"/>
                <w:szCs w:val="19"/>
              </w:rPr>
              <w:t xml:space="preserve">Acesso a PDV e consulta de Estoque; sem acesso a custos de produto nem Financeiro</w:t>
            </w:r>
          </w:p>
        </w:tc>
      </w:tr>
    </w:tbl>
    <w:p>
      <w:pPr>
        <w:pStyle w:val="Heading2"/>
        <w:spacing w:after="140" w:before="320"/>
      </w:pPr>
      <w:r>
        <w:rPr>
          <w:b/>
          <w:bCs/>
          <w:color w:val="B8860B"/>
          <w:sz w:val="26"/>
          <w:szCs w:val="26"/>
        </w:rPr>
        <w:t xml:space="preserve">15.8 Segurança Específica de PWA/TWA</w:t>
      </w:r>
    </w:p>
    <w:p>
      <w:pPr>
        <w:spacing w:after="140" w:line="300"/>
      </w:pPr>
      <w:r>
        <w:rPr>
          <w:sz w:val="21"/>
          <w:szCs w:val="21"/>
        </w:rPr>
        <w:t xml:space="preserve">Seguindo o mesmo padrão de segurança já aplicado nos demais produtos RhoneyInc publicados como TWA (Trusted Web Activity) no Google Play, o VendeFlex adota verificação de integridade de asset links, atualização forçada de versão via tabela app_config, e conformidade com as políticas do Google Play vigentes para aplicativos de gestão empresarial.</w:t>
      </w:r>
    </w:p>
    <w:p>
      <w:pPr>
        <w:pStyle w:val="Heading1"/>
        <w:pageBreakBefore/>
        <w:pBdr>
          <w:bottom w:val="single" w:color="3FA796" w:sz="6" w:space="8"/>
        </w:pBdr>
        <w:spacing w:after="240" w:before="0"/>
      </w:pPr>
      <w:r>
        <w:rPr>
          <w:b/>
          <w:bCs/>
          <w:color w:val="B8860B"/>
          <w:sz w:val="22"/>
          <w:szCs w:val="22"/>
        </w:rPr>
        <w:t xml:space="preserve">CAPÍTULO 16</w:t>
      </w:r>
      <w:r>
        <w:t xml:space="preserve">  </w:t>
      </w:r>
    </w:p>
    <w:p>
      <w:pPr>
        <w:pStyle w:val="Heading1"/>
        <w:spacing w:after="280" w:before="0"/>
      </w:pPr>
      <w:r>
        <w:rPr>
          <w:b/>
          <w:bCs/>
          <w:color w:val="1A1A1A"/>
          <w:sz w:val="36"/>
          <w:szCs w:val="36"/>
        </w:rPr>
        <w:t xml:space="preserve">Centro de Automações</w:t>
      </w:r>
    </w:p>
    <w:p>
      <w:pPr>
        <w:pStyle w:val="Heading2"/>
        <w:spacing w:after="140" w:before="320"/>
      </w:pPr>
      <w:r>
        <w:rPr>
          <w:b/>
          <w:bCs/>
          <w:color w:val="B8860B"/>
          <w:sz w:val="26"/>
          <w:szCs w:val="26"/>
        </w:rPr>
        <w:t xml:space="preserve">16.1 Objetivo</w:t>
      </w:r>
    </w:p>
    <w:p>
      <w:pPr>
        <w:spacing w:after="140" w:line="300"/>
      </w:pPr>
      <w:r>
        <w:rPr>
          <w:sz w:val="21"/>
          <w:szCs w:val="21"/>
        </w:rPr>
        <w:t xml:space="preserve">O Centro de Automações permite ao lojista configurar reações automáticas a eventos do sistema, sem depender de desenvolvimento customizado. Tecnicamente, é sustentado pela infraestrutura n8n já usada nos demais produtos do ecossistema RhoneyInc, exposta ao usuário final por meio de uma interface simplificada de regras (gatilho → condição → ação), não pelo editor visual completo do n8n.</w:t>
      </w:r>
    </w:p>
    <w:p>
      <w:pPr>
        <w:pStyle w:val="Heading2"/>
        <w:spacing w:after="140" w:before="320"/>
      </w:pPr>
      <w:r>
        <w:rPr>
          <w:b/>
          <w:bCs/>
          <w:color w:val="B8860B"/>
          <w:sz w:val="26"/>
          <w:szCs w:val="26"/>
        </w:rPr>
        <w:t xml:space="preserve">16.2 Estrutura de uma Automação</w:t>
      </w:r>
    </w:p>
    <w:p>
      <w:pPr>
        <w:spacing w:after="140" w:line="300"/>
      </w:pPr>
      <w:r>
        <w:rPr>
          <w:sz w:val="21"/>
          <w:szCs w:val="21"/>
        </w:rPr>
        <w:t xml:space="preserve">Toda automação segue o modelo: Gatilho (o que dispara) → Condições (quando disparar) → Ações (o que acontece), podendo encadear múltiplas ações em sequência.</w:t>
      </w:r>
    </w:p>
    <w:p>
      <w:pPr>
        <w:pBdr>
          <w:left w:val="single" w:color="3FA796" w:sz="18" w:space="12"/>
        </w:pBdr>
        <w:spacing w:after="200" w:before="120"/>
        <w:ind w:left="400"/>
      </w:pPr>
      <w:r>
        <w:rPr>
          <w:i/>
          <w:iCs/>
          <w:color w:val="555555"/>
          <w:sz w:val="21"/>
          <w:szCs w:val="21"/>
        </w:rPr>
        <w:t xml:space="preserve">Exemplo: Venda realizada → (se valor &gt; R$ 200) → Enviar WhatsApp de agradecimento → Atualizar CRM → Criar conta a receber (se venda a prazo) → Registrar no relatório de analytics</w:t>
      </w:r>
    </w:p>
    <w:p>
      <w:pPr>
        <w:pStyle w:val="Heading2"/>
        <w:spacing w:after="140" w:before="320"/>
      </w:pPr>
      <w:r>
        <w:rPr>
          <w:b/>
          <w:bCs/>
          <w:color w:val="B8860B"/>
          <w:sz w:val="26"/>
          <w:szCs w:val="26"/>
        </w:rPr>
        <w:t xml:space="preserve">16.3 Gatilhos Disponíveis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Gatilho</w:t>
            </w:r>
          </w:p>
        </w:tc>
        <w:tc>
          <w:tcPr>
            <w:tcW w:type="dxa" w:w="7100"/>
            <w:shd w:fill="1A1A1A" w:val="clear"/>
            <w:tcMar>
              <w:top w:type="dxa" w:w="90"/>
              <w:left w:type="dxa" w:w="110"/>
              <w:bottom w:type="dxa" w:w="90"/>
              <w:right w:type="dxa" w:w="110"/>
            </w:tcMar>
          </w:tcPr>
          <w:p>
            <w:r>
              <w:rPr>
                <w:b/>
                <w:bCs/>
                <w:color w:val="FFFFFF"/>
                <w:sz w:val="19"/>
                <w:szCs w:val="19"/>
              </w:rPr>
              <w:t xml:space="preserve">Descrição</w:t>
            </w:r>
          </w:p>
        </w:tc>
      </w:tr>
      <w:tr>
        <w:tc>
          <w:tcPr>
            <w:tcW w:type="dxa" w:w="2600"/>
            <w:tcMar>
              <w:top w:type="dxa" w:w="90"/>
              <w:left w:type="dxa" w:w="110"/>
              <w:bottom w:type="dxa" w:w="90"/>
              <w:right w:type="dxa" w:w="110"/>
            </w:tcMar>
          </w:tcPr>
          <w:p>
            <w:r>
              <w:rPr>
                <w:b w:val="false"/>
                <w:bCs w:val="false"/>
                <w:color w:val="1A1A1A"/>
                <w:sz w:val="19"/>
                <w:szCs w:val="19"/>
              </w:rPr>
              <w:t xml:space="preserve">Venda realizada</w:t>
            </w:r>
          </w:p>
        </w:tc>
        <w:tc>
          <w:tcPr>
            <w:tcW w:type="dxa" w:w="7100"/>
            <w:tcMar>
              <w:top w:type="dxa" w:w="90"/>
              <w:left w:type="dxa" w:w="110"/>
              <w:bottom w:type="dxa" w:w="90"/>
              <w:right w:type="dxa" w:w="110"/>
            </w:tcMar>
          </w:tcPr>
          <w:p>
            <w:r>
              <w:rPr>
                <w:b w:val="false"/>
                <w:bCs w:val="false"/>
                <w:color w:val="1A1A1A"/>
                <w:sz w:val="19"/>
                <w:szCs w:val="19"/>
              </w:rPr>
              <w:t xml:space="preserve">Disparado ao confirmar uma venda no PDV</w:t>
            </w:r>
          </w:p>
        </w:tc>
      </w:tr>
      <w:tr>
        <w:tc>
          <w:tcPr>
            <w:tcW w:type="dxa" w:w="2600"/>
            <w:tcMar>
              <w:top w:type="dxa" w:w="90"/>
              <w:left w:type="dxa" w:w="110"/>
              <w:bottom w:type="dxa" w:w="90"/>
              <w:right w:type="dxa" w:w="110"/>
            </w:tcMar>
          </w:tcPr>
          <w:p>
            <w:r>
              <w:rPr>
                <w:b w:val="false"/>
                <w:bCs w:val="false"/>
                <w:color w:val="1A1A1A"/>
                <w:sz w:val="19"/>
                <w:szCs w:val="19"/>
              </w:rPr>
              <w:t xml:space="preserve">Estoque baixo</w:t>
            </w:r>
          </w:p>
        </w:tc>
        <w:tc>
          <w:tcPr>
            <w:tcW w:type="dxa" w:w="7100"/>
            <w:tcMar>
              <w:top w:type="dxa" w:w="90"/>
              <w:left w:type="dxa" w:w="110"/>
              <w:bottom w:type="dxa" w:w="90"/>
              <w:right w:type="dxa" w:w="110"/>
            </w:tcMar>
          </w:tcPr>
          <w:p>
            <w:r>
              <w:rPr>
                <w:b w:val="false"/>
                <w:bCs w:val="false"/>
                <w:color w:val="1A1A1A"/>
                <w:sz w:val="19"/>
                <w:szCs w:val="19"/>
              </w:rPr>
              <w:t xml:space="preserve">Disparado quando um produto atinge a quantidade mínima configurada</w:t>
            </w:r>
          </w:p>
        </w:tc>
      </w:tr>
      <w:tr>
        <w:tc>
          <w:tcPr>
            <w:tcW w:type="dxa" w:w="2600"/>
            <w:tcMar>
              <w:top w:type="dxa" w:w="90"/>
              <w:left w:type="dxa" w:w="110"/>
              <w:bottom w:type="dxa" w:w="90"/>
              <w:right w:type="dxa" w:w="110"/>
            </w:tcMar>
          </w:tcPr>
          <w:p>
            <w:r>
              <w:rPr>
                <w:b w:val="false"/>
                <w:bCs w:val="false"/>
                <w:color w:val="1A1A1A"/>
                <w:sz w:val="19"/>
                <w:szCs w:val="19"/>
              </w:rPr>
              <w:t xml:space="preserve">Caixa fechado</w:t>
            </w:r>
          </w:p>
        </w:tc>
        <w:tc>
          <w:tcPr>
            <w:tcW w:type="dxa" w:w="7100"/>
            <w:tcMar>
              <w:top w:type="dxa" w:w="90"/>
              <w:left w:type="dxa" w:w="110"/>
              <w:bottom w:type="dxa" w:w="90"/>
              <w:right w:type="dxa" w:w="110"/>
            </w:tcMar>
          </w:tcPr>
          <w:p>
            <w:r>
              <w:rPr>
                <w:b w:val="false"/>
                <w:bCs w:val="false"/>
                <w:color w:val="1A1A1A"/>
                <w:sz w:val="19"/>
                <w:szCs w:val="19"/>
              </w:rPr>
              <w:t xml:space="preserve">Disparado ao concluir o fechamento de um turno de caixa</w:t>
            </w:r>
          </w:p>
        </w:tc>
      </w:tr>
      <w:tr>
        <w:tc>
          <w:tcPr>
            <w:tcW w:type="dxa" w:w="2600"/>
            <w:tcMar>
              <w:top w:type="dxa" w:w="90"/>
              <w:left w:type="dxa" w:w="110"/>
              <w:bottom w:type="dxa" w:w="90"/>
              <w:right w:type="dxa" w:w="110"/>
            </w:tcMar>
          </w:tcPr>
          <w:p>
            <w:r>
              <w:rPr>
                <w:b w:val="false"/>
                <w:bCs w:val="false"/>
                <w:color w:val="1A1A1A"/>
                <w:sz w:val="19"/>
                <w:szCs w:val="19"/>
              </w:rPr>
              <w:t xml:space="preserve">Cliente inativo</w:t>
            </w:r>
          </w:p>
        </w:tc>
        <w:tc>
          <w:tcPr>
            <w:tcW w:type="dxa" w:w="7100"/>
            <w:tcMar>
              <w:top w:type="dxa" w:w="90"/>
              <w:left w:type="dxa" w:w="110"/>
              <w:bottom w:type="dxa" w:w="90"/>
              <w:right w:type="dxa" w:w="110"/>
            </w:tcMar>
          </w:tcPr>
          <w:p>
            <w:r>
              <w:rPr>
                <w:b w:val="false"/>
                <w:bCs w:val="false"/>
                <w:color w:val="1A1A1A"/>
                <w:sz w:val="19"/>
                <w:szCs w:val="19"/>
              </w:rPr>
              <w:t xml:space="preserve">Disparado quando um cliente não compra há N dias (requer CRM, V2)</w:t>
            </w:r>
          </w:p>
        </w:tc>
      </w:tr>
      <w:tr>
        <w:tc>
          <w:tcPr>
            <w:tcW w:type="dxa" w:w="2600"/>
            <w:tcMar>
              <w:top w:type="dxa" w:w="90"/>
              <w:left w:type="dxa" w:w="110"/>
              <w:bottom w:type="dxa" w:w="90"/>
              <w:right w:type="dxa" w:w="110"/>
            </w:tcMar>
          </w:tcPr>
          <w:p>
            <w:r>
              <w:rPr>
                <w:b w:val="false"/>
                <w:bCs w:val="false"/>
                <w:color w:val="1A1A1A"/>
                <w:sz w:val="19"/>
                <w:szCs w:val="19"/>
              </w:rPr>
              <w:t xml:space="preserve">Meta atingida</w:t>
            </w:r>
          </w:p>
        </w:tc>
        <w:tc>
          <w:tcPr>
            <w:tcW w:type="dxa" w:w="7100"/>
            <w:tcMar>
              <w:top w:type="dxa" w:w="90"/>
              <w:left w:type="dxa" w:w="110"/>
              <w:bottom w:type="dxa" w:w="90"/>
              <w:right w:type="dxa" w:w="110"/>
            </w:tcMar>
          </w:tcPr>
          <w:p>
            <w:r>
              <w:rPr>
                <w:b w:val="false"/>
                <w:bCs w:val="false"/>
                <w:color w:val="1A1A1A"/>
                <w:sz w:val="19"/>
                <w:szCs w:val="19"/>
              </w:rPr>
              <w:t xml:space="preserve">Disparado quando um vendedor ou loja atinge a meta configurada</w:t>
            </w:r>
          </w:p>
        </w:tc>
      </w:tr>
      <w:tr>
        <w:tc>
          <w:tcPr>
            <w:tcW w:type="dxa" w:w="2600"/>
            <w:tcMar>
              <w:top w:type="dxa" w:w="90"/>
              <w:left w:type="dxa" w:w="110"/>
              <w:bottom w:type="dxa" w:w="90"/>
              <w:right w:type="dxa" w:w="110"/>
            </w:tcMar>
          </w:tcPr>
          <w:p>
            <w:r>
              <w:rPr>
                <w:b w:val="false"/>
                <w:bCs w:val="false"/>
                <w:color w:val="1A1A1A"/>
                <w:sz w:val="19"/>
                <w:szCs w:val="19"/>
              </w:rPr>
              <w:t xml:space="preserve">Conta a vencer</w:t>
            </w:r>
          </w:p>
        </w:tc>
        <w:tc>
          <w:tcPr>
            <w:tcW w:type="dxa" w:w="7100"/>
            <w:tcMar>
              <w:top w:type="dxa" w:w="90"/>
              <w:left w:type="dxa" w:w="110"/>
              <w:bottom w:type="dxa" w:w="90"/>
              <w:right w:type="dxa" w:w="110"/>
            </w:tcMar>
          </w:tcPr>
          <w:p>
            <w:r>
              <w:rPr>
                <w:b w:val="false"/>
                <w:bCs w:val="false"/>
                <w:color w:val="1A1A1A"/>
                <w:sz w:val="19"/>
                <w:szCs w:val="19"/>
              </w:rPr>
              <w:t xml:space="preserve">Disparado N dias antes do vencimento de uma conta a pagar/receber</w:t>
            </w:r>
          </w:p>
        </w:tc>
      </w:tr>
    </w:tbl>
    <w:p>
      <w:pPr>
        <w:pStyle w:val="Heading2"/>
        <w:spacing w:after="140" w:before="320"/>
      </w:pPr>
      <w:r>
        <w:rPr>
          <w:b/>
          <w:bCs/>
          <w:color w:val="B8860B"/>
          <w:sz w:val="26"/>
          <w:szCs w:val="26"/>
        </w:rPr>
        <w:t xml:space="preserve">16.4 Ações Disponíveis</w:t>
      </w:r>
    </w:p>
    <w:p>
      <w:pPr>
        <w:pStyle w:val="ListParagraph"/>
        <w:numPr>
          <w:ilvl w:val="0"/>
          <w:numId w:val="3"/>
        </w:numPr>
        <w:spacing w:after="70"/>
      </w:pPr>
      <w:r>
        <w:rPr>
          <w:sz w:val="21"/>
          <w:szCs w:val="21"/>
        </w:rPr>
        <w:t xml:space="preserve">Enviar mensagem via WhatsApp (API oficial, respeitando opt-in do destinatário)</w:t>
      </w:r>
    </w:p>
    <w:p>
      <w:pPr>
        <w:pStyle w:val="ListParagraph"/>
        <w:numPr>
          <w:ilvl w:val="0"/>
          <w:numId w:val="3"/>
        </w:numPr>
        <w:spacing w:after="70"/>
      </w:pPr>
      <w:r>
        <w:rPr>
          <w:sz w:val="21"/>
          <w:szCs w:val="21"/>
        </w:rPr>
        <w:t xml:space="preserve">Enviar e-mail transacional</w:t>
      </w:r>
    </w:p>
    <w:p>
      <w:pPr>
        <w:pStyle w:val="ListParagraph"/>
        <w:numPr>
          <w:ilvl w:val="0"/>
          <w:numId w:val="3"/>
        </w:numPr>
        <w:spacing w:after="70"/>
      </w:pPr>
      <w:r>
        <w:rPr>
          <w:sz w:val="21"/>
          <w:szCs w:val="21"/>
        </w:rPr>
        <w:t xml:space="preserve">Atualizar registro no CRM (ex: marcar cliente como "contatado")</w:t>
      </w:r>
    </w:p>
    <w:p>
      <w:pPr>
        <w:pStyle w:val="ListParagraph"/>
        <w:numPr>
          <w:ilvl w:val="0"/>
          <w:numId w:val="3"/>
        </w:numPr>
        <w:spacing w:after="70"/>
      </w:pPr>
      <w:r>
        <w:rPr>
          <w:sz w:val="21"/>
          <w:szCs w:val="21"/>
        </w:rPr>
        <w:t xml:space="preserve">Criar lançamento financeiro (conta a receber, por exemplo)</w:t>
      </w:r>
    </w:p>
    <w:p>
      <w:pPr>
        <w:pStyle w:val="ListParagraph"/>
        <w:numPr>
          <w:ilvl w:val="0"/>
          <w:numId w:val="3"/>
        </w:numPr>
        <w:spacing w:after="70"/>
      </w:pPr>
      <w:r>
        <w:rPr>
          <w:sz w:val="21"/>
          <w:szCs w:val="21"/>
        </w:rPr>
        <w:t xml:space="preserve">Registrar evento em analytics interno para posterior análise de relatório</w:t>
      </w:r>
    </w:p>
    <w:p>
      <w:pPr>
        <w:pStyle w:val="ListParagraph"/>
        <w:numPr>
          <w:ilvl w:val="0"/>
          <w:numId w:val="3"/>
        </w:numPr>
        <w:spacing w:after="70"/>
      </w:pPr>
      <w:r>
        <w:rPr>
          <w:sz w:val="21"/>
          <w:szCs w:val="21"/>
        </w:rPr>
        <w:t xml:space="preserve">Disparar webhook customizado para sistemas externos (ver integração com o Capítulo 17)</w:t>
      </w:r>
    </w:p>
    <w:p>
      <w:pPr>
        <w:pStyle w:val="Heading2"/>
        <w:spacing w:after="140" w:before="320"/>
      </w:pPr>
      <w:r>
        <w:rPr>
          <w:b/>
          <w:bCs/>
          <w:color w:val="B8860B"/>
          <w:sz w:val="26"/>
          <w:szCs w:val="26"/>
        </w:rPr>
        <w:t xml:space="preserve">16.5 Interface de Configuração</w:t>
      </w:r>
    </w:p>
    <w:p>
      <w:pPr>
        <w:spacing w:after="140" w:line="300"/>
      </w:pPr>
      <w:r>
        <w:rPr>
          <w:sz w:val="21"/>
          <w:szCs w:val="21"/>
        </w:rPr>
        <w:t xml:space="preserve">O lojista configura automações por meio de um construtor guiado (gatilho → condições → ações), sem necessidade de conhecimento técnico. Automações mais avançadas, que exijam lógica não coberta pelo construtor padrão, podem ser configuradas diretamente no n8n pela equipe RhoneyInc, mediante solicitação de suporte — este caminho avançado não é exposto diretamente ao lojista no MVP/V2.</w:t>
      </w:r>
    </w:p>
    <w:p>
      <w:pPr>
        <w:pStyle w:val="Heading2"/>
        <w:spacing w:after="140" w:before="320"/>
      </w:pPr>
      <w:r>
        <w:rPr>
          <w:b/>
          <w:bCs/>
          <w:color w:val="B8860B"/>
          <w:sz w:val="26"/>
          <w:szCs w:val="26"/>
        </w:rPr>
        <w:t xml:space="preserve">16.6 Limites por Plano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Plano</w:t>
            </w:r>
          </w:p>
        </w:tc>
        <w:tc>
          <w:tcPr>
            <w:tcW w:type="dxa" w:w="7300"/>
            <w:shd w:fill="1A1A1A" w:val="clear"/>
            <w:tcMar>
              <w:top w:type="dxa" w:w="90"/>
              <w:left w:type="dxa" w:w="110"/>
              <w:bottom w:type="dxa" w:w="90"/>
              <w:right w:type="dxa" w:w="110"/>
            </w:tcMar>
          </w:tcPr>
          <w:p>
            <w:r>
              <w:rPr>
                <w:b/>
                <w:bCs/>
                <w:color w:val="FFFFFF"/>
                <w:sz w:val="19"/>
                <w:szCs w:val="19"/>
              </w:rPr>
              <w:t xml:space="preserve">Automações disponíveis</w:t>
            </w:r>
          </w:p>
        </w:tc>
      </w:tr>
      <w:tr>
        <w:tc>
          <w:tcPr>
            <w:tcW w:type="dxa" w:w="2200"/>
            <w:tcMar>
              <w:top w:type="dxa" w:w="90"/>
              <w:left w:type="dxa" w:w="110"/>
              <w:bottom w:type="dxa" w:w="90"/>
              <w:right w:type="dxa" w:w="110"/>
            </w:tcMar>
          </w:tcPr>
          <w:p>
            <w:r>
              <w:rPr>
                <w:b w:val="false"/>
                <w:bCs w:val="false"/>
                <w:color w:val="1A1A1A"/>
                <w:sz w:val="19"/>
                <w:szCs w:val="19"/>
              </w:rPr>
              <w:t xml:space="preserve">Free</w:t>
            </w:r>
          </w:p>
        </w:tc>
        <w:tc>
          <w:tcPr>
            <w:tcW w:type="dxa" w:w="7300"/>
            <w:tcMar>
              <w:top w:type="dxa" w:w="90"/>
              <w:left w:type="dxa" w:w="110"/>
              <w:bottom w:type="dxa" w:w="90"/>
              <w:right w:type="dxa" w:w="110"/>
            </w:tcMar>
          </w:tcPr>
          <w:p>
            <w:r>
              <w:rPr>
                <w:b w:val="false"/>
                <w:bCs w:val="false"/>
                <w:color w:val="1A1A1A"/>
                <w:sz w:val="19"/>
                <w:szCs w:val="19"/>
              </w:rPr>
              <w:t xml:space="preserve">Nenhuma</w:t>
            </w:r>
          </w:p>
        </w:tc>
      </w:tr>
      <w:tr>
        <w:tc>
          <w:tcPr>
            <w:tcW w:type="dxa" w:w="2200"/>
            <w:tcMar>
              <w:top w:type="dxa" w:w="90"/>
              <w:left w:type="dxa" w:w="110"/>
              <w:bottom w:type="dxa" w:w="90"/>
              <w:right w:type="dxa" w:w="110"/>
            </w:tcMar>
          </w:tcPr>
          <w:p>
            <w:r>
              <w:rPr>
                <w:b w:val="false"/>
                <w:bCs w:val="false"/>
                <w:color w:val="1A1A1A"/>
                <w:sz w:val="19"/>
                <w:szCs w:val="19"/>
              </w:rPr>
              <w:t xml:space="preserve">Básico</w:t>
            </w:r>
          </w:p>
        </w:tc>
        <w:tc>
          <w:tcPr>
            <w:tcW w:type="dxa" w:w="7300"/>
            <w:tcMar>
              <w:top w:type="dxa" w:w="90"/>
              <w:left w:type="dxa" w:w="110"/>
              <w:bottom w:type="dxa" w:w="90"/>
              <w:right w:type="dxa" w:w="110"/>
            </w:tcMar>
          </w:tcPr>
          <w:p>
            <w:r>
              <w:rPr>
                <w:b w:val="false"/>
                <w:bCs w:val="false"/>
                <w:color w:val="1A1A1A"/>
                <w:sz w:val="19"/>
                <w:szCs w:val="19"/>
              </w:rPr>
              <w:t xml:space="preserve">Até 3 automações simultâneas, gatilhos e ações básicas</w:t>
            </w:r>
          </w:p>
        </w:tc>
      </w:tr>
      <w:tr>
        <w:tc>
          <w:tcPr>
            <w:tcW w:type="dxa" w:w="2200"/>
            <w:tcMar>
              <w:top w:type="dxa" w:w="90"/>
              <w:left w:type="dxa" w:w="110"/>
              <w:bottom w:type="dxa" w:w="90"/>
              <w:right w:type="dxa" w:w="110"/>
            </w:tcMar>
          </w:tcPr>
          <w:p>
            <w:r>
              <w:rPr>
                <w:b w:val="false"/>
                <w:bCs w:val="false"/>
                <w:color w:val="1A1A1A"/>
                <w:sz w:val="19"/>
                <w:szCs w:val="19"/>
              </w:rPr>
              <w:t xml:space="preserve">Premium</w:t>
            </w:r>
          </w:p>
        </w:tc>
        <w:tc>
          <w:tcPr>
            <w:tcW w:type="dxa" w:w="7300"/>
            <w:tcMar>
              <w:top w:type="dxa" w:w="90"/>
              <w:left w:type="dxa" w:w="110"/>
              <w:bottom w:type="dxa" w:w="90"/>
              <w:right w:type="dxa" w:w="110"/>
            </w:tcMar>
          </w:tcPr>
          <w:p>
            <w:r>
              <w:rPr>
                <w:b w:val="false"/>
                <w:bCs w:val="false"/>
                <w:color w:val="1A1A1A"/>
                <w:sz w:val="19"/>
                <w:szCs w:val="19"/>
              </w:rPr>
              <w:t xml:space="preserve">Automações ilimitadas, incluindo todos os gatilhos e ações</w:t>
            </w:r>
          </w:p>
        </w:tc>
      </w:tr>
    </w:tbl>
    <w:p>
      <w:pPr>
        <w:pStyle w:val="Heading2"/>
        <w:spacing w:after="140" w:before="320"/>
      </w:pPr>
      <w:r>
        <w:rPr>
          <w:b/>
          <w:bCs/>
          <w:color w:val="B8860B"/>
          <w:sz w:val="26"/>
          <w:szCs w:val="26"/>
        </w:rPr>
        <w:t xml:space="preserve">16.7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RF-AUT-01</w:t>
            </w:r>
          </w:p>
        </w:tc>
        <w:tc>
          <w:tcPr>
            <w:tcW w:type="dxa" w:w="5300"/>
            <w:tcMar>
              <w:top w:type="dxa" w:w="90"/>
              <w:left w:type="dxa" w:w="110"/>
              <w:bottom w:type="dxa" w:w="90"/>
              <w:right w:type="dxa" w:w="110"/>
            </w:tcMar>
          </w:tcPr>
          <w:p>
            <w:r>
              <w:rPr>
                <w:b w:val="false"/>
                <w:bCs w:val="false"/>
                <w:color w:val="1A1A1A"/>
                <w:sz w:val="19"/>
                <w:szCs w:val="19"/>
              </w:rPr>
              <w:t xml:space="preserve">Construtor guiado de automações (gatilho, condição, ação)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RF-AUT-02</w:t>
            </w:r>
          </w:p>
        </w:tc>
        <w:tc>
          <w:tcPr>
            <w:tcW w:type="dxa" w:w="5300"/>
            <w:tcMar>
              <w:top w:type="dxa" w:w="90"/>
              <w:left w:type="dxa" w:w="110"/>
              <w:bottom w:type="dxa" w:w="90"/>
              <w:right w:type="dxa" w:w="110"/>
            </w:tcMar>
          </w:tcPr>
          <w:p>
            <w:r>
              <w:rPr>
                <w:b w:val="false"/>
                <w:bCs w:val="false"/>
                <w:color w:val="1A1A1A"/>
                <w:sz w:val="19"/>
                <w:szCs w:val="19"/>
              </w:rPr>
              <w:t xml:space="preserve">Execução de automações via infraestrutura n8n compartilhada do ecossistema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RF-AUT-03</w:t>
            </w:r>
          </w:p>
        </w:tc>
        <w:tc>
          <w:tcPr>
            <w:tcW w:type="dxa" w:w="5300"/>
            <w:tcMar>
              <w:top w:type="dxa" w:w="90"/>
              <w:left w:type="dxa" w:w="110"/>
              <w:bottom w:type="dxa" w:w="90"/>
              <w:right w:type="dxa" w:w="110"/>
            </w:tcMar>
          </w:tcPr>
          <w:p>
            <w:r>
              <w:rPr>
                <w:b w:val="false"/>
                <w:bCs w:val="false"/>
                <w:color w:val="1A1A1A"/>
                <w:sz w:val="19"/>
                <w:szCs w:val="19"/>
              </w:rPr>
              <w:t xml:space="preserve">Histórico de execuções de automação, com status de sucesso/falha</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RF-AUT-04</w:t>
            </w:r>
          </w:p>
        </w:tc>
        <w:tc>
          <w:tcPr>
            <w:tcW w:type="dxa" w:w="5300"/>
            <w:tcMar>
              <w:top w:type="dxa" w:w="90"/>
              <w:left w:type="dxa" w:w="110"/>
              <w:bottom w:type="dxa" w:w="90"/>
              <w:right w:type="dxa" w:w="110"/>
            </w:tcMar>
          </w:tcPr>
          <w:p>
            <w:r>
              <w:rPr>
                <w:b w:val="false"/>
                <w:bCs w:val="false"/>
                <w:color w:val="1A1A1A"/>
                <w:sz w:val="19"/>
                <w:szCs w:val="19"/>
              </w:rPr>
              <w:t xml:space="preserve">Limite de automações simultâneas por plano contratado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RF-AUT-05</w:t>
            </w:r>
          </w:p>
        </w:tc>
        <w:tc>
          <w:tcPr>
            <w:tcW w:type="dxa" w:w="5300"/>
            <w:tcMar>
              <w:top w:type="dxa" w:w="90"/>
              <w:left w:type="dxa" w:w="110"/>
              <w:bottom w:type="dxa" w:w="90"/>
              <w:right w:type="dxa" w:w="110"/>
            </w:tcMar>
          </w:tcPr>
          <w:p>
            <w:r>
              <w:rPr>
                <w:b w:val="false"/>
                <w:bCs w:val="false"/>
                <w:color w:val="1A1A1A"/>
                <w:sz w:val="19"/>
                <w:szCs w:val="19"/>
              </w:rPr>
              <w:t xml:space="preserve">Ação de disparo de webhook customizado para sistemas externos</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17</w:t>
      </w:r>
      <w:r>
        <w:t xml:space="preserve">  </w:t>
      </w:r>
    </w:p>
    <w:p>
      <w:pPr>
        <w:pStyle w:val="Heading1"/>
        <w:spacing w:after="280" w:before="0"/>
      </w:pPr>
      <w:r>
        <w:rPr>
          <w:b/>
          <w:bCs/>
          <w:color w:val="1A1A1A"/>
          <w:sz w:val="36"/>
          <w:szCs w:val="36"/>
        </w:rPr>
        <w:t xml:space="preserve">API Pública e Integrações</w:t>
      </w:r>
    </w:p>
    <w:p>
      <w:pPr>
        <w:pStyle w:val="Heading2"/>
        <w:spacing w:after="140" w:before="320"/>
      </w:pPr>
      <w:r>
        <w:rPr>
          <w:b/>
          <w:bCs/>
          <w:color w:val="B8860B"/>
          <w:sz w:val="26"/>
          <w:szCs w:val="26"/>
        </w:rPr>
        <w:t xml:space="preserve">17.1 Objetivo</w:t>
      </w:r>
    </w:p>
    <w:p>
      <w:pPr>
        <w:spacing w:after="140" w:line="300"/>
      </w:pPr>
      <w:r>
        <w:rPr>
          <w:sz w:val="21"/>
          <w:szCs w:val="21"/>
        </w:rPr>
        <w:t xml:space="preserve">A partir da fase V3, o VendeFlex expõe uma API pública para permitir que tenants de maior porte (plano Enterprise) e parceiros integrem seus próprios sistemas ao VendeFlex, sem depender exclusivamente da interface web/mobile.</w:t>
      </w:r>
    </w:p>
    <w:p>
      <w:pPr>
        <w:pStyle w:val="Heading2"/>
        <w:spacing w:after="140" w:before="320"/>
      </w:pPr>
      <w:r>
        <w:rPr>
          <w:b/>
          <w:bCs/>
          <w:color w:val="B8860B"/>
          <w:sz w:val="26"/>
          <w:szCs w:val="26"/>
        </w:rPr>
        <w:t xml:space="preserve">17.2 Autenticação e Chaves de API</w:t>
      </w:r>
    </w:p>
    <w:p>
      <w:pPr>
        <w:pStyle w:val="ListParagraph"/>
        <w:numPr>
          <w:ilvl w:val="0"/>
          <w:numId w:val="3"/>
        </w:numPr>
        <w:spacing w:after="70"/>
      </w:pPr>
      <w:r>
        <w:rPr>
          <w:sz w:val="21"/>
          <w:szCs w:val="21"/>
        </w:rPr>
        <w:t xml:space="preserve">Autenticação via chave de API (api_keys), gerada pelo dono do tenant no painel de configurações, com escopos de permissão configuráveis (leitura de estoque, escrita de vendas, etc.).</w:t>
      </w:r>
    </w:p>
    <w:p>
      <w:pPr>
        <w:pStyle w:val="ListParagraph"/>
        <w:numPr>
          <w:ilvl w:val="0"/>
          <w:numId w:val="3"/>
        </w:numPr>
        <w:spacing w:after="70"/>
      </w:pPr>
      <w:r>
        <w:rPr>
          <w:sz w:val="21"/>
          <w:szCs w:val="21"/>
        </w:rPr>
        <w:t xml:space="preserve">Cada chave pode ser revogada individualmente, sem afetar outras integrações ativas do mesmo tenant.</w:t>
      </w:r>
    </w:p>
    <w:p>
      <w:pPr>
        <w:pStyle w:val="ListParagraph"/>
        <w:numPr>
          <w:ilvl w:val="0"/>
          <w:numId w:val="3"/>
        </w:numPr>
        <w:spacing w:after="70"/>
      </w:pPr>
      <w:r>
        <w:rPr>
          <w:sz w:val="21"/>
          <w:szCs w:val="21"/>
        </w:rPr>
        <w:t xml:space="preserve">Todas as chamadas são registradas para fins de auditoria e controle de uso (Capítulo 15).</w:t>
      </w:r>
    </w:p>
    <w:p>
      <w:pPr>
        <w:pStyle w:val="Heading2"/>
        <w:spacing w:after="140" w:before="320"/>
      </w:pPr>
      <w:r>
        <w:rPr>
          <w:b/>
          <w:bCs/>
          <w:color w:val="B8860B"/>
          <w:sz w:val="26"/>
          <w:szCs w:val="26"/>
        </w:rPr>
        <w:t xml:space="preserve">17.3 Endpoints Principais (Visão Conceitual)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Recurso</w:t>
            </w:r>
          </w:p>
        </w:tc>
        <w:tc>
          <w:tcPr>
            <w:tcW w:type="dxa" w:w="7100"/>
            <w:shd w:fill="1A1A1A" w:val="clear"/>
            <w:tcMar>
              <w:top w:type="dxa" w:w="90"/>
              <w:left w:type="dxa" w:w="110"/>
              <w:bottom w:type="dxa" w:w="90"/>
              <w:right w:type="dxa" w:w="110"/>
            </w:tcMar>
          </w:tcPr>
          <w:p>
            <w:r>
              <w:rPr>
                <w:b/>
                <w:bCs/>
                <w:color w:val="FFFFFF"/>
                <w:sz w:val="19"/>
                <w:szCs w:val="19"/>
              </w:rPr>
              <w:t xml:space="preserve">Operações</w:t>
            </w:r>
          </w:p>
        </w:tc>
      </w:tr>
      <w:tr>
        <w:tc>
          <w:tcPr>
            <w:tcW w:type="dxa" w:w="2600"/>
            <w:tcMar>
              <w:top w:type="dxa" w:w="90"/>
              <w:left w:type="dxa" w:w="110"/>
              <w:bottom w:type="dxa" w:w="90"/>
              <w:right w:type="dxa" w:w="110"/>
            </w:tcMar>
          </w:tcPr>
          <w:p>
            <w:r>
              <w:rPr>
                <w:b w:val="false"/>
                <w:bCs w:val="false"/>
                <w:color w:val="1A1A1A"/>
                <w:sz w:val="19"/>
                <w:szCs w:val="19"/>
              </w:rPr>
              <w:t xml:space="preserve">/produtos</w:t>
            </w:r>
          </w:p>
        </w:tc>
        <w:tc>
          <w:tcPr>
            <w:tcW w:type="dxa" w:w="7100"/>
            <w:tcMar>
              <w:top w:type="dxa" w:w="90"/>
              <w:left w:type="dxa" w:w="110"/>
              <w:bottom w:type="dxa" w:w="90"/>
              <w:right w:type="dxa" w:w="110"/>
            </w:tcMar>
          </w:tcPr>
          <w:p>
            <w:r>
              <w:rPr>
                <w:b w:val="false"/>
                <w:bCs w:val="false"/>
                <w:color w:val="1A1A1A"/>
                <w:sz w:val="19"/>
                <w:szCs w:val="19"/>
              </w:rPr>
              <w:t xml:space="preserve">Listar, criar, atualizar, consultar por código de barras</w:t>
            </w:r>
          </w:p>
        </w:tc>
      </w:tr>
      <w:tr>
        <w:tc>
          <w:tcPr>
            <w:tcW w:type="dxa" w:w="2600"/>
            <w:tcMar>
              <w:top w:type="dxa" w:w="90"/>
              <w:left w:type="dxa" w:w="110"/>
              <w:bottom w:type="dxa" w:w="90"/>
              <w:right w:type="dxa" w:w="110"/>
            </w:tcMar>
          </w:tcPr>
          <w:p>
            <w:r>
              <w:rPr>
                <w:b w:val="false"/>
                <w:bCs w:val="false"/>
                <w:color w:val="1A1A1A"/>
                <w:sz w:val="19"/>
                <w:szCs w:val="19"/>
              </w:rPr>
              <w:t xml:space="preserve">/estoque</w:t>
            </w:r>
          </w:p>
        </w:tc>
        <w:tc>
          <w:tcPr>
            <w:tcW w:type="dxa" w:w="7100"/>
            <w:tcMar>
              <w:top w:type="dxa" w:w="90"/>
              <w:left w:type="dxa" w:w="110"/>
              <w:bottom w:type="dxa" w:w="90"/>
              <w:right w:type="dxa" w:w="110"/>
            </w:tcMar>
          </w:tcPr>
          <w:p>
            <w:r>
              <w:rPr>
                <w:b w:val="false"/>
                <w:bCs w:val="false"/>
                <w:color w:val="1A1A1A"/>
                <w:sz w:val="19"/>
                <w:szCs w:val="19"/>
              </w:rPr>
              <w:t xml:space="preserve">Consultar saldo, registrar movimento de entrada/saída/ajuste</w:t>
            </w:r>
          </w:p>
        </w:tc>
      </w:tr>
      <w:tr>
        <w:tc>
          <w:tcPr>
            <w:tcW w:type="dxa" w:w="2600"/>
            <w:tcMar>
              <w:top w:type="dxa" w:w="90"/>
              <w:left w:type="dxa" w:w="110"/>
              <w:bottom w:type="dxa" w:w="90"/>
              <w:right w:type="dxa" w:w="110"/>
            </w:tcMar>
          </w:tcPr>
          <w:p>
            <w:r>
              <w:rPr>
                <w:b w:val="false"/>
                <w:bCs w:val="false"/>
                <w:color w:val="1A1A1A"/>
                <w:sz w:val="19"/>
                <w:szCs w:val="19"/>
              </w:rPr>
              <w:t xml:space="preserve">/vendas</w:t>
            </w:r>
          </w:p>
        </w:tc>
        <w:tc>
          <w:tcPr>
            <w:tcW w:type="dxa" w:w="7100"/>
            <w:tcMar>
              <w:top w:type="dxa" w:w="90"/>
              <w:left w:type="dxa" w:w="110"/>
              <w:bottom w:type="dxa" w:w="90"/>
              <w:right w:type="dxa" w:w="110"/>
            </w:tcMar>
          </w:tcPr>
          <w:p>
            <w:r>
              <w:rPr>
                <w:b w:val="false"/>
                <w:bCs w:val="false"/>
                <w:color w:val="1A1A1A"/>
                <w:sz w:val="19"/>
                <w:szCs w:val="19"/>
              </w:rPr>
              <w:t xml:space="preserve">Criar venda, consultar histórico, consultar detalhe</w:t>
            </w:r>
          </w:p>
        </w:tc>
      </w:tr>
      <w:tr>
        <w:tc>
          <w:tcPr>
            <w:tcW w:type="dxa" w:w="2600"/>
            <w:tcMar>
              <w:top w:type="dxa" w:w="90"/>
              <w:left w:type="dxa" w:w="110"/>
              <w:bottom w:type="dxa" w:w="90"/>
              <w:right w:type="dxa" w:w="110"/>
            </w:tcMar>
          </w:tcPr>
          <w:p>
            <w:r>
              <w:rPr>
                <w:b w:val="false"/>
                <w:bCs w:val="false"/>
                <w:color w:val="1A1A1A"/>
                <w:sz w:val="19"/>
                <w:szCs w:val="19"/>
              </w:rPr>
              <w:t xml:space="preserve">/fornecedores</w:t>
            </w:r>
          </w:p>
        </w:tc>
        <w:tc>
          <w:tcPr>
            <w:tcW w:type="dxa" w:w="7100"/>
            <w:tcMar>
              <w:top w:type="dxa" w:w="90"/>
              <w:left w:type="dxa" w:w="110"/>
              <w:bottom w:type="dxa" w:w="90"/>
              <w:right w:type="dxa" w:w="110"/>
            </w:tcMar>
          </w:tcPr>
          <w:p>
            <w:r>
              <w:rPr>
                <w:b w:val="false"/>
                <w:bCs w:val="false"/>
                <w:color w:val="1A1A1A"/>
                <w:sz w:val="19"/>
                <w:szCs w:val="19"/>
              </w:rPr>
              <w:t xml:space="preserve">Listar, criar, atualizar</w:t>
            </w:r>
          </w:p>
        </w:tc>
      </w:tr>
      <w:tr>
        <w:tc>
          <w:tcPr>
            <w:tcW w:type="dxa" w:w="2600"/>
            <w:tcMar>
              <w:top w:type="dxa" w:w="90"/>
              <w:left w:type="dxa" w:w="110"/>
              <w:bottom w:type="dxa" w:w="90"/>
              <w:right w:type="dxa" w:w="110"/>
            </w:tcMar>
          </w:tcPr>
          <w:p>
            <w:r>
              <w:rPr>
                <w:b w:val="false"/>
                <w:bCs w:val="false"/>
                <w:color w:val="1A1A1A"/>
                <w:sz w:val="19"/>
                <w:szCs w:val="19"/>
              </w:rPr>
              <w:t xml:space="preserve">/compras</w:t>
            </w:r>
          </w:p>
        </w:tc>
        <w:tc>
          <w:tcPr>
            <w:tcW w:type="dxa" w:w="7100"/>
            <w:tcMar>
              <w:top w:type="dxa" w:w="90"/>
              <w:left w:type="dxa" w:w="110"/>
              <w:bottom w:type="dxa" w:w="90"/>
              <w:right w:type="dxa" w:w="110"/>
            </w:tcMar>
          </w:tcPr>
          <w:p>
            <w:r>
              <w:rPr>
                <w:b w:val="false"/>
                <w:bCs w:val="false"/>
                <w:color w:val="1A1A1A"/>
                <w:sz w:val="19"/>
                <w:szCs w:val="19"/>
              </w:rPr>
              <w:t xml:space="preserve">Criar pedido, consultar status, registrar recebimento</w:t>
            </w:r>
          </w:p>
        </w:tc>
      </w:tr>
      <w:tr>
        <w:tc>
          <w:tcPr>
            <w:tcW w:type="dxa" w:w="2600"/>
            <w:tcMar>
              <w:top w:type="dxa" w:w="90"/>
              <w:left w:type="dxa" w:w="110"/>
              <w:bottom w:type="dxa" w:w="90"/>
              <w:right w:type="dxa" w:w="110"/>
            </w:tcMar>
          </w:tcPr>
          <w:p>
            <w:r>
              <w:rPr>
                <w:b w:val="false"/>
                <w:bCs w:val="false"/>
                <w:color w:val="1A1A1A"/>
                <w:sz w:val="19"/>
                <w:szCs w:val="19"/>
              </w:rPr>
              <w:t xml:space="preserve">/relatorios</w:t>
            </w:r>
          </w:p>
        </w:tc>
        <w:tc>
          <w:tcPr>
            <w:tcW w:type="dxa" w:w="7100"/>
            <w:tcMar>
              <w:top w:type="dxa" w:w="90"/>
              <w:left w:type="dxa" w:w="110"/>
              <w:bottom w:type="dxa" w:w="90"/>
              <w:right w:type="dxa" w:w="110"/>
            </w:tcMar>
          </w:tcPr>
          <w:p>
            <w:r>
              <w:rPr>
                <w:b w:val="false"/>
                <w:bCs w:val="false"/>
                <w:color w:val="1A1A1A"/>
                <w:sz w:val="19"/>
                <w:szCs w:val="19"/>
              </w:rPr>
              <w:t xml:space="preserve">Consultar indicadores agregados (somente leitura)</w:t>
            </w:r>
          </w:p>
        </w:tc>
      </w:tr>
    </w:tbl>
    <w:p>
      <w:pPr>
        <w:pStyle w:val="Heading2"/>
        <w:spacing w:after="140" w:before="320"/>
      </w:pPr>
      <w:r>
        <w:rPr>
          <w:b/>
          <w:bCs/>
          <w:color w:val="B8860B"/>
          <w:sz w:val="26"/>
          <w:szCs w:val="26"/>
        </w:rPr>
        <w:t xml:space="preserve">17.4 Webhooks</w:t>
      </w:r>
    </w:p>
    <w:p>
      <w:pPr>
        <w:spacing w:after="140" w:line="300"/>
      </w:pPr>
      <w:r>
        <w:rPr>
          <w:sz w:val="21"/>
          <w:szCs w:val="21"/>
        </w:rPr>
        <w:t xml:space="preserve">Tenants podem assinar eventos do sistema (venda realizada, estoque baixo, pedido de compra recebido) para receber notificações automáticas em uma URL própria, viabilizando integrações reativas sem necessidade de consulta constante (polling) à API.</w:t>
      </w:r>
    </w:p>
    <w:p>
      <w:pPr>
        <w:pStyle w:val="Heading2"/>
        <w:spacing w:after="140" w:before="320"/>
      </w:pPr>
      <w:r>
        <w:rPr>
          <w:b/>
          <w:bCs/>
          <w:color w:val="B8860B"/>
          <w:sz w:val="26"/>
          <w:szCs w:val="26"/>
        </w:rPr>
        <w:t xml:space="preserve">17.5 Limites de Uso (Rate Limiting)</w:t>
      </w:r>
    </w:p>
    <w:p>
      <w:pPr>
        <w:pStyle w:val="ListParagraph"/>
        <w:numPr>
          <w:ilvl w:val="0"/>
          <w:numId w:val="3"/>
        </w:numPr>
        <w:spacing w:after="70"/>
      </w:pPr>
      <w:r>
        <w:rPr>
          <w:sz w:val="21"/>
          <w:szCs w:val="21"/>
        </w:rPr>
        <w:t xml:space="preserve">Limite de requisições por minuto definido por plano, para preservar a performance do sistema para todos os tenants.</w:t>
      </w:r>
    </w:p>
    <w:p>
      <w:pPr>
        <w:pStyle w:val="ListParagraph"/>
        <w:numPr>
          <w:ilvl w:val="0"/>
          <w:numId w:val="3"/>
        </w:numPr>
        <w:spacing w:after="70"/>
      </w:pPr>
      <w:r>
        <w:rPr>
          <w:sz w:val="21"/>
          <w:szCs w:val="21"/>
        </w:rPr>
        <w:t xml:space="preserve">Respostas de limite excedido seguem o padrão HTTP 429, com cabeçalho indicando o tempo de espera recomendado.</w:t>
      </w:r>
    </w:p>
    <w:p>
      <w:pPr>
        <w:pStyle w:val="Heading2"/>
        <w:spacing w:after="140" w:before="320"/>
      </w:pPr>
      <w:r>
        <w:rPr>
          <w:b/>
          <w:bCs/>
          <w:color w:val="B8860B"/>
          <w:sz w:val="26"/>
          <w:szCs w:val="26"/>
        </w:rPr>
        <w:t xml:space="preserve">17.6 SDK</w:t>
      </w:r>
    </w:p>
    <w:p>
      <w:pPr>
        <w:spacing w:after="140" w:line="300"/>
      </w:pPr>
      <w:r>
        <w:rPr>
          <w:sz w:val="21"/>
          <w:szCs w:val="21"/>
        </w:rPr>
        <w:t xml:space="preserve">Um SDK oficial (inicialmente em JavaScript/TypeScript, por alinhamento com o stack do ecossistema) simplifica a integração para desenvolvedores parceiros, abstraindo autenticação e formatação de requisições.</w:t>
      </w:r>
    </w:p>
    <w:p>
      <w:pPr>
        <w:pStyle w:val="Heading2"/>
        <w:spacing w:after="140" w:before="320"/>
      </w:pPr>
      <w:r>
        <w:rPr>
          <w:b/>
          <w:bCs/>
          <w:color w:val="B8860B"/>
          <w:sz w:val="26"/>
          <w:szCs w:val="26"/>
        </w:rPr>
        <w:t xml:space="preserve">17.7 Marketplace de Integrações</w:t>
      </w:r>
    </w:p>
    <w:p>
      <w:pPr>
        <w:spacing w:after="140" w:line="300"/>
      </w:pPr>
      <w:r>
        <w:rPr>
          <w:sz w:val="21"/>
          <w:szCs w:val="21"/>
        </w:rPr>
        <w:t xml:space="preserve">Em fases futuras, integrações de terceiros validadas pela RhoneyInc (ex: sistemas de emissão fiscal, meios de pagamento, plataformas de e-commerce) podem ser listadas em um marketplace de integrações dentro do próprio VendeFlex, com ativação em poucos cliques pelo tenant.</w:t>
      </w:r>
    </w:p>
    <w:p>
      <w:pPr>
        <w:pStyle w:val="Heading2"/>
        <w:spacing w:after="140" w:before="320"/>
      </w:pPr>
      <w:r>
        <w:rPr>
          <w:b/>
          <w:bCs/>
          <w:color w:val="B8860B"/>
          <w:sz w:val="26"/>
          <w:szCs w:val="26"/>
        </w:rPr>
        <w:t xml:space="preserve">17.8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RF-API-01</w:t>
            </w:r>
          </w:p>
        </w:tc>
        <w:tc>
          <w:tcPr>
            <w:tcW w:type="dxa" w:w="5300"/>
            <w:tcMar>
              <w:top w:type="dxa" w:w="90"/>
              <w:left w:type="dxa" w:w="110"/>
              <w:bottom w:type="dxa" w:w="90"/>
              <w:right w:type="dxa" w:w="110"/>
            </w:tcMar>
          </w:tcPr>
          <w:p>
            <w:r>
              <w:rPr>
                <w:b w:val="false"/>
                <w:bCs w:val="false"/>
                <w:color w:val="1A1A1A"/>
                <w:sz w:val="19"/>
                <w:szCs w:val="19"/>
              </w:rPr>
              <w:t xml:space="preserve">Geração e revogação de chaves de API com escopo configurável</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RF-API-02</w:t>
            </w:r>
          </w:p>
        </w:tc>
        <w:tc>
          <w:tcPr>
            <w:tcW w:type="dxa" w:w="5300"/>
            <w:tcMar>
              <w:top w:type="dxa" w:w="90"/>
              <w:left w:type="dxa" w:w="110"/>
              <w:bottom w:type="dxa" w:w="90"/>
              <w:right w:type="dxa" w:w="110"/>
            </w:tcMar>
          </w:tcPr>
          <w:p>
            <w:r>
              <w:rPr>
                <w:b w:val="false"/>
                <w:bCs w:val="false"/>
                <w:color w:val="1A1A1A"/>
                <w:sz w:val="19"/>
                <w:szCs w:val="19"/>
              </w:rPr>
              <w:t xml:space="preserve">Endpoints REST para produtos, estoque, vendas, fornecedores e compras</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RF-API-03</w:t>
            </w:r>
          </w:p>
        </w:tc>
        <w:tc>
          <w:tcPr>
            <w:tcW w:type="dxa" w:w="5300"/>
            <w:tcMar>
              <w:top w:type="dxa" w:w="90"/>
              <w:left w:type="dxa" w:w="110"/>
              <w:bottom w:type="dxa" w:w="90"/>
              <w:right w:type="dxa" w:w="110"/>
            </w:tcMar>
          </w:tcPr>
          <w:p>
            <w:r>
              <w:rPr>
                <w:b w:val="false"/>
                <w:bCs w:val="false"/>
                <w:color w:val="1A1A1A"/>
                <w:sz w:val="19"/>
                <w:szCs w:val="19"/>
              </w:rPr>
              <w:t xml:space="preserve">Assinatura de webhooks por evento</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RF-API-04</w:t>
            </w:r>
          </w:p>
        </w:tc>
        <w:tc>
          <w:tcPr>
            <w:tcW w:type="dxa" w:w="5300"/>
            <w:tcMar>
              <w:top w:type="dxa" w:w="90"/>
              <w:left w:type="dxa" w:w="110"/>
              <w:bottom w:type="dxa" w:w="90"/>
              <w:right w:type="dxa" w:w="110"/>
            </w:tcMar>
          </w:tcPr>
          <w:p>
            <w:r>
              <w:rPr>
                <w:b w:val="false"/>
                <w:bCs w:val="false"/>
                <w:color w:val="1A1A1A"/>
                <w:sz w:val="19"/>
                <w:szCs w:val="19"/>
              </w:rPr>
              <w:t xml:space="preserve">Limite de requisições por plano (rate limiting)</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RF-API-05</w:t>
            </w:r>
          </w:p>
        </w:tc>
        <w:tc>
          <w:tcPr>
            <w:tcW w:type="dxa" w:w="5300"/>
            <w:tcMar>
              <w:top w:type="dxa" w:w="90"/>
              <w:left w:type="dxa" w:w="110"/>
              <w:bottom w:type="dxa" w:w="90"/>
              <w:right w:type="dxa" w:w="110"/>
            </w:tcMar>
          </w:tcPr>
          <w:p>
            <w:r>
              <w:rPr>
                <w:b w:val="false"/>
                <w:bCs w:val="false"/>
                <w:color w:val="1A1A1A"/>
                <w:sz w:val="19"/>
                <w:szCs w:val="19"/>
              </w:rPr>
              <w:t xml:space="preserve">Publicação de SDK oficial</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RF-API-06</w:t>
            </w:r>
          </w:p>
        </w:tc>
        <w:tc>
          <w:tcPr>
            <w:tcW w:type="dxa" w:w="5300"/>
            <w:tcMar>
              <w:top w:type="dxa" w:w="90"/>
              <w:left w:type="dxa" w:w="110"/>
              <w:bottom w:type="dxa" w:w="90"/>
              <w:right w:type="dxa" w:w="110"/>
            </w:tcMar>
          </w:tcPr>
          <w:p>
            <w:r>
              <w:rPr>
                <w:b w:val="false"/>
                <w:bCs w:val="false"/>
                <w:color w:val="1A1A1A"/>
                <w:sz w:val="19"/>
                <w:szCs w:val="19"/>
              </w:rPr>
              <w:t xml:space="preserve">Marketplace de integrações de terceiros validadas</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18</w:t>
      </w:r>
      <w:r>
        <w:t xml:space="preserve">  </w:t>
      </w:r>
    </w:p>
    <w:p>
      <w:pPr>
        <w:pStyle w:val="Heading1"/>
        <w:spacing w:after="280" w:before="0"/>
      </w:pPr>
      <w:r>
        <w:rPr>
          <w:b/>
          <w:bCs/>
          <w:color w:val="1A1A1A"/>
          <w:sz w:val="36"/>
          <w:szCs w:val="36"/>
        </w:rPr>
        <w:t xml:space="preserve">Marketplace B2B</w:t>
      </w:r>
    </w:p>
    <w:p>
      <w:pPr>
        <w:pStyle w:val="Heading2"/>
        <w:spacing w:after="140" w:before="320"/>
      </w:pPr>
      <w:r>
        <w:rPr>
          <w:b/>
          <w:bCs/>
          <w:color w:val="B8860B"/>
          <w:sz w:val="26"/>
          <w:szCs w:val="26"/>
        </w:rPr>
        <w:t xml:space="preserve">18.1 Visão</w:t>
      </w:r>
    </w:p>
    <w:p>
      <w:pPr>
        <w:spacing w:after="140" w:line="300"/>
      </w:pPr>
      <w:r>
        <w:rPr>
          <w:sz w:val="21"/>
          <w:szCs w:val="21"/>
        </w:rPr>
        <w:t xml:space="preserve">O Marketplace B2B é uma visão de longo prazo (V3+) para conectar fornecedores e lojistas dentro do próprio VendeFlex: fornecedores cadastrados anunciam produtos e condições comerciais, e lojistas compram diretamente pela plataforma, sem sair do fluxo de gestão de compras já existente (Capítulo 7).</w:t>
      </w:r>
    </w:p>
    <w:p>
      <w:pPr>
        <w:spacing w:after="140" w:line="300"/>
      </w:pPr>
      <w:r>
        <w:rPr>
          <w:sz w:val="21"/>
          <w:szCs w:val="21"/>
        </w:rPr>
        <w:t xml:space="preserve">Este capítulo documenta a visão para orientar decisões de arquitetura de dados desde já (Capítulo 11), sem implicar construção antes da validação de demanda real.</w:t>
      </w:r>
    </w:p>
    <w:p>
      <w:pPr>
        <w:pStyle w:val="Heading2"/>
        <w:spacing w:after="140" w:before="320"/>
      </w:pPr>
      <w:r>
        <w:rPr>
          <w:b/>
          <w:bCs/>
          <w:color w:val="B8860B"/>
          <w:sz w:val="26"/>
          <w:szCs w:val="26"/>
        </w:rPr>
        <w:t xml:space="preserve">18.2 Papéis Envolvidos</w:t>
      </w:r>
    </w:p>
    <w:p>
      <w:pPr>
        <w:pStyle w:val="ListParagraph"/>
        <w:numPr>
          <w:ilvl w:val="0"/>
          <w:numId w:val="3"/>
        </w:numPr>
        <w:spacing w:after="70"/>
      </w:pPr>
      <w:r>
        <w:rPr>
          <w:sz w:val="21"/>
          <w:szCs w:val="21"/>
        </w:rPr>
        <w:t xml:space="preserve">Fornecedor anunciante — empresa cadastrada que publica catálogo de produtos disponíveis para venda B2B, com preço e condições (quantidade mínima, prazo de entrega).</w:t>
      </w:r>
    </w:p>
    <w:p>
      <w:pPr>
        <w:pStyle w:val="ListParagraph"/>
        <w:numPr>
          <w:ilvl w:val="0"/>
          <w:numId w:val="3"/>
        </w:numPr>
        <w:spacing w:after="70"/>
      </w:pPr>
      <w:r>
        <w:rPr>
          <w:sz w:val="21"/>
          <w:szCs w:val="21"/>
        </w:rPr>
        <w:t xml:space="preserve">Lojista comprador — tenant VendeFlex que navega o marketplace e realiza pedidos de compra diretamente a partir de uma oferta.</w:t>
      </w:r>
    </w:p>
    <w:p>
      <w:pPr>
        <w:pStyle w:val="ListParagraph"/>
        <w:numPr>
          <w:ilvl w:val="0"/>
          <w:numId w:val="3"/>
        </w:numPr>
        <w:spacing w:after="70"/>
      </w:pPr>
      <w:r>
        <w:rPr>
          <w:sz w:val="21"/>
          <w:szCs w:val="21"/>
        </w:rPr>
        <w:t xml:space="preserve">RhoneyInc — intermediador da relação, responsável por curadoria de fornecedores e, potencialmente, por uma taxa de intermediação sobre transações realizadas via marketplace.</w:t>
      </w:r>
    </w:p>
    <w:p>
      <w:pPr>
        <w:pStyle w:val="Heading2"/>
        <w:spacing w:after="140" w:before="320"/>
      </w:pPr>
      <w:r>
        <w:rPr>
          <w:b/>
          <w:bCs/>
          <w:color w:val="B8860B"/>
          <w:sz w:val="26"/>
          <w:szCs w:val="26"/>
        </w:rPr>
        <w:t xml:space="preserve">18.3 Fluxo Conceitual</w:t>
      </w:r>
    </w:p>
    <w:p>
      <w:pPr>
        <w:pStyle w:val="ListParagraph"/>
        <w:numPr>
          <w:ilvl w:val="0"/>
          <w:numId w:val="2"/>
        </w:numPr>
        <w:spacing w:after="70"/>
      </w:pPr>
      <w:r>
        <w:rPr>
          <w:sz w:val="21"/>
          <w:szCs w:val="21"/>
        </w:rPr>
        <w:t xml:space="preserve">Fornecedor cadastra catálogo de ofertas no marketplace, com preço e condições</w:t>
      </w:r>
    </w:p>
    <w:p>
      <w:pPr>
        <w:pStyle w:val="ListParagraph"/>
        <w:numPr>
          <w:ilvl w:val="0"/>
          <w:numId w:val="2"/>
        </w:numPr>
        <w:spacing w:after="70"/>
      </w:pPr>
      <w:r>
        <w:rPr>
          <w:sz w:val="21"/>
          <w:szCs w:val="21"/>
        </w:rPr>
        <w:t xml:space="preserve">Lojista navega ofertas, filtrando por categoria/segmento</w:t>
      </w:r>
    </w:p>
    <w:p>
      <w:pPr>
        <w:pStyle w:val="ListParagraph"/>
        <w:numPr>
          <w:ilvl w:val="0"/>
          <w:numId w:val="2"/>
        </w:numPr>
        <w:spacing w:after="70"/>
      </w:pPr>
      <w:r>
        <w:rPr>
          <w:sz w:val="21"/>
          <w:szCs w:val="21"/>
        </w:rPr>
        <w:t xml:space="preserve">Lojista gera um pedido de compra a partir de uma oferta, que se integra ao módulo de Compras (Capítulo 7) do próprio VendeFlex</w:t>
      </w:r>
    </w:p>
    <w:p>
      <w:pPr>
        <w:pStyle w:val="ListParagraph"/>
        <w:numPr>
          <w:ilvl w:val="0"/>
          <w:numId w:val="2"/>
        </w:numPr>
        <w:spacing w:after="70"/>
      </w:pPr>
      <w:r>
        <w:rPr>
          <w:sz w:val="21"/>
          <w:szCs w:val="21"/>
        </w:rPr>
        <w:t xml:space="preserve">Fornecedor confirma o pedido e a entrega segue o fluxo já existente de recebimento de mercadoria e entrada em estoque</w:t>
      </w:r>
    </w:p>
    <w:p>
      <w:pPr>
        <w:pStyle w:val="Heading2"/>
        <w:spacing w:after="140" w:before="320"/>
      </w:pPr>
      <w:r>
        <w:rPr>
          <w:b/>
          <w:bCs/>
          <w:color w:val="B8860B"/>
          <w:sz w:val="26"/>
          <w:szCs w:val="26"/>
        </w:rPr>
        <w:t xml:space="preserve">18.4 Relação com o Módulo de Compras</w:t>
      </w:r>
    </w:p>
    <w:p>
      <w:pPr>
        <w:spacing w:after="140" w:line="300"/>
      </w:pPr>
      <w:r>
        <w:rPr>
          <w:sz w:val="21"/>
          <w:szCs w:val="21"/>
        </w:rPr>
        <w:t xml:space="preserve">O marketplace não substitui o módulo de Compras — ele é uma origem adicional de pedidos, junto com o cadastro manual de fornecedor já existente. Um pedido originado do marketplace usa exatamente a mesma tabela compras, com um campo de origem (manual ou marketplace) para rastreabilidade.</w:t>
      </w:r>
    </w:p>
    <w:p>
      <w:pPr>
        <w:pStyle w:val="Heading2"/>
        <w:spacing w:after="140" w:before="320"/>
      </w:pPr>
      <w:r>
        <w:rPr>
          <w:b/>
          <w:bCs/>
          <w:color w:val="B8860B"/>
          <w:sz w:val="26"/>
          <w:szCs w:val="26"/>
        </w:rPr>
        <w:t xml:space="preserve">18.5 Considerações de Confiança e Curadoria</w:t>
      </w:r>
    </w:p>
    <w:p>
      <w:pPr>
        <w:pStyle w:val="ListParagraph"/>
        <w:numPr>
          <w:ilvl w:val="0"/>
          <w:numId w:val="3"/>
        </w:numPr>
        <w:spacing w:after="70"/>
      </w:pPr>
      <w:r>
        <w:rPr>
          <w:sz w:val="21"/>
          <w:szCs w:val="21"/>
        </w:rPr>
        <w:t xml:space="preserve">Fornecedores precisam de aprovação da RhoneyInc antes de publicar ofertas, para preservar a confiabilidade do marketplace.</w:t>
      </w:r>
    </w:p>
    <w:p>
      <w:pPr>
        <w:pStyle w:val="ListParagraph"/>
        <w:numPr>
          <w:ilvl w:val="0"/>
          <w:numId w:val="3"/>
        </w:numPr>
        <w:spacing w:after="70"/>
      </w:pPr>
      <w:r>
        <w:rPr>
          <w:sz w:val="21"/>
          <w:szCs w:val="21"/>
        </w:rPr>
        <w:t xml:space="preserve">Avaliações de lojistas sobre fornecedores (prazo cumprido, qualidade do produto) alimentam um sistema de reputação, reduzindo risco para novos compradores.</w:t>
      </w:r>
    </w:p>
    <w:p>
      <w:pPr>
        <w:pStyle w:val="Heading2"/>
        <w:spacing w:after="140" w:before="320"/>
      </w:pPr>
      <w:r>
        <w:rPr>
          <w:b/>
          <w:bCs/>
          <w:color w:val="B8860B"/>
          <w:sz w:val="26"/>
          <w:szCs w:val="26"/>
        </w:rPr>
        <w:t xml:space="preserve">18.6 Requisitos Funcionais (Visão V3+)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RF-MKT-01</w:t>
            </w:r>
          </w:p>
        </w:tc>
        <w:tc>
          <w:tcPr>
            <w:tcW w:type="dxa" w:w="5300"/>
            <w:tcMar>
              <w:top w:type="dxa" w:w="90"/>
              <w:left w:type="dxa" w:w="110"/>
              <w:bottom w:type="dxa" w:w="90"/>
              <w:right w:type="dxa" w:w="110"/>
            </w:tcMar>
          </w:tcPr>
          <w:p>
            <w:r>
              <w:rPr>
                <w:b w:val="false"/>
                <w:bCs w:val="false"/>
                <w:color w:val="1A1A1A"/>
                <w:sz w:val="19"/>
                <w:szCs w:val="19"/>
              </w:rPr>
              <w:t xml:space="preserve">Cadastro de fornecedor anunciante e catálogo de ofertas</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RF-MKT-02</w:t>
            </w:r>
          </w:p>
        </w:tc>
        <w:tc>
          <w:tcPr>
            <w:tcW w:type="dxa" w:w="5300"/>
            <w:tcMar>
              <w:top w:type="dxa" w:w="90"/>
              <w:left w:type="dxa" w:w="110"/>
              <w:bottom w:type="dxa" w:w="90"/>
              <w:right w:type="dxa" w:w="110"/>
            </w:tcMar>
          </w:tcPr>
          <w:p>
            <w:r>
              <w:rPr>
                <w:b w:val="false"/>
                <w:bCs w:val="false"/>
                <w:color w:val="1A1A1A"/>
                <w:sz w:val="19"/>
                <w:szCs w:val="19"/>
              </w:rPr>
              <w:t xml:space="preserve">Navegação e filtro de ofertas por categoria/segmento</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RF-MKT-03</w:t>
            </w:r>
          </w:p>
        </w:tc>
        <w:tc>
          <w:tcPr>
            <w:tcW w:type="dxa" w:w="5300"/>
            <w:tcMar>
              <w:top w:type="dxa" w:w="90"/>
              <w:left w:type="dxa" w:w="110"/>
              <w:bottom w:type="dxa" w:w="90"/>
              <w:right w:type="dxa" w:w="110"/>
            </w:tcMar>
          </w:tcPr>
          <w:p>
            <w:r>
              <w:rPr>
                <w:b w:val="false"/>
                <w:bCs w:val="false"/>
                <w:color w:val="1A1A1A"/>
                <w:sz w:val="19"/>
                <w:szCs w:val="19"/>
              </w:rPr>
              <w:t xml:space="preserve">Geração de pedido de compra a partir de uma oferta do marketplace</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RF-MKT-04</w:t>
            </w:r>
          </w:p>
        </w:tc>
        <w:tc>
          <w:tcPr>
            <w:tcW w:type="dxa" w:w="5300"/>
            <w:tcMar>
              <w:top w:type="dxa" w:w="90"/>
              <w:left w:type="dxa" w:w="110"/>
              <w:bottom w:type="dxa" w:w="90"/>
              <w:right w:type="dxa" w:w="110"/>
            </w:tcMar>
          </w:tcPr>
          <w:p>
            <w:r>
              <w:rPr>
                <w:b w:val="false"/>
                <w:bCs w:val="false"/>
                <w:color w:val="1A1A1A"/>
                <w:sz w:val="19"/>
                <w:szCs w:val="19"/>
              </w:rPr>
              <w:t xml:space="preserve">Sistema de avaliação/reputação de fornecedores</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RF-MKT-05</w:t>
            </w:r>
          </w:p>
        </w:tc>
        <w:tc>
          <w:tcPr>
            <w:tcW w:type="dxa" w:w="5300"/>
            <w:tcMar>
              <w:top w:type="dxa" w:w="90"/>
              <w:left w:type="dxa" w:w="110"/>
              <w:bottom w:type="dxa" w:w="90"/>
              <w:right w:type="dxa" w:w="110"/>
            </w:tcMar>
          </w:tcPr>
          <w:p>
            <w:r>
              <w:rPr>
                <w:b w:val="false"/>
                <w:bCs w:val="false"/>
                <w:color w:val="1A1A1A"/>
                <w:sz w:val="19"/>
                <w:szCs w:val="19"/>
              </w:rPr>
              <w:t xml:space="preserve">Aprovação e curadoria de fornecedores pela equipe RhoneyInc</w:t>
            </w:r>
          </w:p>
        </w:tc>
        <w:tc>
          <w:tcPr>
            <w:tcW w:type="dxa" w:w="1700"/>
            <w:tcMar>
              <w:top w:type="dxa" w:w="90"/>
              <w:left w:type="dxa" w:w="110"/>
              <w:bottom w:type="dxa" w:w="90"/>
              <w:right w:type="dxa" w:w="110"/>
            </w:tcMar>
          </w:tcPr>
          <w:p>
            <w:r>
              <w:rPr>
                <w:b w:val="false"/>
                <w:bCs w:val="false"/>
                <w:color w:val="1A1A1A"/>
                <w:sz w:val="19"/>
                <w:szCs w:val="19"/>
              </w:rPr>
              <w:t xml:space="preserve">V3</w:t>
            </w:r>
          </w:p>
        </w:tc>
      </w:tr>
    </w:tbl>
    <w:p>
      <w:pPr>
        <w:pStyle w:val="Heading1"/>
        <w:pageBreakBefore/>
        <w:pBdr>
          <w:bottom w:val="single" w:color="3FA796" w:sz="6" w:space="8"/>
        </w:pBdr>
        <w:spacing w:after="240" w:before="0"/>
      </w:pPr>
      <w:r>
        <w:rPr>
          <w:b/>
          <w:bCs/>
          <w:color w:val="B8860B"/>
          <w:sz w:val="22"/>
          <w:szCs w:val="22"/>
        </w:rPr>
        <w:t xml:space="preserve">CAPÍTULO 19</w:t>
      </w:r>
      <w:r>
        <w:t xml:space="preserve">  </w:t>
      </w:r>
    </w:p>
    <w:p>
      <w:pPr>
        <w:pStyle w:val="Heading1"/>
        <w:spacing w:after="280" w:before="0"/>
      </w:pPr>
      <w:r>
        <w:rPr>
          <w:b/>
          <w:bCs/>
          <w:color w:val="1A1A1A"/>
          <w:sz w:val="36"/>
          <w:szCs w:val="36"/>
        </w:rPr>
        <w:t xml:space="preserve">Painel Administrativo RhoneyInc</w:t>
      </w:r>
    </w:p>
    <w:p>
      <w:pPr>
        <w:pStyle w:val="Heading2"/>
        <w:spacing w:after="140" w:before="320"/>
      </w:pPr>
      <w:r>
        <w:rPr>
          <w:b/>
          <w:bCs/>
          <w:color w:val="B8860B"/>
          <w:sz w:val="26"/>
          <w:szCs w:val="26"/>
        </w:rPr>
        <w:t xml:space="preserve">19.1 Objetivo</w:t>
      </w:r>
    </w:p>
    <w:p>
      <w:pPr>
        <w:spacing w:after="140" w:line="300"/>
      </w:pPr>
      <w:r>
        <w:rPr>
          <w:sz w:val="21"/>
          <w:szCs w:val="21"/>
        </w:rPr>
        <w:t xml:space="preserve">O Painel Administrativo é a ferramenta interna da equipe RhoneyInc para operar, dar suporte e monitorar todos os tenants do VendeFlex (e, potencialmente, dos demais produtos do ecossistema) a partir de um único lugar — inspirado na experiência de painéis como o do próprio Supabase: denso em informação, mas organizado por domínio.</w:t>
      </w:r>
    </w:p>
    <w:p>
      <w:pPr>
        <w:spacing w:after="140" w:line="300"/>
      </w:pPr>
      <w:r>
        <w:rPr>
          <w:sz w:val="21"/>
          <w:szCs w:val="21"/>
        </w:rPr>
        <w:t xml:space="preserve">Este painel nunca é acessível a tenants comuns — é restrito a usuários com papel administrativo interno (is_admin()), conforme definido no Capítulo 15.</w:t>
      </w:r>
    </w:p>
    <w:p>
      <w:pPr>
        <w:pStyle w:val="Heading2"/>
        <w:spacing w:after="140" w:before="320"/>
      </w:pPr>
      <w:r>
        <w:rPr>
          <w:b/>
          <w:bCs/>
          <w:color w:val="B8860B"/>
          <w:sz w:val="26"/>
          <w:szCs w:val="26"/>
        </w:rPr>
        <w:t xml:space="preserve">19.2 Áreas do Painel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90"/>
              <w:left w:type="dxa" w:w="110"/>
              <w:bottom w:type="dxa" w:w="90"/>
              <w:right w:type="dxa" w:w="110"/>
            </w:tcMar>
          </w:tcPr>
          <w:p>
            <w:r>
              <w:rPr>
                <w:b/>
                <w:bCs/>
                <w:color w:val="FFFFFF"/>
                <w:sz w:val="19"/>
                <w:szCs w:val="19"/>
              </w:rPr>
              <w:t xml:space="preserve">Área</w:t>
            </w:r>
          </w:p>
        </w:tc>
        <w:tc>
          <w:tcPr>
            <w:tcW w:type="dxa" w:w="7100"/>
            <w:shd w:fill="1A1A1A" w:val="clear"/>
            <w:tcMar>
              <w:top w:type="dxa" w:w="90"/>
              <w:left w:type="dxa" w:w="110"/>
              <w:bottom w:type="dxa" w:w="90"/>
              <w:right w:type="dxa" w:w="110"/>
            </w:tcMar>
          </w:tcPr>
          <w:p>
            <w:r>
              <w:rPr>
                <w:b/>
                <w:bCs/>
                <w:color w:val="FFFFFF"/>
                <w:sz w:val="19"/>
                <w:szCs w:val="19"/>
              </w:rPr>
              <w:t xml:space="preserve">Conteúdo</w:t>
            </w:r>
          </w:p>
        </w:tc>
      </w:tr>
      <w:tr>
        <w:tc>
          <w:tcPr>
            <w:tcW w:type="dxa" w:w="2600"/>
            <w:tcMar>
              <w:top w:type="dxa" w:w="90"/>
              <w:left w:type="dxa" w:w="110"/>
              <w:bottom w:type="dxa" w:w="90"/>
              <w:right w:type="dxa" w:w="110"/>
            </w:tcMar>
          </w:tcPr>
          <w:p>
            <w:r>
              <w:rPr>
                <w:b w:val="false"/>
                <w:bCs w:val="false"/>
                <w:color w:val="1A1A1A"/>
                <w:sz w:val="19"/>
                <w:szCs w:val="19"/>
              </w:rPr>
              <w:t xml:space="preserve">Empresas (Tenants)</w:t>
            </w:r>
          </w:p>
        </w:tc>
        <w:tc>
          <w:tcPr>
            <w:tcW w:type="dxa" w:w="7100"/>
            <w:tcMar>
              <w:top w:type="dxa" w:w="90"/>
              <w:left w:type="dxa" w:w="110"/>
              <w:bottom w:type="dxa" w:w="90"/>
              <w:right w:type="dxa" w:w="110"/>
            </w:tcMar>
          </w:tcPr>
          <w:p>
            <w:r>
              <w:rPr>
                <w:b w:val="false"/>
                <w:bCs w:val="false"/>
                <w:color w:val="1A1A1A"/>
                <w:sz w:val="19"/>
                <w:szCs w:val="19"/>
              </w:rPr>
              <w:t xml:space="preserve">Listagem de todos os tenants, com busca, filtro por plano/segmento e acesso rápido ao detalhe de cada um</w:t>
            </w:r>
          </w:p>
        </w:tc>
      </w:tr>
      <w:tr>
        <w:tc>
          <w:tcPr>
            <w:tcW w:type="dxa" w:w="2600"/>
            <w:tcMar>
              <w:top w:type="dxa" w:w="90"/>
              <w:left w:type="dxa" w:w="110"/>
              <w:bottom w:type="dxa" w:w="90"/>
              <w:right w:type="dxa" w:w="110"/>
            </w:tcMar>
          </w:tcPr>
          <w:p>
            <w:r>
              <w:rPr>
                <w:b w:val="false"/>
                <w:bCs w:val="false"/>
                <w:color w:val="1A1A1A"/>
                <w:sz w:val="19"/>
                <w:szCs w:val="19"/>
              </w:rPr>
              <w:t xml:space="preserve">Faturamento</w:t>
            </w:r>
          </w:p>
        </w:tc>
        <w:tc>
          <w:tcPr>
            <w:tcW w:type="dxa" w:w="7100"/>
            <w:tcMar>
              <w:top w:type="dxa" w:w="90"/>
              <w:left w:type="dxa" w:w="110"/>
              <w:bottom w:type="dxa" w:w="90"/>
              <w:right w:type="dxa" w:w="110"/>
            </w:tcMar>
          </w:tcPr>
          <w:p>
            <w:r>
              <w:rPr>
                <w:b w:val="false"/>
                <w:bCs w:val="false"/>
                <w:color w:val="1A1A1A"/>
                <w:sz w:val="19"/>
                <w:szCs w:val="19"/>
              </w:rPr>
              <w:t xml:space="preserve">Receita recorrente consolidada, novos assinantes, cancelamentos (churn), por plano e por período</w:t>
            </w:r>
          </w:p>
        </w:tc>
      </w:tr>
      <w:tr>
        <w:tc>
          <w:tcPr>
            <w:tcW w:type="dxa" w:w="2600"/>
            <w:tcMar>
              <w:top w:type="dxa" w:w="90"/>
              <w:left w:type="dxa" w:w="110"/>
              <w:bottom w:type="dxa" w:w="90"/>
              <w:right w:type="dxa" w:w="110"/>
            </w:tcMar>
          </w:tcPr>
          <w:p>
            <w:r>
              <w:rPr>
                <w:b w:val="false"/>
                <w:bCs w:val="false"/>
                <w:color w:val="1A1A1A"/>
                <w:sz w:val="19"/>
                <w:szCs w:val="19"/>
              </w:rPr>
              <w:t xml:space="preserve">Planos</w:t>
            </w:r>
          </w:p>
        </w:tc>
        <w:tc>
          <w:tcPr>
            <w:tcW w:type="dxa" w:w="7100"/>
            <w:tcMar>
              <w:top w:type="dxa" w:w="90"/>
              <w:left w:type="dxa" w:w="110"/>
              <w:bottom w:type="dxa" w:w="90"/>
              <w:right w:type="dxa" w:w="110"/>
            </w:tcMar>
          </w:tcPr>
          <w:p>
            <w:r>
              <w:rPr>
                <w:b w:val="false"/>
                <w:bCs w:val="false"/>
                <w:color w:val="1A1A1A"/>
                <w:sz w:val="19"/>
                <w:szCs w:val="19"/>
              </w:rPr>
              <w:t xml:space="preserve">Distribuição de tenants por plano (Free/Básico/Premium/Enterprise) e taxa de conversão entre eles</w:t>
            </w:r>
          </w:p>
        </w:tc>
      </w:tr>
      <w:tr>
        <w:tc>
          <w:tcPr>
            <w:tcW w:type="dxa" w:w="2600"/>
            <w:tcMar>
              <w:top w:type="dxa" w:w="90"/>
              <w:left w:type="dxa" w:w="110"/>
              <w:bottom w:type="dxa" w:w="90"/>
              <w:right w:type="dxa" w:w="110"/>
            </w:tcMar>
          </w:tcPr>
          <w:p>
            <w:r>
              <w:rPr>
                <w:b w:val="false"/>
                <w:bCs w:val="false"/>
                <w:color w:val="1A1A1A"/>
                <w:sz w:val="19"/>
                <w:szCs w:val="19"/>
              </w:rPr>
              <w:t xml:space="preserve">Usuários</w:t>
            </w:r>
          </w:p>
        </w:tc>
        <w:tc>
          <w:tcPr>
            <w:tcW w:type="dxa" w:w="7100"/>
            <w:tcMar>
              <w:top w:type="dxa" w:w="90"/>
              <w:left w:type="dxa" w:w="110"/>
              <w:bottom w:type="dxa" w:w="90"/>
              <w:right w:type="dxa" w:w="110"/>
            </w:tcMar>
          </w:tcPr>
          <w:p>
            <w:r>
              <w:rPr>
                <w:b w:val="false"/>
                <w:bCs w:val="false"/>
                <w:color w:val="1A1A1A"/>
                <w:sz w:val="19"/>
                <w:szCs w:val="19"/>
              </w:rPr>
              <w:t xml:space="preserve">Listagem de usuários por tenant, com papel e status de atividade</w:t>
            </w:r>
          </w:p>
        </w:tc>
      </w:tr>
      <w:tr>
        <w:tc>
          <w:tcPr>
            <w:tcW w:type="dxa" w:w="2600"/>
            <w:tcMar>
              <w:top w:type="dxa" w:w="90"/>
              <w:left w:type="dxa" w:w="110"/>
              <w:bottom w:type="dxa" w:w="90"/>
              <w:right w:type="dxa" w:w="110"/>
            </w:tcMar>
          </w:tcPr>
          <w:p>
            <w:r>
              <w:rPr>
                <w:b w:val="false"/>
                <w:bCs w:val="false"/>
                <w:color w:val="1A1A1A"/>
                <w:sz w:val="19"/>
                <w:szCs w:val="19"/>
              </w:rPr>
              <w:t xml:space="preserve">Uso de IA</w:t>
            </w:r>
          </w:p>
        </w:tc>
        <w:tc>
          <w:tcPr>
            <w:tcW w:type="dxa" w:w="7100"/>
            <w:tcMar>
              <w:top w:type="dxa" w:w="90"/>
              <w:left w:type="dxa" w:w="110"/>
              <w:bottom w:type="dxa" w:w="90"/>
              <w:right w:type="dxa" w:w="110"/>
            </w:tcMar>
          </w:tcPr>
          <w:p>
            <w:r>
              <w:rPr>
                <w:b w:val="false"/>
                <w:bCs w:val="false"/>
                <w:color w:val="1A1A1A"/>
                <w:sz w:val="19"/>
                <w:szCs w:val="19"/>
              </w:rPr>
              <w:t xml:space="preserve">Volume de chamadas de IA por tenant, custo estimado, e módulos mais utilizados</w:t>
            </w:r>
          </w:p>
        </w:tc>
      </w:tr>
      <w:tr>
        <w:tc>
          <w:tcPr>
            <w:tcW w:type="dxa" w:w="2600"/>
            <w:tcMar>
              <w:top w:type="dxa" w:w="90"/>
              <w:left w:type="dxa" w:w="110"/>
              <w:bottom w:type="dxa" w:w="90"/>
              <w:right w:type="dxa" w:w="110"/>
            </w:tcMar>
          </w:tcPr>
          <w:p>
            <w:r>
              <w:rPr>
                <w:b w:val="false"/>
                <w:bCs w:val="false"/>
                <w:color w:val="1A1A1A"/>
                <w:sz w:val="19"/>
                <w:szCs w:val="19"/>
              </w:rPr>
              <w:t xml:space="preserve">Consumo/Armazenamento</w:t>
            </w:r>
          </w:p>
        </w:tc>
        <w:tc>
          <w:tcPr>
            <w:tcW w:type="dxa" w:w="7100"/>
            <w:tcMar>
              <w:top w:type="dxa" w:w="90"/>
              <w:left w:type="dxa" w:w="110"/>
              <w:bottom w:type="dxa" w:w="90"/>
              <w:right w:type="dxa" w:w="110"/>
            </w:tcMar>
          </w:tcPr>
          <w:p>
            <w:r>
              <w:rPr>
                <w:b w:val="false"/>
                <w:bCs w:val="false"/>
                <w:color w:val="1A1A1A"/>
                <w:sz w:val="19"/>
                <w:szCs w:val="19"/>
              </w:rPr>
              <w:t xml:space="preserve">Uso de banco de dados e armazenamento por tenant, para acompanhamento de custo de infraestrutura</w:t>
            </w:r>
          </w:p>
        </w:tc>
      </w:tr>
      <w:tr>
        <w:tc>
          <w:tcPr>
            <w:tcW w:type="dxa" w:w="2600"/>
            <w:tcMar>
              <w:top w:type="dxa" w:w="90"/>
              <w:left w:type="dxa" w:w="110"/>
              <w:bottom w:type="dxa" w:w="90"/>
              <w:right w:type="dxa" w:w="110"/>
            </w:tcMar>
          </w:tcPr>
          <w:p>
            <w:r>
              <w:rPr>
                <w:b w:val="false"/>
                <w:bCs w:val="false"/>
                <w:color w:val="1A1A1A"/>
                <w:sz w:val="19"/>
                <w:szCs w:val="19"/>
              </w:rPr>
              <w:t xml:space="preserve">Tickets de Suporte</w:t>
            </w:r>
          </w:p>
        </w:tc>
        <w:tc>
          <w:tcPr>
            <w:tcW w:type="dxa" w:w="7100"/>
            <w:tcMar>
              <w:top w:type="dxa" w:w="90"/>
              <w:left w:type="dxa" w:w="110"/>
              <w:bottom w:type="dxa" w:w="90"/>
              <w:right w:type="dxa" w:w="110"/>
            </w:tcMar>
          </w:tcPr>
          <w:p>
            <w:r>
              <w:rPr>
                <w:b w:val="false"/>
                <w:bCs w:val="false"/>
                <w:color w:val="1A1A1A"/>
                <w:sz w:val="19"/>
                <w:szCs w:val="19"/>
              </w:rPr>
              <w:t xml:space="preserve">Fila de solicitações de suporte, com histórico e status de atendimento</w:t>
            </w:r>
          </w:p>
        </w:tc>
      </w:tr>
      <w:tr>
        <w:tc>
          <w:tcPr>
            <w:tcW w:type="dxa" w:w="2600"/>
            <w:tcMar>
              <w:top w:type="dxa" w:w="90"/>
              <w:left w:type="dxa" w:w="110"/>
              <w:bottom w:type="dxa" w:w="90"/>
              <w:right w:type="dxa" w:w="110"/>
            </w:tcMar>
          </w:tcPr>
          <w:p>
            <w:r>
              <w:rPr>
                <w:b w:val="false"/>
                <w:bCs w:val="false"/>
                <w:color w:val="1A1A1A"/>
                <w:sz w:val="19"/>
                <w:szCs w:val="19"/>
              </w:rPr>
              <w:t xml:space="preserve">Erros</w:t>
            </w:r>
          </w:p>
        </w:tc>
        <w:tc>
          <w:tcPr>
            <w:tcW w:type="dxa" w:w="7100"/>
            <w:tcMar>
              <w:top w:type="dxa" w:w="90"/>
              <w:left w:type="dxa" w:w="110"/>
              <w:bottom w:type="dxa" w:w="90"/>
              <w:right w:type="dxa" w:w="110"/>
            </w:tcMar>
          </w:tcPr>
          <w:p>
            <w:r>
              <w:rPr>
                <w:b w:val="false"/>
                <w:bCs w:val="false"/>
                <w:color w:val="1A1A1A"/>
                <w:sz w:val="19"/>
                <w:szCs w:val="19"/>
              </w:rPr>
              <w:t xml:space="preserve">Painel de erros de aplicação agregados, com taxa de ocorrência e tenants afetados</w:t>
            </w:r>
          </w:p>
        </w:tc>
      </w:tr>
      <w:tr>
        <w:tc>
          <w:tcPr>
            <w:tcW w:type="dxa" w:w="2600"/>
            <w:tcMar>
              <w:top w:type="dxa" w:w="90"/>
              <w:left w:type="dxa" w:w="110"/>
              <w:bottom w:type="dxa" w:w="90"/>
              <w:right w:type="dxa" w:w="110"/>
            </w:tcMar>
          </w:tcPr>
          <w:p>
            <w:r>
              <w:rPr>
                <w:b w:val="false"/>
                <w:bCs w:val="false"/>
                <w:color w:val="1A1A1A"/>
                <w:sz w:val="19"/>
                <w:szCs w:val="19"/>
              </w:rPr>
              <w:t xml:space="preserve">Deploys</w:t>
            </w:r>
          </w:p>
        </w:tc>
        <w:tc>
          <w:tcPr>
            <w:tcW w:type="dxa" w:w="7100"/>
            <w:tcMar>
              <w:top w:type="dxa" w:w="90"/>
              <w:left w:type="dxa" w:w="110"/>
              <w:bottom w:type="dxa" w:w="90"/>
              <w:right w:type="dxa" w:w="110"/>
            </w:tcMar>
          </w:tcPr>
          <w:p>
            <w:r>
              <w:rPr>
                <w:b w:val="false"/>
                <w:bCs w:val="false"/>
                <w:color w:val="1A1A1A"/>
                <w:sz w:val="19"/>
                <w:szCs w:val="19"/>
              </w:rPr>
              <w:t xml:space="preserve">Histórico de versões publicadas, com changelog e possibilidade de rollback assistido</w:t>
            </w:r>
          </w:p>
        </w:tc>
      </w:tr>
    </w:tbl>
    <w:p>
      <w:pPr>
        <w:pStyle w:val="Heading2"/>
        <w:spacing w:after="140" w:before="320"/>
      </w:pPr>
      <w:r>
        <w:rPr>
          <w:b/>
          <w:bCs/>
          <w:color w:val="B8860B"/>
          <w:sz w:val="26"/>
          <w:szCs w:val="26"/>
        </w:rPr>
        <w:t xml:space="preserve">19.3 Ações de Suporte Disponíveis</w:t>
      </w:r>
    </w:p>
    <w:p>
      <w:pPr>
        <w:pStyle w:val="ListParagraph"/>
        <w:numPr>
          <w:ilvl w:val="0"/>
          <w:numId w:val="3"/>
        </w:numPr>
        <w:spacing w:after="70"/>
      </w:pPr>
      <w:r>
        <w:rPr>
          <w:sz w:val="21"/>
          <w:szCs w:val="21"/>
        </w:rPr>
        <w:t xml:space="preserve">Acesso assistido à conta de um tenant (com consentimento e log de auditoria obrigatório) para diagnóstico de problemas relatados.</w:t>
      </w:r>
    </w:p>
    <w:p>
      <w:pPr>
        <w:pStyle w:val="ListParagraph"/>
        <w:numPr>
          <w:ilvl w:val="0"/>
          <w:numId w:val="3"/>
        </w:numPr>
        <w:spacing w:after="70"/>
      </w:pPr>
      <w:r>
        <w:rPr>
          <w:sz w:val="21"/>
          <w:szCs w:val="21"/>
        </w:rPr>
        <w:t xml:space="preserve">Ajuste manual de plano ou limite, em casos excepcionais de suporte, sempre registrado em log.</w:t>
      </w:r>
    </w:p>
    <w:p>
      <w:pPr>
        <w:pStyle w:val="ListParagraph"/>
        <w:numPr>
          <w:ilvl w:val="0"/>
          <w:numId w:val="3"/>
        </w:numPr>
        <w:spacing w:after="70"/>
      </w:pPr>
      <w:r>
        <w:rPr>
          <w:sz w:val="21"/>
          <w:szCs w:val="21"/>
        </w:rPr>
        <w:t xml:space="preserve">Reenvio de sincronização pendente (Capítulo 10) em casos de falha reportada pelo lojista.</w:t>
      </w:r>
    </w:p>
    <w:p>
      <w:pPr>
        <w:pStyle w:val="Heading2"/>
        <w:spacing w:after="140" w:before="320"/>
      </w:pPr>
      <w:r>
        <w:rPr>
          <w:b/>
          <w:bCs/>
          <w:color w:val="B8860B"/>
          <w:sz w:val="26"/>
          <w:szCs w:val="26"/>
        </w:rPr>
        <w:t xml:space="preserve">19.4 Monitoramento em Tempo Real</w:t>
      </w:r>
    </w:p>
    <w:p>
      <w:pPr>
        <w:spacing w:after="140" w:line="300"/>
      </w:pPr>
      <w:r>
        <w:rPr>
          <w:sz w:val="21"/>
          <w:szCs w:val="21"/>
        </w:rPr>
        <w:t xml:space="preserve">O painel exibe indicadores de saúde do sistema em tempo real, conectados à camada de observabilidade descrita no Capítulo 21: taxa de erro por rota, tempo de resposta médio, tenants com uso anômalo (possível indício de abuso ou de problema técnico).</w:t>
      </w:r>
    </w:p>
    <w:p>
      <w:pPr>
        <w:pStyle w:val="Heading2"/>
        <w:spacing w:after="140" w:before="320"/>
      </w:pPr>
      <w:r>
        <w:rPr>
          <w:b/>
          <w:bCs/>
          <w:color w:val="B8860B"/>
          <w:sz w:val="26"/>
          <w:szCs w:val="26"/>
        </w:rPr>
        <w:t xml:space="preserve">19.5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RF-ADM-01</w:t>
            </w:r>
          </w:p>
        </w:tc>
        <w:tc>
          <w:tcPr>
            <w:tcW w:type="dxa" w:w="5300"/>
            <w:tcMar>
              <w:top w:type="dxa" w:w="90"/>
              <w:left w:type="dxa" w:w="110"/>
              <w:bottom w:type="dxa" w:w="90"/>
              <w:right w:type="dxa" w:w="110"/>
            </w:tcMar>
          </w:tcPr>
          <w:p>
            <w:r>
              <w:rPr>
                <w:b w:val="false"/>
                <w:bCs w:val="false"/>
                <w:color w:val="1A1A1A"/>
                <w:sz w:val="19"/>
                <w:szCs w:val="19"/>
              </w:rPr>
              <w:t xml:space="preserve">Listagem e busca de tenants com filtro por plano e segmento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RF-ADM-02</w:t>
            </w:r>
          </w:p>
        </w:tc>
        <w:tc>
          <w:tcPr>
            <w:tcW w:type="dxa" w:w="5300"/>
            <w:tcMar>
              <w:top w:type="dxa" w:w="90"/>
              <w:left w:type="dxa" w:w="110"/>
              <w:bottom w:type="dxa" w:w="90"/>
              <w:right w:type="dxa" w:w="110"/>
            </w:tcMar>
          </w:tcPr>
          <w:p>
            <w:r>
              <w:rPr>
                <w:b w:val="false"/>
                <w:bCs w:val="false"/>
                <w:color w:val="1A1A1A"/>
                <w:sz w:val="19"/>
                <w:szCs w:val="19"/>
              </w:rPr>
              <w:t xml:space="preserve">Painel de faturamento consolidado por plano e período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RF-ADM-03</w:t>
            </w:r>
          </w:p>
        </w:tc>
        <w:tc>
          <w:tcPr>
            <w:tcW w:type="dxa" w:w="5300"/>
            <w:tcMar>
              <w:top w:type="dxa" w:w="90"/>
              <w:left w:type="dxa" w:w="110"/>
              <w:bottom w:type="dxa" w:w="90"/>
              <w:right w:type="dxa" w:w="110"/>
            </w:tcMar>
          </w:tcPr>
          <w:p>
            <w:r>
              <w:rPr>
                <w:b w:val="false"/>
                <w:bCs w:val="false"/>
                <w:color w:val="1A1A1A"/>
                <w:sz w:val="19"/>
                <w:szCs w:val="19"/>
              </w:rPr>
              <w:t xml:space="preserve">Painel de uso de IA e custo estimado por tenant</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RF-ADM-04</w:t>
            </w:r>
          </w:p>
        </w:tc>
        <w:tc>
          <w:tcPr>
            <w:tcW w:type="dxa" w:w="5300"/>
            <w:tcMar>
              <w:top w:type="dxa" w:w="90"/>
              <w:left w:type="dxa" w:w="110"/>
              <w:bottom w:type="dxa" w:w="90"/>
              <w:right w:type="dxa" w:w="110"/>
            </w:tcMar>
          </w:tcPr>
          <w:p>
            <w:r>
              <w:rPr>
                <w:b w:val="false"/>
                <w:bCs w:val="false"/>
                <w:color w:val="1A1A1A"/>
                <w:sz w:val="19"/>
                <w:szCs w:val="19"/>
              </w:rPr>
              <w:t xml:space="preserve">Painel de consumo de armazenamento por tenant</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RF-ADM-05</w:t>
            </w:r>
          </w:p>
        </w:tc>
        <w:tc>
          <w:tcPr>
            <w:tcW w:type="dxa" w:w="5300"/>
            <w:tcMar>
              <w:top w:type="dxa" w:w="90"/>
              <w:left w:type="dxa" w:w="110"/>
              <w:bottom w:type="dxa" w:w="90"/>
              <w:right w:type="dxa" w:w="110"/>
            </w:tcMar>
          </w:tcPr>
          <w:p>
            <w:r>
              <w:rPr>
                <w:b w:val="false"/>
                <w:bCs w:val="false"/>
                <w:color w:val="1A1A1A"/>
                <w:sz w:val="19"/>
                <w:szCs w:val="19"/>
              </w:rPr>
              <w:t xml:space="preserve">Fila de tickets de suporte integrada ao painel</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RF-ADM-06</w:t>
            </w:r>
          </w:p>
        </w:tc>
        <w:tc>
          <w:tcPr>
            <w:tcW w:type="dxa" w:w="5300"/>
            <w:tcMar>
              <w:top w:type="dxa" w:w="90"/>
              <w:left w:type="dxa" w:w="110"/>
              <w:bottom w:type="dxa" w:w="90"/>
              <w:right w:type="dxa" w:w="110"/>
            </w:tcMar>
          </w:tcPr>
          <w:p>
            <w:r>
              <w:rPr>
                <w:b w:val="false"/>
                <w:bCs w:val="false"/>
                <w:color w:val="1A1A1A"/>
                <w:sz w:val="19"/>
                <w:szCs w:val="19"/>
              </w:rPr>
              <w:t xml:space="preserve">Painel de erros e saúde do sistema em tempo real</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RF-ADM-07</w:t>
            </w:r>
          </w:p>
        </w:tc>
        <w:tc>
          <w:tcPr>
            <w:tcW w:type="dxa" w:w="5300"/>
            <w:tcMar>
              <w:top w:type="dxa" w:w="90"/>
              <w:left w:type="dxa" w:w="110"/>
              <w:bottom w:type="dxa" w:w="90"/>
              <w:right w:type="dxa" w:w="110"/>
            </w:tcMar>
          </w:tcPr>
          <w:p>
            <w:r>
              <w:rPr>
                <w:b w:val="false"/>
                <w:bCs w:val="false"/>
                <w:color w:val="1A1A1A"/>
                <w:sz w:val="19"/>
                <w:szCs w:val="19"/>
              </w:rPr>
              <w:t xml:space="preserve">Histórico de deploys com changelog e rollback assistido</w:t>
            </w:r>
          </w:p>
        </w:tc>
        <w:tc>
          <w:tcPr>
            <w:tcW w:type="dxa" w:w="1700"/>
            <w:tcMar>
              <w:top w:type="dxa" w:w="90"/>
              <w:left w:type="dxa" w:w="110"/>
              <w:bottom w:type="dxa" w:w="90"/>
              <w:right w:type="dxa" w:w="110"/>
            </w:tcMar>
          </w:tcPr>
          <w:p>
            <w:r>
              <w:rPr>
                <w:b w:val="false"/>
                <w:bCs w:val="false"/>
                <w:color w:val="1A1A1A"/>
                <w:sz w:val="19"/>
                <w:szCs w:val="19"/>
              </w:rPr>
              <w:t xml:space="preserve">V3</w:t>
            </w:r>
          </w:p>
        </w:tc>
      </w:tr>
      <w:tr>
        <w:tc>
          <w:tcPr>
            <w:tcW w:type="dxa" w:w="2100"/>
            <w:tcMar>
              <w:top w:type="dxa" w:w="90"/>
              <w:left w:type="dxa" w:w="110"/>
              <w:bottom w:type="dxa" w:w="90"/>
              <w:right w:type="dxa" w:w="110"/>
            </w:tcMar>
          </w:tcPr>
          <w:p>
            <w:r>
              <w:rPr>
                <w:b w:val="false"/>
                <w:bCs w:val="false"/>
                <w:color w:val="1A1A1A"/>
                <w:sz w:val="19"/>
                <w:szCs w:val="19"/>
              </w:rPr>
              <w:t xml:space="preserve">RF-ADM-08</w:t>
            </w:r>
          </w:p>
        </w:tc>
        <w:tc>
          <w:tcPr>
            <w:tcW w:type="dxa" w:w="5300"/>
            <w:tcMar>
              <w:top w:type="dxa" w:w="90"/>
              <w:left w:type="dxa" w:w="110"/>
              <w:bottom w:type="dxa" w:w="90"/>
              <w:right w:type="dxa" w:w="110"/>
            </w:tcMar>
          </w:tcPr>
          <w:p>
            <w:r>
              <w:rPr>
                <w:b w:val="false"/>
                <w:bCs w:val="false"/>
                <w:color w:val="1A1A1A"/>
                <w:sz w:val="19"/>
                <w:szCs w:val="19"/>
              </w:rPr>
              <w:t xml:space="preserve">Acesso assistido a tenant com log de auditoria obrigatório</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20</w:t>
      </w:r>
      <w:r>
        <w:t xml:space="preserve">  </w:t>
      </w:r>
    </w:p>
    <w:p>
      <w:pPr>
        <w:pStyle w:val="Heading1"/>
        <w:spacing w:after="280" w:before="0"/>
      </w:pPr>
      <w:r>
        <w:rPr>
          <w:b/>
          <w:bCs/>
          <w:color w:val="1A1A1A"/>
          <w:sz w:val="36"/>
          <w:szCs w:val="36"/>
        </w:rPr>
        <w:t xml:space="preserve">Modelo Comercial e Monetização</w:t>
      </w:r>
    </w:p>
    <w:p>
      <w:pPr>
        <w:pStyle w:val="Heading2"/>
        <w:spacing w:after="140" w:before="320"/>
      </w:pPr>
      <w:r>
        <w:rPr>
          <w:b/>
          <w:bCs/>
          <w:color w:val="B8860B"/>
          <w:sz w:val="26"/>
          <w:szCs w:val="26"/>
        </w:rPr>
        <w:t xml:space="preserve">20.1 Estrutura de Planos</w:t>
      </w:r>
    </w:p>
    <w:p>
      <w:pPr>
        <w:spacing w:after="140" w:line="300"/>
      </w:pPr>
      <w:r>
        <w:rPr>
          <w:sz w:val="21"/>
          <w:szCs w:val="21"/>
        </w:rPr>
        <w:t xml:space="preserve">O VendeFlex segue o padrão de monetização já validado nos demais produtos RhoneyInc (freemium com upgrade recorrente), com um terceiro nível voltado a negócios de maior porte, introduzido a partir da fase V2/V3 conforme a demanda validar sua necessidade.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00"/>
      </w:tblGrid>
      <w:tr>
        <w:tc>
          <w:tcPr>
            <w:tcW w:type="dxa" w:w="2200"/>
            <w:shd w:fill="1A1A1A" w:val="clear"/>
            <w:tcMar>
              <w:top w:type="dxa" w:w="90"/>
              <w:left w:type="dxa" w:w="110"/>
              <w:bottom w:type="dxa" w:w="90"/>
              <w:right w:type="dxa" w:w="110"/>
            </w:tcMar>
          </w:tcPr>
          <w:p>
            <w:r>
              <w:rPr>
                <w:b/>
                <w:bCs/>
                <w:color w:val="FFFFFF"/>
                <w:sz w:val="19"/>
                <w:szCs w:val="19"/>
              </w:rPr>
              <w:t xml:space="preserve">Plano</w:t>
            </w:r>
          </w:p>
        </w:tc>
        <w:tc>
          <w:tcPr>
            <w:tcW w:type="dxa" w:w="2600"/>
            <w:shd w:fill="1A1A1A" w:val="clear"/>
            <w:tcMar>
              <w:top w:type="dxa" w:w="90"/>
              <w:left w:type="dxa" w:w="110"/>
              <w:bottom w:type="dxa" w:w="90"/>
              <w:right w:type="dxa" w:w="110"/>
            </w:tcMar>
          </w:tcPr>
          <w:p>
            <w:r>
              <w:rPr>
                <w:b/>
                <w:bCs/>
                <w:color w:val="FFFFFF"/>
                <w:sz w:val="19"/>
                <w:szCs w:val="19"/>
              </w:rPr>
              <w:t xml:space="preserve">Preço sugerido</w:t>
            </w:r>
          </w:p>
        </w:tc>
        <w:tc>
          <w:tcPr>
            <w:tcW w:type="dxa" w:w="4500"/>
            <w:shd w:fill="1A1A1A" w:val="clear"/>
            <w:tcMar>
              <w:top w:type="dxa" w:w="90"/>
              <w:left w:type="dxa" w:w="110"/>
              <w:bottom w:type="dxa" w:w="90"/>
              <w:right w:type="dxa" w:w="110"/>
            </w:tcMar>
          </w:tcPr>
          <w:p>
            <w:r>
              <w:rPr>
                <w:b/>
                <w:bCs/>
                <w:color w:val="FFFFFF"/>
                <w:sz w:val="19"/>
                <w:szCs w:val="19"/>
              </w:rPr>
              <w:t xml:space="preserve">Público</w:t>
            </w:r>
          </w:p>
        </w:tc>
      </w:tr>
      <w:tr>
        <w:tc>
          <w:tcPr>
            <w:tcW w:type="dxa" w:w="2200"/>
            <w:tcMar>
              <w:top w:type="dxa" w:w="90"/>
              <w:left w:type="dxa" w:w="110"/>
              <w:bottom w:type="dxa" w:w="90"/>
              <w:right w:type="dxa" w:w="110"/>
            </w:tcMar>
          </w:tcPr>
          <w:p>
            <w:r>
              <w:rPr>
                <w:b w:val="false"/>
                <w:bCs w:val="false"/>
                <w:color w:val="1A1A1A"/>
                <w:sz w:val="19"/>
                <w:szCs w:val="19"/>
              </w:rPr>
              <w:t xml:space="preserve">Free</w:t>
            </w:r>
          </w:p>
        </w:tc>
        <w:tc>
          <w:tcPr>
            <w:tcW w:type="dxa" w:w="2600"/>
            <w:tcMar>
              <w:top w:type="dxa" w:w="90"/>
              <w:left w:type="dxa" w:w="110"/>
              <w:bottom w:type="dxa" w:w="90"/>
              <w:right w:type="dxa" w:w="110"/>
            </w:tcMar>
          </w:tcPr>
          <w:p>
            <w:r>
              <w:rPr>
                <w:b w:val="false"/>
                <w:bCs w:val="false"/>
                <w:color w:val="1A1A1A"/>
                <w:sz w:val="19"/>
                <w:szCs w:val="19"/>
              </w:rPr>
              <w:t xml:space="preserve">R$ 0</w:t>
            </w:r>
          </w:p>
        </w:tc>
        <w:tc>
          <w:tcPr>
            <w:tcW w:type="dxa" w:w="4500"/>
            <w:tcMar>
              <w:top w:type="dxa" w:w="90"/>
              <w:left w:type="dxa" w:w="110"/>
              <w:bottom w:type="dxa" w:w="90"/>
              <w:right w:type="dxa" w:w="110"/>
            </w:tcMar>
          </w:tcPr>
          <w:p>
            <w:r>
              <w:rPr>
                <w:b w:val="false"/>
                <w:bCs w:val="false"/>
                <w:color w:val="1A1A1A"/>
                <w:sz w:val="19"/>
                <w:szCs w:val="19"/>
              </w:rPr>
              <w:t xml:space="preserve">MEI iniciando, validação do produto</w:t>
            </w:r>
          </w:p>
        </w:tc>
      </w:tr>
      <w:tr>
        <w:tc>
          <w:tcPr>
            <w:tcW w:type="dxa" w:w="2200"/>
            <w:tcMar>
              <w:top w:type="dxa" w:w="90"/>
              <w:left w:type="dxa" w:w="110"/>
              <w:bottom w:type="dxa" w:w="90"/>
              <w:right w:type="dxa" w:w="110"/>
            </w:tcMar>
          </w:tcPr>
          <w:p>
            <w:r>
              <w:rPr>
                <w:b w:val="false"/>
                <w:bCs w:val="false"/>
                <w:color w:val="1A1A1A"/>
                <w:sz w:val="19"/>
                <w:szCs w:val="19"/>
              </w:rPr>
              <w:t xml:space="preserve">Básico</w:t>
            </w:r>
          </w:p>
        </w:tc>
        <w:tc>
          <w:tcPr>
            <w:tcW w:type="dxa" w:w="2600"/>
            <w:tcMar>
              <w:top w:type="dxa" w:w="90"/>
              <w:left w:type="dxa" w:w="110"/>
              <w:bottom w:type="dxa" w:w="90"/>
              <w:right w:type="dxa" w:w="110"/>
            </w:tcMar>
          </w:tcPr>
          <w:p>
            <w:r>
              <w:rPr>
                <w:b w:val="false"/>
                <w:bCs w:val="false"/>
                <w:color w:val="1A1A1A"/>
                <w:sz w:val="19"/>
                <w:szCs w:val="19"/>
              </w:rPr>
              <w:t xml:space="preserve">R$ 19,90/mês</w:t>
            </w:r>
          </w:p>
        </w:tc>
        <w:tc>
          <w:tcPr>
            <w:tcW w:type="dxa" w:w="4500"/>
            <w:tcMar>
              <w:top w:type="dxa" w:w="90"/>
              <w:left w:type="dxa" w:w="110"/>
              <w:bottom w:type="dxa" w:w="90"/>
              <w:right w:type="dxa" w:w="110"/>
            </w:tcMar>
          </w:tcPr>
          <w:p>
            <w:r>
              <w:rPr>
                <w:b w:val="false"/>
                <w:bCs w:val="false"/>
                <w:color w:val="1A1A1A"/>
                <w:sz w:val="19"/>
                <w:szCs w:val="19"/>
              </w:rPr>
              <w:t xml:space="preserve">Pequeno negócio com operação regular</w:t>
            </w:r>
          </w:p>
        </w:tc>
      </w:tr>
      <w:tr>
        <w:tc>
          <w:tcPr>
            <w:tcW w:type="dxa" w:w="2200"/>
            <w:tcMar>
              <w:top w:type="dxa" w:w="90"/>
              <w:left w:type="dxa" w:w="110"/>
              <w:bottom w:type="dxa" w:w="90"/>
              <w:right w:type="dxa" w:w="110"/>
            </w:tcMar>
          </w:tcPr>
          <w:p>
            <w:r>
              <w:rPr>
                <w:b w:val="false"/>
                <w:bCs w:val="false"/>
                <w:color w:val="1A1A1A"/>
                <w:sz w:val="19"/>
                <w:szCs w:val="19"/>
              </w:rPr>
              <w:t xml:space="preserve">Premium</w:t>
            </w:r>
          </w:p>
        </w:tc>
        <w:tc>
          <w:tcPr>
            <w:tcW w:type="dxa" w:w="2600"/>
            <w:tcMar>
              <w:top w:type="dxa" w:w="90"/>
              <w:left w:type="dxa" w:w="110"/>
              <w:bottom w:type="dxa" w:w="90"/>
              <w:right w:type="dxa" w:w="110"/>
            </w:tcMar>
          </w:tcPr>
          <w:p>
            <w:r>
              <w:rPr>
                <w:b w:val="false"/>
                <w:bCs w:val="false"/>
                <w:color w:val="1A1A1A"/>
                <w:sz w:val="19"/>
                <w:szCs w:val="19"/>
              </w:rPr>
              <w:t xml:space="preserve">R$ 39,90/mês</w:t>
            </w:r>
          </w:p>
        </w:tc>
        <w:tc>
          <w:tcPr>
            <w:tcW w:type="dxa" w:w="4500"/>
            <w:tcMar>
              <w:top w:type="dxa" w:w="90"/>
              <w:left w:type="dxa" w:w="110"/>
              <w:bottom w:type="dxa" w:w="90"/>
              <w:right w:type="dxa" w:w="110"/>
            </w:tcMar>
          </w:tcPr>
          <w:p>
            <w:r>
              <w:rPr>
                <w:b w:val="false"/>
                <w:bCs w:val="false"/>
                <w:color w:val="1A1A1A"/>
                <w:sz w:val="19"/>
                <w:szCs w:val="19"/>
              </w:rPr>
              <w:t xml:space="preserve">Negócio em crescimento, múltiplos usuários</w:t>
            </w:r>
          </w:p>
        </w:tc>
      </w:tr>
      <w:tr>
        <w:tc>
          <w:tcPr>
            <w:tcW w:type="dxa" w:w="2200"/>
            <w:tcMar>
              <w:top w:type="dxa" w:w="90"/>
              <w:left w:type="dxa" w:w="110"/>
              <w:bottom w:type="dxa" w:w="90"/>
              <w:right w:type="dxa" w:w="110"/>
            </w:tcMar>
          </w:tcPr>
          <w:p>
            <w:r>
              <w:rPr>
                <w:b w:val="false"/>
                <w:bCs w:val="false"/>
                <w:color w:val="1A1A1A"/>
                <w:sz w:val="19"/>
                <w:szCs w:val="19"/>
              </w:rPr>
              <w:t xml:space="preserve">Enterprise (V3)</w:t>
            </w:r>
          </w:p>
        </w:tc>
        <w:tc>
          <w:tcPr>
            <w:tcW w:type="dxa" w:w="2600"/>
            <w:tcMar>
              <w:top w:type="dxa" w:w="90"/>
              <w:left w:type="dxa" w:w="110"/>
              <w:bottom w:type="dxa" w:w="90"/>
              <w:right w:type="dxa" w:w="110"/>
            </w:tcMar>
          </w:tcPr>
          <w:p>
            <w:r>
              <w:rPr>
                <w:b w:val="false"/>
                <w:bCs w:val="false"/>
                <w:color w:val="1A1A1A"/>
                <w:sz w:val="19"/>
                <w:szCs w:val="19"/>
              </w:rPr>
              <w:t xml:space="preserve">Sob consulta</w:t>
            </w:r>
          </w:p>
        </w:tc>
        <w:tc>
          <w:tcPr>
            <w:tcW w:type="dxa" w:w="4500"/>
            <w:tcMar>
              <w:top w:type="dxa" w:w="90"/>
              <w:left w:type="dxa" w:w="110"/>
              <w:bottom w:type="dxa" w:w="90"/>
              <w:right w:type="dxa" w:w="110"/>
            </w:tcMar>
          </w:tcPr>
          <w:p>
            <w:r>
              <w:rPr>
                <w:b w:val="false"/>
                <w:bCs w:val="false"/>
                <w:color w:val="1A1A1A"/>
                <w:sz w:val="19"/>
                <w:szCs w:val="19"/>
              </w:rPr>
              <w:t xml:space="preserve">Médias/grandes operações com múltiplas filiais</w:t>
            </w:r>
          </w:p>
        </w:tc>
      </w:tr>
    </w:tbl>
    <w:p>
      <w:pPr>
        <w:pStyle w:val="Heading2"/>
        <w:spacing w:after="140" w:before="320"/>
      </w:pPr>
      <w:r>
        <w:rPr>
          <w:b/>
          <w:bCs/>
          <w:color w:val="B8860B"/>
          <w:sz w:val="26"/>
          <w:szCs w:val="26"/>
        </w:rPr>
        <w:t xml:space="preserve">20.2 Limites por Plano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2900"/>
      </w:tblGrid>
      <w:tr>
        <w:tc>
          <w:tcPr>
            <w:tcW w:type="dxa" w:w="2900"/>
            <w:shd w:fill="1A1A1A" w:val="clear"/>
            <w:tcMar>
              <w:top w:type="dxa" w:w="90"/>
              <w:left w:type="dxa" w:w="110"/>
              <w:bottom w:type="dxa" w:w="90"/>
              <w:right w:type="dxa" w:w="110"/>
            </w:tcMar>
          </w:tcPr>
          <w:p>
            <w:r>
              <w:rPr>
                <w:b/>
                <w:bCs/>
                <w:color w:val="FFFFFF"/>
                <w:sz w:val="19"/>
                <w:szCs w:val="19"/>
              </w:rPr>
              <w:t xml:space="preserve">Recurso</w:t>
            </w:r>
          </w:p>
        </w:tc>
        <w:tc>
          <w:tcPr>
            <w:tcW w:type="dxa" w:w="1700"/>
            <w:shd w:fill="1A1A1A" w:val="clear"/>
            <w:tcMar>
              <w:top w:type="dxa" w:w="90"/>
              <w:left w:type="dxa" w:w="110"/>
              <w:bottom w:type="dxa" w:w="90"/>
              <w:right w:type="dxa" w:w="110"/>
            </w:tcMar>
          </w:tcPr>
          <w:p>
            <w:r>
              <w:rPr>
                <w:b/>
                <w:bCs/>
                <w:color w:val="FFFFFF"/>
                <w:sz w:val="19"/>
                <w:szCs w:val="19"/>
              </w:rPr>
              <w:t xml:space="preserve">Free</w:t>
            </w:r>
          </w:p>
        </w:tc>
        <w:tc>
          <w:tcPr>
            <w:tcW w:type="dxa" w:w="1700"/>
            <w:shd w:fill="1A1A1A" w:val="clear"/>
            <w:tcMar>
              <w:top w:type="dxa" w:w="90"/>
              <w:left w:type="dxa" w:w="110"/>
              <w:bottom w:type="dxa" w:w="90"/>
              <w:right w:type="dxa" w:w="110"/>
            </w:tcMar>
          </w:tcPr>
          <w:p>
            <w:r>
              <w:rPr>
                <w:b/>
                <w:bCs/>
                <w:color w:val="FFFFFF"/>
                <w:sz w:val="19"/>
                <w:szCs w:val="19"/>
              </w:rPr>
              <w:t xml:space="preserve">Básico</w:t>
            </w:r>
          </w:p>
        </w:tc>
        <w:tc>
          <w:tcPr>
            <w:tcW w:type="dxa" w:w="2900"/>
            <w:shd w:fill="1A1A1A" w:val="clear"/>
            <w:tcMar>
              <w:top w:type="dxa" w:w="90"/>
              <w:left w:type="dxa" w:w="110"/>
              <w:bottom w:type="dxa" w:w="90"/>
              <w:right w:type="dxa" w:w="110"/>
            </w:tcMar>
          </w:tcPr>
          <w:p>
            <w:r>
              <w:rPr>
                <w:b/>
                <w:bCs/>
                <w:color w:val="FFFFFF"/>
                <w:sz w:val="19"/>
                <w:szCs w:val="19"/>
              </w:rPr>
              <w:t xml:space="preserve">Premium</w:t>
            </w:r>
          </w:p>
        </w:tc>
      </w:tr>
      <w:tr>
        <w:tc>
          <w:tcPr>
            <w:tcW w:type="dxa" w:w="2900"/>
            <w:tcMar>
              <w:top w:type="dxa" w:w="90"/>
              <w:left w:type="dxa" w:w="110"/>
              <w:bottom w:type="dxa" w:w="90"/>
              <w:right w:type="dxa" w:w="110"/>
            </w:tcMar>
          </w:tcPr>
          <w:p>
            <w:r>
              <w:rPr>
                <w:b w:val="false"/>
                <w:bCs w:val="false"/>
                <w:color w:val="1A1A1A"/>
                <w:sz w:val="19"/>
                <w:szCs w:val="19"/>
              </w:rPr>
              <w:t xml:space="preserve">Produtos no catálogo</w:t>
            </w:r>
          </w:p>
        </w:tc>
        <w:tc>
          <w:tcPr>
            <w:tcW w:type="dxa" w:w="1700"/>
            <w:tcMar>
              <w:top w:type="dxa" w:w="90"/>
              <w:left w:type="dxa" w:w="110"/>
              <w:bottom w:type="dxa" w:w="90"/>
              <w:right w:type="dxa" w:w="110"/>
            </w:tcMar>
          </w:tcPr>
          <w:p>
            <w:r>
              <w:rPr>
                <w:b w:val="false"/>
                <w:bCs w:val="false"/>
                <w:color w:val="1A1A1A"/>
                <w:sz w:val="19"/>
                <w:szCs w:val="19"/>
              </w:rPr>
              <w:t xml:space="preserve">Até 30</w:t>
            </w:r>
          </w:p>
        </w:tc>
        <w:tc>
          <w:tcPr>
            <w:tcW w:type="dxa" w:w="1700"/>
            <w:tcMar>
              <w:top w:type="dxa" w:w="90"/>
              <w:left w:type="dxa" w:w="110"/>
              <w:bottom w:type="dxa" w:w="90"/>
              <w:right w:type="dxa" w:w="110"/>
            </w:tcMar>
          </w:tcPr>
          <w:p>
            <w:r>
              <w:rPr>
                <w:b w:val="false"/>
                <w:bCs w:val="false"/>
                <w:color w:val="1A1A1A"/>
                <w:sz w:val="19"/>
                <w:szCs w:val="19"/>
              </w:rPr>
              <w:t xml:space="preserve">Ilimitado</w:t>
            </w:r>
          </w:p>
        </w:tc>
        <w:tc>
          <w:tcPr>
            <w:tcW w:type="dxa" w:w="2900"/>
            <w:tcMar>
              <w:top w:type="dxa" w:w="90"/>
              <w:left w:type="dxa" w:w="110"/>
              <w:bottom w:type="dxa" w:w="90"/>
              <w:right w:type="dxa" w:w="110"/>
            </w:tcMar>
          </w:tcPr>
          <w:p>
            <w:r>
              <w:rPr>
                <w:b w:val="false"/>
                <w:bCs w:val="false"/>
                <w:color w:val="1A1A1A"/>
                <w:sz w:val="19"/>
                <w:szCs w:val="19"/>
              </w:rPr>
              <w:t xml:space="preserve">Ilimitado</w:t>
            </w:r>
          </w:p>
        </w:tc>
      </w:tr>
      <w:tr>
        <w:tc>
          <w:tcPr>
            <w:tcW w:type="dxa" w:w="2900"/>
            <w:tcMar>
              <w:top w:type="dxa" w:w="90"/>
              <w:left w:type="dxa" w:w="110"/>
              <w:bottom w:type="dxa" w:w="90"/>
              <w:right w:type="dxa" w:w="110"/>
            </w:tcMar>
          </w:tcPr>
          <w:p>
            <w:r>
              <w:rPr>
                <w:b w:val="false"/>
                <w:bCs w:val="false"/>
                <w:color w:val="1A1A1A"/>
                <w:sz w:val="19"/>
                <w:szCs w:val="19"/>
              </w:rPr>
              <w:t xml:space="preserve">Usuários</w:t>
            </w:r>
          </w:p>
        </w:tc>
        <w:tc>
          <w:tcPr>
            <w:tcW w:type="dxa" w:w="1700"/>
            <w:tcMar>
              <w:top w:type="dxa" w:w="90"/>
              <w:left w:type="dxa" w:w="110"/>
              <w:bottom w:type="dxa" w:w="90"/>
              <w:right w:type="dxa" w:w="110"/>
            </w:tcMar>
          </w:tcPr>
          <w:p>
            <w:r>
              <w:rPr>
                <w:b w:val="false"/>
                <w:bCs w:val="false"/>
                <w:color w:val="1A1A1A"/>
                <w:sz w:val="19"/>
                <w:szCs w:val="19"/>
              </w:rPr>
              <w:t xml:space="preserve">1</w:t>
            </w:r>
          </w:p>
        </w:tc>
        <w:tc>
          <w:tcPr>
            <w:tcW w:type="dxa" w:w="1700"/>
            <w:tcMar>
              <w:top w:type="dxa" w:w="90"/>
              <w:left w:type="dxa" w:w="110"/>
              <w:bottom w:type="dxa" w:w="90"/>
              <w:right w:type="dxa" w:w="110"/>
            </w:tcMar>
          </w:tcPr>
          <w:p>
            <w:r>
              <w:rPr>
                <w:b w:val="false"/>
                <w:bCs w:val="false"/>
                <w:color w:val="1A1A1A"/>
                <w:sz w:val="19"/>
                <w:szCs w:val="19"/>
              </w:rPr>
              <w:t xml:space="preserve">Até 3</w:t>
            </w:r>
          </w:p>
        </w:tc>
        <w:tc>
          <w:tcPr>
            <w:tcW w:type="dxa" w:w="2900"/>
            <w:tcMar>
              <w:top w:type="dxa" w:w="90"/>
              <w:left w:type="dxa" w:w="110"/>
              <w:bottom w:type="dxa" w:w="90"/>
              <w:right w:type="dxa" w:w="110"/>
            </w:tcMar>
          </w:tcPr>
          <w:p>
            <w:r>
              <w:rPr>
                <w:b w:val="false"/>
                <w:bCs w:val="false"/>
                <w:color w:val="1A1A1A"/>
                <w:sz w:val="19"/>
                <w:szCs w:val="19"/>
              </w:rPr>
              <w:t xml:space="preserve">Ilimitado</w:t>
            </w:r>
          </w:p>
        </w:tc>
      </w:tr>
      <w:tr>
        <w:tc>
          <w:tcPr>
            <w:tcW w:type="dxa" w:w="2900"/>
            <w:tcMar>
              <w:top w:type="dxa" w:w="90"/>
              <w:left w:type="dxa" w:w="110"/>
              <w:bottom w:type="dxa" w:w="90"/>
              <w:right w:type="dxa" w:w="110"/>
            </w:tcMar>
          </w:tcPr>
          <w:p>
            <w:r>
              <w:rPr>
                <w:b w:val="false"/>
                <w:bCs w:val="false"/>
                <w:color w:val="1A1A1A"/>
                <w:sz w:val="19"/>
                <w:szCs w:val="19"/>
              </w:rPr>
              <w:t xml:space="preserve">Filiais</w:t>
            </w:r>
          </w:p>
        </w:tc>
        <w:tc>
          <w:tcPr>
            <w:tcW w:type="dxa" w:w="1700"/>
            <w:tcMar>
              <w:top w:type="dxa" w:w="90"/>
              <w:left w:type="dxa" w:w="110"/>
              <w:bottom w:type="dxa" w:w="90"/>
              <w:right w:type="dxa" w:w="110"/>
            </w:tcMar>
          </w:tcPr>
          <w:p>
            <w:r>
              <w:rPr>
                <w:b w:val="false"/>
                <w:bCs w:val="false"/>
                <w:color w:val="1A1A1A"/>
                <w:sz w:val="19"/>
                <w:szCs w:val="19"/>
              </w:rPr>
              <w:t xml:space="preserve">1</w:t>
            </w:r>
          </w:p>
        </w:tc>
        <w:tc>
          <w:tcPr>
            <w:tcW w:type="dxa" w:w="1700"/>
            <w:tcMar>
              <w:top w:type="dxa" w:w="90"/>
              <w:left w:type="dxa" w:w="110"/>
              <w:bottom w:type="dxa" w:w="90"/>
              <w:right w:type="dxa" w:w="110"/>
            </w:tcMar>
          </w:tcPr>
          <w:p>
            <w:r>
              <w:rPr>
                <w:b w:val="false"/>
                <w:bCs w:val="false"/>
                <w:color w:val="1A1A1A"/>
                <w:sz w:val="19"/>
                <w:szCs w:val="19"/>
              </w:rPr>
              <w:t xml:space="preserve">1</w:t>
            </w:r>
          </w:p>
        </w:tc>
        <w:tc>
          <w:tcPr>
            <w:tcW w:type="dxa" w:w="2900"/>
            <w:tcMar>
              <w:top w:type="dxa" w:w="90"/>
              <w:left w:type="dxa" w:w="110"/>
              <w:bottom w:type="dxa" w:w="90"/>
              <w:right w:type="dxa" w:w="110"/>
            </w:tcMar>
          </w:tcPr>
          <w:p>
            <w:r>
              <w:rPr>
                <w:b w:val="false"/>
                <w:bCs w:val="false"/>
                <w:color w:val="1A1A1A"/>
                <w:sz w:val="19"/>
                <w:szCs w:val="19"/>
              </w:rPr>
              <w:t xml:space="preserve">Até 3 (mais no Enterprise)</w:t>
            </w:r>
          </w:p>
        </w:tc>
      </w:tr>
      <w:tr>
        <w:tc>
          <w:tcPr>
            <w:tcW w:type="dxa" w:w="2900"/>
            <w:tcMar>
              <w:top w:type="dxa" w:w="90"/>
              <w:left w:type="dxa" w:w="110"/>
              <w:bottom w:type="dxa" w:w="90"/>
              <w:right w:type="dxa" w:w="110"/>
            </w:tcMar>
          </w:tcPr>
          <w:p>
            <w:r>
              <w:rPr>
                <w:b w:val="false"/>
                <w:bCs w:val="false"/>
                <w:color w:val="1A1A1A"/>
                <w:sz w:val="19"/>
                <w:szCs w:val="19"/>
              </w:rPr>
              <w:t xml:space="preserve">Estoque completo</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1700"/>
            <w:tcMar>
              <w:top w:type="dxa" w:w="90"/>
              <w:left w:type="dxa" w:w="110"/>
              <w:bottom w:type="dxa" w:w="90"/>
              <w:right w:type="dxa" w:w="110"/>
            </w:tcMar>
          </w:tcPr>
          <w:p>
            <w:r>
              <w:rPr>
                <w:b w:val="false"/>
                <w:bCs w:val="false"/>
                <w:color w:val="1A1A1A"/>
                <w:sz w:val="19"/>
                <w:szCs w:val="19"/>
              </w:rPr>
              <w:t xml:space="preserve">Sim</w:t>
            </w:r>
          </w:p>
        </w:tc>
        <w:tc>
          <w:tcPr>
            <w:tcW w:type="dxa" w:w="2900"/>
            <w:tcMar>
              <w:top w:type="dxa" w:w="90"/>
              <w:left w:type="dxa" w:w="110"/>
              <w:bottom w:type="dxa" w:w="90"/>
              <w:right w:type="dxa" w:w="110"/>
            </w:tcMar>
          </w:tcPr>
          <w:p>
            <w:r>
              <w:rPr>
                <w:b w:val="false"/>
                <w:bCs w:val="false"/>
                <w:color w:val="1A1A1A"/>
                <w:sz w:val="19"/>
                <w:szCs w:val="19"/>
              </w:rPr>
              <w:t xml:space="preserve">Sim</w:t>
            </w:r>
          </w:p>
        </w:tc>
      </w:tr>
      <w:tr>
        <w:tc>
          <w:tcPr>
            <w:tcW w:type="dxa" w:w="2900"/>
            <w:tcMar>
              <w:top w:type="dxa" w:w="90"/>
              <w:left w:type="dxa" w:w="110"/>
              <w:bottom w:type="dxa" w:w="90"/>
              <w:right w:type="dxa" w:w="110"/>
            </w:tcMar>
          </w:tcPr>
          <w:p>
            <w:r>
              <w:rPr>
                <w:b w:val="false"/>
                <w:bCs w:val="false"/>
                <w:color w:val="1A1A1A"/>
                <w:sz w:val="19"/>
                <w:szCs w:val="19"/>
              </w:rPr>
              <w:t xml:space="preserve">Fornecedores e compras</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1700"/>
            <w:tcMar>
              <w:top w:type="dxa" w:w="90"/>
              <w:left w:type="dxa" w:w="110"/>
              <w:bottom w:type="dxa" w:w="90"/>
              <w:right w:type="dxa" w:w="110"/>
            </w:tcMar>
          </w:tcPr>
          <w:p>
            <w:r>
              <w:rPr>
                <w:b w:val="false"/>
                <w:bCs w:val="false"/>
                <w:color w:val="1A1A1A"/>
                <w:sz w:val="19"/>
                <w:szCs w:val="19"/>
              </w:rPr>
              <w:t xml:space="preserve">Sim</w:t>
            </w:r>
          </w:p>
        </w:tc>
        <w:tc>
          <w:tcPr>
            <w:tcW w:type="dxa" w:w="2900"/>
            <w:tcMar>
              <w:top w:type="dxa" w:w="90"/>
              <w:left w:type="dxa" w:w="110"/>
              <w:bottom w:type="dxa" w:w="90"/>
              <w:right w:type="dxa" w:w="110"/>
            </w:tcMar>
          </w:tcPr>
          <w:p>
            <w:r>
              <w:rPr>
                <w:b w:val="false"/>
                <w:bCs w:val="false"/>
                <w:color w:val="1A1A1A"/>
                <w:sz w:val="19"/>
                <w:szCs w:val="19"/>
              </w:rPr>
              <w:t xml:space="preserve">Sim</w:t>
            </w:r>
          </w:p>
        </w:tc>
      </w:tr>
      <w:tr>
        <w:tc>
          <w:tcPr>
            <w:tcW w:type="dxa" w:w="2900"/>
            <w:tcMar>
              <w:top w:type="dxa" w:w="90"/>
              <w:left w:type="dxa" w:w="110"/>
              <w:bottom w:type="dxa" w:w="90"/>
              <w:right w:type="dxa" w:w="110"/>
            </w:tcMar>
          </w:tcPr>
          <w:p>
            <w:r>
              <w:rPr>
                <w:b w:val="false"/>
                <w:bCs w:val="false"/>
                <w:color w:val="1A1A1A"/>
                <w:sz w:val="19"/>
                <w:szCs w:val="19"/>
              </w:rPr>
              <w:t xml:space="preserve">Relatórios avançados (DRE, curva ABC)</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1700"/>
            <w:tcMar>
              <w:top w:type="dxa" w:w="90"/>
              <w:left w:type="dxa" w:w="110"/>
              <w:bottom w:type="dxa" w:w="90"/>
              <w:right w:type="dxa" w:w="110"/>
            </w:tcMar>
          </w:tcPr>
          <w:p>
            <w:r>
              <w:rPr>
                <w:b w:val="false"/>
                <w:bCs w:val="false"/>
                <w:color w:val="1A1A1A"/>
                <w:sz w:val="19"/>
                <w:szCs w:val="19"/>
              </w:rPr>
              <w:t xml:space="preserve">Básicos</w:t>
            </w:r>
          </w:p>
        </w:tc>
        <w:tc>
          <w:tcPr>
            <w:tcW w:type="dxa" w:w="2900"/>
            <w:tcMar>
              <w:top w:type="dxa" w:w="90"/>
              <w:left w:type="dxa" w:w="110"/>
              <w:bottom w:type="dxa" w:w="90"/>
              <w:right w:type="dxa" w:w="110"/>
            </w:tcMar>
          </w:tcPr>
          <w:p>
            <w:r>
              <w:rPr>
                <w:b w:val="false"/>
                <w:bCs w:val="false"/>
                <w:color w:val="1A1A1A"/>
                <w:sz w:val="19"/>
                <w:szCs w:val="19"/>
              </w:rPr>
              <w:t xml:space="preserve">Completos</w:t>
            </w:r>
          </w:p>
        </w:tc>
      </w:tr>
      <w:tr>
        <w:tc>
          <w:tcPr>
            <w:tcW w:type="dxa" w:w="2900"/>
            <w:tcMar>
              <w:top w:type="dxa" w:w="90"/>
              <w:left w:type="dxa" w:w="110"/>
              <w:bottom w:type="dxa" w:w="90"/>
              <w:right w:type="dxa" w:w="110"/>
            </w:tcMar>
          </w:tcPr>
          <w:p>
            <w:r>
              <w:rPr>
                <w:b w:val="false"/>
                <w:bCs w:val="false"/>
                <w:color w:val="1A1A1A"/>
                <w:sz w:val="19"/>
                <w:szCs w:val="19"/>
              </w:rPr>
              <w:t xml:space="preserve">CRM e fidelidade</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2900"/>
            <w:tcMar>
              <w:top w:type="dxa" w:w="90"/>
              <w:left w:type="dxa" w:w="110"/>
              <w:bottom w:type="dxa" w:w="90"/>
              <w:right w:type="dxa" w:w="110"/>
            </w:tcMar>
          </w:tcPr>
          <w:p>
            <w:r>
              <w:rPr>
                <w:b w:val="false"/>
                <w:bCs w:val="false"/>
                <w:color w:val="1A1A1A"/>
                <w:sz w:val="19"/>
                <w:szCs w:val="19"/>
              </w:rPr>
              <w:t xml:space="preserve">Sim (quando disponível)</w:t>
            </w:r>
          </w:p>
        </w:tc>
      </w:tr>
      <w:tr>
        <w:tc>
          <w:tcPr>
            <w:tcW w:type="dxa" w:w="2900"/>
            <w:tcMar>
              <w:top w:type="dxa" w:w="90"/>
              <w:left w:type="dxa" w:w="110"/>
              <w:bottom w:type="dxa" w:w="90"/>
              <w:right w:type="dxa" w:w="110"/>
            </w:tcMar>
          </w:tcPr>
          <w:p>
            <w:r>
              <w:rPr>
                <w:b w:val="false"/>
                <w:bCs w:val="false"/>
                <w:color w:val="1A1A1A"/>
                <w:sz w:val="19"/>
                <w:szCs w:val="19"/>
              </w:rPr>
              <w:t xml:space="preserve">Sugestões de IA</w:t>
            </w:r>
          </w:p>
        </w:tc>
        <w:tc>
          <w:tcPr>
            <w:tcW w:type="dxa" w:w="1700"/>
            <w:tcMar>
              <w:top w:type="dxa" w:w="90"/>
              <w:left w:type="dxa" w:w="110"/>
              <w:bottom w:type="dxa" w:w="90"/>
              <w:right w:type="dxa" w:w="110"/>
            </w:tcMar>
          </w:tcPr>
          <w:p>
            <w:r>
              <w:rPr>
                <w:b w:val="false"/>
                <w:bCs w:val="false"/>
                <w:color w:val="1A1A1A"/>
                <w:sz w:val="19"/>
                <w:szCs w:val="19"/>
              </w:rPr>
              <w:t xml:space="preserve">Não</w:t>
            </w:r>
          </w:p>
        </w:tc>
        <w:tc>
          <w:tcPr>
            <w:tcW w:type="dxa" w:w="1700"/>
            <w:tcMar>
              <w:top w:type="dxa" w:w="90"/>
              <w:left w:type="dxa" w:w="110"/>
              <w:bottom w:type="dxa" w:w="90"/>
              <w:right w:type="dxa" w:w="110"/>
            </w:tcMar>
          </w:tcPr>
          <w:p>
            <w:r>
              <w:rPr>
                <w:b w:val="false"/>
                <w:bCs w:val="false"/>
                <w:color w:val="1A1A1A"/>
                <w:sz w:val="19"/>
                <w:szCs w:val="19"/>
              </w:rPr>
              <w:t xml:space="preserve">Limitadas</w:t>
            </w:r>
          </w:p>
        </w:tc>
        <w:tc>
          <w:tcPr>
            <w:tcW w:type="dxa" w:w="2900"/>
            <w:tcMar>
              <w:top w:type="dxa" w:w="90"/>
              <w:left w:type="dxa" w:w="110"/>
              <w:bottom w:type="dxa" w:w="90"/>
              <w:right w:type="dxa" w:w="110"/>
            </w:tcMar>
          </w:tcPr>
          <w:p>
            <w:r>
              <w:rPr>
                <w:b w:val="false"/>
                <w:bCs w:val="false"/>
                <w:color w:val="1A1A1A"/>
                <w:sz w:val="19"/>
                <w:szCs w:val="19"/>
              </w:rPr>
              <w:t xml:space="preserve">Completas</w:t>
            </w:r>
          </w:p>
        </w:tc>
      </w:tr>
    </w:tbl>
    <w:p>
      <w:pPr>
        <w:pStyle w:val="Heading2"/>
        <w:spacing w:after="140" w:before="320"/>
      </w:pPr>
      <w:r>
        <w:rPr>
          <w:b/>
          <w:bCs/>
          <w:color w:val="B8860B"/>
          <w:sz w:val="26"/>
          <w:szCs w:val="26"/>
        </w:rPr>
        <w:t xml:space="preserve">20.3 Estratégia de Conversão</w:t>
      </w:r>
    </w:p>
    <w:p>
      <w:pPr>
        <w:pStyle w:val="ListParagraph"/>
        <w:numPr>
          <w:ilvl w:val="0"/>
          <w:numId w:val="3"/>
        </w:numPr>
        <w:spacing w:after="70"/>
      </w:pPr>
      <w:r>
        <w:rPr>
          <w:sz w:val="21"/>
          <w:szCs w:val="21"/>
        </w:rPr>
        <w:t xml:space="preserve">Gatilho natural de upgrade: atingir o limite de produtos ou usuários do plano Free/Básico.</w:t>
      </w:r>
    </w:p>
    <w:p>
      <w:pPr>
        <w:pStyle w:val="ListParagraph"/>
        <w:numPr>
          <w:ilvl w:val="0"/>
          <w:numId w:val="3"/>
        </w:numPr>
        <w:spacing w:after="70"/>
      </w:pPr>
      <w:r>
        <w:rPr>
          <w:sz w:val="21"/>
          <w:szCs w:val="21"/>
        </w:rPr>
        <w:t xml:space="preserve">Funcionalidades de IA usadas como diferencial do plano Premium, reforçando percepção de valor sem tornar o plano básico inutilizável.</w:t>
      </w:r>
    </w:p>
    <w:p>
      <w:pPr>
        <w:pStyle w:val="ListParagraph"/>
        <w:numPr>
          <w:ilvl w:val="0"/>
          <w:numId w:val="3"/>
        </w:numPr>
        <w:spacing w:after="70"/>
      </w:pPr>
      <w:r>
        <w:rPr>
          <w:sz w:val="21"/>
          <w:szCs w:val="21"/>
        </w:rPr>
        <w:t xml:space="preserve">Onboarding guiado (Capítulo 6 e padrão MenuFlex) reduz abandono antes mesmo da decisão de upgrade.</w:t>
      </w:r>
    </w:p>
    <w:p>
      <w:pPr>
        <w:pStyle w:val="Heading2"/>
        <w:spacing w:after="140" w:before="320"/>
      </w:pPr>
      <w:r>
        <w:rPr>
          <w:b/>
          <w:bCs/>
          <w:color w:val="B8860B"/>
          <w:sz w:val="26"/>
          <w:szCs w:val="26"/>
        </w:rPr>
        <w:t xml:space="preserve">20.4 Considerações de Custo por Tenant</w:t>
      </w:r>
    </w:p>
    <w:p>
      <w:pPr>
        <w:spacing w:after="140" w:line="300"/>
      </w:pPr>
      <w:r>
        <w:rPr>
          <w:sz w:val="21"/>
          <w:szCs w:val="21"/>
        </w:rPr>
        <w:t xml:space="preserve">Funcionalidades de IA têm custo variável por chamada. O plano de monetização deve considerar esse custo ao definir quais sugestões de IA entram em cada tier, evitando que um tenant do plano Free gere custo de IA superior à receita gerada por ele.</w:t>
      </w:r>
    </w:p>
    <w:p>
      <w:pPr>
        <w:pStyle w:val="Heading2"/>
        <w:spacing w:after="140" w:before="320"/>
      </w:pPr>
      <w:r>
        <w:rPr>
          <w:b/>
          <w:bCs/>
          <w:color w:val="B8860B"/>
          <w:sz w:val="26"/>
          <w:szCs w:val="26"/>
        </w:rPr>
        <w:t xml:space="preserve">20.5 Plano Enterprise (Visão V3)</w:t>
      </w:r>
    </w:p>
    <w:p>
      <w:pPr>
        <w:spacing w:after="140" w:line="300"/>
      </w:pPr>
      <w:r>
        <w:rPr>
          <w:sz w:val="21"/>
          <w:szCs w:val="21"/>
        </w:rPr>
        <w:t xml:space="preserve">Para operações de grande porte, o plano Enterprise é comercializado sob consulta, incluindo: múltiplas filiais sem limite, integrações fiscais/contábeis, suporte dedicado, SLA de disponibilidade diferenciado e customizações pontuais de relatório. Este plano não é construído antes da validação de demanda real vinda dos planos Básico/Premium.</w:t>
      </w:r>
    </w:p>
    <w:p>
      <w:pPr>
        <w:pStyle w:val="Heading1"/>
        <w:pageBreakBefore/>
        <w:pBdr>
          <w:bottom w:val="single" w:color="3FA796" w:sz="6" w:space="8"/>
        </w:pBdr>
        <w:spacing w:after="240" w:before="0"/>
      </w:pPr>
      <w:r>
        <w:rPr>
          <w:b/>
          <w:bCs/>
          <w:color w:val="B8860B"/>
          <w:sz w:val="22"/>
          <w:szCs w:val="22"/>
        </w:rPr>
        <w:t xml:space="preserve">CAPÍTULO 21</w:t>
      </w:r>
      <w:r>
        <w:t xml:space="preserve">  </w:t>
      </w:r>
    </w:p>
    <w:p>
      <w:pPr>
        <w:pStyle w:val="Heading1"/>
        <w:spacing w:after="280" w:before="0"/>
      </w:pPr>
      <w:r>
        <w:rPr>
          <w:b/>
          <w:bCs/>
          <w:color w:val="1A1A1A"/>
          <w:sz w:val="36"/>
          <w:szCs w:val="36"/>
        </w:rPr>
        <w:t xml:space="preserve">Observabilidade e Qualidade Operacional</w:t>
      </w:r>
    </w:p>
    <w:p>
      <w:pPr>
        <w:pStyle w:val="Heading2"/>
        <w:spacing w:after="140" w:before="320"/>
      </w:pPr>
      <w:r>
        <w:rPr>
          <w:b/>
          <w:bCs/>
          <w:color w:val="B8860B"/>
          <w:sz w:val="26"/>
          <w:szCs w:val="26"/>
        </w:rPr>
        <w:t xml:space="preserve">21.1 Objetivo</w:t>
      </w:r>
    </w:p>
    <w:p>
      <w:pPr>
        <w:spacing w:after="140" w:line="300"/>
      </w:pPr>
      <w:r>
        <w:rPr>
          <w:sz w:val="21"/>
          <w:szCs w:val="21"/>
        </w:rPr>
        <w:t xml:space="preserve">Este capítulo detalha, em nível operacional, como a saúde do VendeFlex é observada continuamente em produção — complementando os requisitos não funcionais de monitoramento já definidos no Capítulo 9, com a instrumentação técnica necessária para sustentá-los.</w:t>
      </w:r>
    </w:p>
    <w:p>
      <w:pPr>
        <w:pStyle w:val="Heading2"/>
        <w:spacing w:after="140" w:before="320"/>
      </w:pPr>
      <w:r>
        <w:rPr>
          <w:b/>
          <w:bCs/>
          <w:color w:val="B8860B"/>
          <w:sz w:val="26"/>
          <w:szCs w:val="26"/>
        </w:rPr>
        <w:t xml:space="preserve">21.2 Instrumentação (Logs, Métricas, Tracing)</w:t>
      </w:r>
    </w:p>
    <w:p>
      <w:pPr>
        <w:pStyle w:val="ListParagraph"/>
        <w:numPr>
          <w:ilvl w:val="0"/>
          <w:numId w:val="3"/>
        </w:numPr>
        <w:spacing w:after="70"/>
      </w:pPr>
      <w:r>
        <w:rPr>
          <w:sz w:val="21"/>
          <w:szCs w:val="21"/>
        </w:rPr>
        <w:t xml:space="preserve">Logs estruturados (formato JSON) em todas as rotas de API, com identificador de correlação único por requisição, permitindo rastrear uma ação do frontend até o banco de dados.</w:t>
      </w:r>
    </w:p>
    <w:p>
      <w:pPr>
        <w:pStyle w:val="ListParagraph"/>
        <w:numPr>
          <w:ilvl w:val="0"/>
          <w:numId w:val="3"/>
        </w:numPr>
        <w:spacing w:after="70"/>
      </w:pPr>
      <w:r>
        <w:rPr>
          <w:sz w:val="21"/>
          <w:szCs w:val="21"/>
        </w:rPr>
        <w:t xml:space="preserve">Métricas de aplicação (contadores, histogramas de latência) coletadas por rota crítica: PDV, estoque, autenticação.</w:t>
      </w:r>
    </w:p>
    <w:p>
      <w:pPr>
        <w:pStyle w:val="ListParagraph"/>
        <w:numPr>
          <w:ilvl w:val="0"/>
          <w:numId w:val="3"/>
        </w:numPr>
        <w:spacing w:after="70"/>
      </w:pPr>
      <w:r>
        <w:rPr>
          <w:sz w:val="21"/>
          <w:szCs w:val="21"/>
        </w:rPr>
        <w:t xml:space="preserve">Tracing distribuído via OpenTelemetry, permitindo visualizar o caminho completo de uma requisição através dos serviços envolvidos (frontend, backend, banco, automações n8n).</w:t>
      </w:r>
    </w:p>
    <w:p>
      <w:pPr>
        <w:pStyle w:val="Heading2"/>
        <w:spacing w:after="140" w:before="320"/>
      </w:pPr>
      <w:r>
        <w:rPr>
          <w:b/>
          <w:bCs/>
          <w:color w:val="B8860B"/>
          <w:sz w:val="26"/>
          <w:szCs w:val="26"/>
        </w:rPr>
        <w:t xml:space="preserve">21.3 Health Checks</w:t>
      </w:r>
    </w:p>
    <w:p>
      <w:pPr>
        <w:pStyle w:val="ListParagraph"/>
        <w:numPr>
          <w:ilvl w:val="0"/>
          <w:numId w:val="3"/>
        </w:numPr>
        <w:spacing w:after="70"/>
      </w:pPr>
      <w:r>
        <w:rPr>
          <w:sz w:val="21"/>
          <w:szCs w:val="21"/>
        </w:rPr>
        <w:t xml:space="preserve">Endpoint de health check público (/health) reportando status básico do serviço, usado por ferramentas de monitoramento externo e pelo próprio painel administrativo (Capítulo 19).</w:t>
      </w:r>
    </w:p>
    <w:p>
      <w:pPr>
        <w:pStyle w:val="ListParagraph"/>
        <w:numPr>
          <w:ilvl w:val="0"/>
          <w:numId w:val="3"/>
        </w:numPr>
        <w:spacing w:after="70"/>
      </w:pPr>
      <w:r>
        <w:rPr>
          <w:sz w:val="21"/>
          <w:szCs w:val="21"/>
        </w:rPr>
        <w:t xml:space="preserve">Health check profundo (/health/deep), restrito a uso interno, verificando conectividade com banco de dados, fila de automações e serviço de IA.</w:t>
      </w:r>
    </w:p>
    <w:p>
      <w:pPr>
        <w:pStyle w:val="Heading2"/>
        <w:spacing w:after="140" w:before="320"/>
      </w:pPr>
      <w:r>
        <w:rPr>
          <w:b/>
          <w:bCs/>
          <w:color w:val="B8860B"/>
          <w:sz w:val="26"/>
          <w:szCs w:val="26"/>
        </w:rPr>
        <w:t xml:space="preserve">21.4 Alertas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5700"/>
      </w:tblGrid>
      <w:tr>
        <w:tc>
          <w:tcPr>
            <w:tcW w:type="dxa" w:w="4000"/>
            <w:shd w:fill="1A1A1A" w:val="clear"/>
            <w:tcMar>
              <w:top w:type="dxa" w:w="90"/>
              <w:left w:type="dxa" w:w="110"/>
              <w:bottom w:type="dxa" w:w="90"/>
              <w:right w:type="dxa" w:w="110"/>
            </w:tcMar>
          </w:tcPr>
          <w:p>
            <w:r>
              <w:rPr>
                <w:b/>
                <w:bCs/>
                <w:color w:val="FFFFFF"/>
                <w:sz w:val="19"/>
                <w:szCs w:val="19"/>
              </w:rPr>
              <w:t xml:space="preserve">Condição</w:t>
            </w:r>
          </w:p>
        </w:tc>
        <w:tc>
          <w:tcPr>
            <w:tcW w:type="dxa" w:w="5700"/>
            <w:shd w:fill="1A1A1A" w:val="clear"/>
            <w:tcMar>
              <w:top w:type="dxa" w:w="90"/>
              <w:left w:type="dxa" w:w="110"/>
              <w:bottom w:type="dxa" w:w="90"/>
              <w:right w:type="dxa" w:w="110"/>
            </w:tcMar>
          </w:tcPr>
          <w:p>
            <w:r>
              <w:rPr>
                <w:b/>
                <w:bCs/>
                <w:color w:val="FFFFFF"/>
                <w:sz w:val="19"/>
                <w:szCs w:val="19"/>
              </w:rPr>
              <w:t xml:space="preserve">Ação de alerta</w:t>
            </w:r>
          </w:p>
        </w:tc>
      </w:tr>
      <w:tr>
        <w:tc>
          <w:tcPr>
            <w:tcW w:type="dxa" w:w="4000"/>
            <w:tcMar>
              <w:top w:type="dxa" w:w="90"/>
              <w:left w:type="dxa" w:w="110"/>
              <w:bottom w:type="dxa" w:w="90"/>
              <w:right w:type="dxa" w:w="110"/>
            </w:tcMar>
          </w:tcPr>
          <w:p>
            <w:r>
              <w:rPr>
                <w:b w:val="false"/>
                <w:bCs w:val="false"/>
                <w:color w:val="1A1A1A"/>
                <w:sz w:val="19"/>
                <w:szCs w:val="19"/>
              </w:rPr>
              <w:t xml:space="preserve">Taxa de erro acima de 1% em rota crítica</w:t>
            </w:r>
          </w:p>
        </w:tc>
        <w:tc>
          <w:tcPr>
            <w:tcW w:type="dxa" w:w="5700"/>
            <w:tcMar>
              <w:top w:type="dxa" w:w="90"/>
              <w:left w:type="dxa" w:w="110"/>
              <w:bottom w:type="dxa" w:w="90"/>
              <w:right w:type="dxa" w:w="110"/>
            </w:tcMar>
          </w:tcPr>
          <w:p>
            <w:r>
              <w:rPr>
                <w:b w:val="false"/>
                <w:bCs w:val="false"/>
                <w:color w:val="1A1A1A"/>
                <w:sz w:val="19"/>
                <w:szCs w:val="19"/>
              </w:rPr>
              <w:t xml:space="preserve">Alerta imediato à equipe técnica</w:t>
            </w:r>
          </w:p>
        </w:tc>
      </w:tr>
      <w:tr>
        <w:tc>
          <w:tcPr>
            <w:tcW w:type="dxa" w:w="4000"/>
            <w:tcMar>
              <w:top w:type="dxa" w:w="90"/>
              <w:left w:type="dxa" w:w="110"/>
              <w:bottom w:type="dxa" w:w="90"/>
              <w:right w:type="dxa" w:w="110"/>
            </w:tcMar>
          </w:tcPr>
          <w:p>
            <w:r>
              <w:rPr>
                <w:b w:val="false"/>
                <w:bCs w:val="false"/>
                <w:color w:val="1A1A1A"/>
                <w:sz w:val="19"/>
                <w:szCs w:val="19"/>
              </w:rPr>
              <w:t xml:space="preserve">Tempo de resposta do PDV acima de 1s (p95)</w:t>
            </w:r>
          </w:p>
        </w:tc>
        <w:tc>
          <w:tcPr>
            <w:tcW w:type="dxa" w:w="5700"/>
            <w:tcMar>
              <w:top w:type="dxa" w:w="90"/>
              <w:left w:type="dxa" w:w="110"/>
              <w:bottom w:type="dxa" w:w="90"/>
              <w:right w:type="dxa" w:w="110"/>
            </w:tcMar>
          </w:tcPr>
          <w:p>
            <w:r>
              <w:rPr>
                <w:b w:val="false"/>
                <w:bCs w:val="false"/>
                <w:color w:val="1A1A1A"/>
                <w:sz w:val="19"/>
                <w:szCs w:val="19"/>
              </w:rPr>
              <w:t xml:space="preserve">Alerta imediato à equipe técnica</w:t>
            </w:r>
          </w:p>
        </w:tc>
      </w:tr>
      <w:tr>
        <w:tc>
          <w:tcPr>
            <w:tcW w:type="dxa" w:w="4000"/>
            <w:tcMar>
              <w:top w:type="dxa" w:w="90"/>
              <w:left w:type="dxa" w:w="110"/>
              <w:bottom w:type="dxa" w:w="90"/>
              <w:right w:type="dxa" w:w="110"/>
            </w:tcMar>
          </w:tcPr>
          <w:p>
            <w:r>
              <w:rPr>
                <w:b w:val="false"/>
                <w:bCs w:val="false"/>
                <w:color w:val="1A1A1A"/>
                <w:sz w:val="19"/>
                <w:szCs w:val="19"/>
              </w:rPr>
              <w:t xml:space="preserve">Falha de sincronização offline acima de 5% das tentativas</w:t>
            </w:r>
          </w:p>
        </w:tc>
        <w:tc>
          <w:tcPr>
            <w:tcW w:type="dxa" w:w="5700"/>
            <w:tcMar>
              <w:top w:type="dxa" w:w="90"/>
              <w:left w:type="dxa" w:w="110"/>
              <w:bottom w:type="dxa" w:w="90"/>
              <w:right w:type="dxa" w:w="110"/>
            </w:tcMar>
          </w:tcPr>
          <w:p>
            <w:r>
              <w:rPr>
                <w:b w:val="false"/>
                <w:bCs w:val="false"/>
                <w:color w:val="1A1A1A"/>
                <w:sz w:val="19"/>
                <w:szCs w:val="19"/>
              </w:rPr>
              <w:t xml:space="preserve">Alerta à equipe de suporte</w:t>
            </w:r>
          </w:p>
        </w:tc>
      </w:tr>
      <w:tr>
        <w:tc>
          <w:tcPr>
            <w:tcW w:type="dxa" w:w="4000"/>
            <w:tcMar>
              <w:top w:type="dxa" w:w="90"/>
              <w:left w:type="dxa" w:w="110"/>
              <w:bottom w:type="dxa" w:w="90"/>
              <w:right w:type="dxa" w:w="110"/>
            </w:tcMar>
          </w:tcPr>
          <w:p>
            <w:r>
              <w:rPr>
                <w:b w:val="false"/>
                <w:bCs w:val="false"/>
                <w:color w:val="1A1A1A"/>
                <w:sz w:val="19"/>
                <w:szCs w:val="19"/>
              </w:rPr>
              <w:t xml:space="preserve">Uso de armazenamento de um tenant acima de 90% do limite do plano</w:t>
            </w:r>
          </w:p>
        </w:tc>
        <w:tc>
          <w:tcPr>
            <w:tcW w:type="dxa" w:w="5700"/>
            <w:tcMar>
              <w:top w:type="dxa" w:w="90"/>
              <w:left w:type="dxa" w:w="110"/>
              <w:bottom w:type="dxa" w:w="90"/>
              <w:right w:type="dxa" w:w="110"/>
            </w:tcMar>
          </w:tcPr>
          <w:p>
            <w:r>
              <w:rPr>
                <w:b w:val="false"/>
                <w:bCs w:val="false"/>
                <w:color w:val="1A1A1A"/>
                <w:sz w:val="19"/>
                <w:szCs w:val="19"/>
              </w:rPr>
              <w:t xml:space="preserve">Notificação automática ao tenant e à equipe comercial</w:t>
            </w:r>
          </w:p>
        </w:tc>
      </w:tr>
      <w:tr>
        <w:tc>
          <w:tcPr>
            <w:tcW w:type="dxa" w:w="4000"/>
            <w:tcMar>
              <w:top w:type="dxa" w:w="90"/>
              <w:left w:type="dxa" w:w="110"/>
              <w:bottom w:type="dxa" w:w="90"/>
              <w:right w:type="dxa" w:w="110"/>
            </w:tcMar>
          </w:tcPr>
          <w:p>
            <w:r>
              <w:rPr>
                <w:b w:val="false"/>
                <w:bCs w:val="false"/>
                <w:color w:val="1A1A1A"/>
                <w:sz w:val="19"/>
                <w:szCs w:val="19"/>
              </w:rPr>
              <w:t xml:space="preserve">Falha de health check profundo</w:t>
            </w:r>
          </w:p>
        </w:tc>
        <w:tc>
          <w:tcPr>
            <w:tcW w:type="dxa" w:w="5700"/>
            <w:tcMar>
              <w:top w:type="dxa" w:w="90"/>
              <w:left w:type="dxa" w:w="110"/>
              <w:bottom w:type="dxa" w:w="90"/>
              <w:right w:type="dxa" w:w="110"/>
            </w:tcMar>
          </w:tcPr>
          <w:p>
            <w:r>
              <w:rPr>
                <w:b w:val="false"/>
                <w:bCs w:val="false"/>
                <w:color w:val="1A1A1A"/>
                <w:sz w:val="19"/>
                <w:szCs w:val="19"/>
              </w:rPr>
              <w:t xml:space="preserve">Alerta crítico imediato, prioridade máxima</w:t>
            </w:r>
          </w:p>
        </w:tc>
      </w:tr>
    </w:tbl>
    <w:p>
      <w:pPr>
        <w:pStyle w:val="Heading2"/>
        <w:spacing w:after="140" w:before="320"/>
      </w:pPr>
      <w:r>
        <w:rPr>
          <w:b/>
          <w:bCs/>
          <w:color w:val="B8860B"/>
          <w:sz w:val="26"/>
          <w:szCs w:val="26"/>
        </w:rPr>
        <w:t xml:space="preserve">21.5 Dashboards de Operação</w:t>
      </w:r>
    </w:p>
    <w:p>
      <w:pPr>
        <w:spacing w:after="140" w:line="300"/>
      </w:pPr>
      <w:r>
        <w:rPr>
          <w:sz w:val="21"/>
          <w:szCs w:val="21"/>
        </w:rPr>
        <w:t xml:space="preserve">Dashboards internos (consumidos pela equipe RhoneyInc via o Painel Administrativo, Capítulo 19) consolidam as métricas coletadas em visões por serviço, por tenant e por período, permitindo identificar rapidamente se um problema é sistêmico ou isolado a um tenant específico.</w:t>
      </w:r>
    </w:p>
    <w:p>
      <w:pPr>
        <w:pStyle w:val="Heading2"/>
        <w:spacing w:after="140" w:before="320"/>
      </w:pPr>
      <w:r>
        <w:rPr>
          <w:b/>
          <w:bCs/>
          <w:color w:val="B8860B"/>
          <w:sz w:val="26"/>
          <w:szCs w:val="26"/>
        </w:rPr>
        <w:t xml:space="preserve">21.6 Processo de Resposta a Incidentes</w:t>
      </w:r>
    </w:p>
    <w:p>
      <w:pPr>
        <w:pStyle w:val="ListParagraph"/>
        <w:numPr>
          <w:ilvl w:val="0"/>
          <w:numId w:val="2"/>
        </w:numPr>
        <w:spacing w:after="70"/>
      </w:pPr>
      <w:r>
        <w:rPr>
          <w:sz w:val="21"/>
          <w:szCs w:val="21"/>
        </w:rPr>
        <w:t xml:space="preserve">Detecção — via alerta automático ou reporte de tenant</w:t>
      </w:r>
    </w:p>
    <w:p>
      <w:pPr>
        <w:pStyle w:val="ListParagraph"/>
        <w:numPr>
          <w:ilvl w:val="0"/>
          <w:numId w:val="2"/>
        </w:numPr>
        <w:spacing w:after="70"/>
      </w:pPr>
      <w:r>
        <w:rPr>
          <w:sz w:val="21"/>
          <w:szCs w:val="21"/>
        </w:rPr>
        <w:t xml:space="preserve">Triagem — classificação de severidade (crítico, alto, médio, baixo)</w:t>
      </w:r>
    </w:p>
    <w:p>
      <w:pPr>
        <w:pStyle w:val="ListParagraph"/>
        <w:numPr>
          <w:ilvl w:val="0"/>
          <w:numId w:val="2"/>
        </w:numPr>
        <w:spacing w:after="70"/>
      </w:pPr>
      <w:r>
        <w:rPr>
          <w:sz w:val="21"/>
          <w:szCs w:val="21"/>
        </w:rPr>
        <w:t xml:space="preserve">Mitigação — ação imediata para restaurar o serviço, mesmo que temporária</w:t>
      </w:r>
    </w:p>
    <w:p>
      <w:pPr>
        <w:pStyle w:val="ListParagraph"/>
        <w:numPr>
          <w:ilvl w:val="0"/>
          <w:numId w:val="2"/>
        </w:numPr>
        <w:spacing w:after="70"/>
      </w:pPr>
      <w:r>
        <w:rPr>
          <w:sz w:val="21"/>
          <w:szCs w:val="21"/>
        </w:rPr>
        <w:t xml:space="preserve">Correção definitiva — identificação e resolução da causa raiz</w:t>
      </w:r>
    </w:p>
    <w:p>
      <w:pPr>
        <w:pStyle w:val="ListParagraph"/>
        <w:numPr>
          <w:ilvl w:val="0"/>
          <w:numId w:val="2"/>
        </w:numPr>
        <w:spacing w:after="70"/>
      </w:pPr>
      <w:r>
        <w:rPr>
          <w:sz w:val="21"/>
          <w:szCs w:val="21"/>
        </w:rPr>
        <w:t xml:space="preserve">Post-mortem — registro do incidente, causa e ações preventivas, para incidentes de severidade crítica ou alta</w:t>
      </w:r>
    </w:p>
    <w:p>
      <w:pPr>
        <w:pStyle w:val="Heading2"/>
        <w:spacing w:after="140" w:before="320"/>
      </w:pPr>
      <w:r>
        <w:rPr>
          <w:b/>
          <w:bCs/>
          <w:color w:val="B8860B"/>
          <w:sz w:val="26"/>
          <w:szCs w:val="26"/>
        </w:rPr>
        <w:t xml:space="preserve">21.7 Requisitos Funcionais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700"/>
      </w:tblGrid>
      <w:tr>
        <w:tc>
          <w:tcPr>
            <w:tcW w:type="dxa" w:w="2100"/>
            <w:shd w:fill="1A1A1A" w:val="clear"/>
            <w:tcMar>
              <w:top w:type="dxa" w:w="90"/>
              <w:left w:type="dxa" w:w="110"/>
              <w:bottom w:type="dxa" w:w="90"/>
              <w:right w:type="dxa" w:w="110"/>
            </w:tcMar>
          </w:tcPr>
          <w:p>
            <w:r>
              <w:rPr>
                <w:b/>
                <w:bCs/>
                <w:color w:val="FFFFFF"/>
                <w:sz w:val="19"/>
                <w:szCs w:val="19"/>
              </w:rPr>
              <w:t xml:space="preserve">ID</w:t>
            </w:r>
          </w:p>
        </w:tc>
        <w:tc>
          <w:tcPr>
            <w:tcW w:type="dxa" w:w="5300"/>
            <w:shd w:fill="1A1A1A" w:val="clear"/>
            <w:tcMar>
              <w:top w:type="dxa" w:w="90"/>
              <w:left w:type="dxa" w:w="110"/>
              <w:bottom w:type="dxa" w:w="90"/>
              <w:right w:type="dxa" w:w="110"/>
            </w:tcMar>
          </w:tcPr>
          <w:p>
            <w:r>
              <w:rPr>
                <w:b/>
                <w:bCs/>
                <w:color w:val="FFFFFF"/>
                <w:sz w:val="19"/>
                <w:szCs w:val="19"/>
              </w:rPr>
              <w:t xml:space="preserve">Requisito</w:t>
            </w:r>
          </w:p>
        </w:tc>
        <w:tc>
          <w:tcPr>
            <w:tcW w:type="dxa" w:w="1700"/>
            <w:shd w:fill="1A1A1A" w:val="clear"/>
            <w:tcMar>
              <w:top w:type="dxa" w:w="90"/>
              <w:left w:type="dxa" w:w="110"/>
              <w:bottom w:type="dxa" w:w="90"/>
              <w:right w:type="dxa" w:w="110"/>
            </w:tcMar>
          </w:tcPr>
          <w:p>
            <w:r>
              <w:rPr>
                <w:b/>
                <w:bCs/>
                <w:color w:val="FFFFFF"/>
                <w:sz w:val="19"/>
                <w:szCs w:val="19"/>
              </w:rPr>
              <w:t xml:space="preserve">Fase</w:t>
            </w:r>
          </w:p>
        </w:tc>
      </w:tr>
      <w:tr>
        <w:tc>
          <w:tcPr>
            <w:tcW w:type="dxa" w:w="2100"/>
            <w:tcMar>
              <w:top w:type="dxa" w:w="90"/>
              <w:left w:type="dxa" w:w="110"/>
              <w:bottom w:type="dxa" w:w="90"/>
              <w:right w:type="dxa" w:w="110"/>
            </w:tcMar>
          </w:tcPr>
          <w:p>
            <w:r>
              <w:rPr>
                <w:b w:val="false"/>
                <w:bCs w:val="false"/>
                <w:color w:val="1A1A1A"/>
                <w:sz w:val="19"/>
                <w:szCs w:val="19"/>
              </w:rPr>
              <w:t xml:space="preserve">RF-OBS-01</w:t>
            </w:r>
          </w:p>
        </w:tc>
        <w:tc>
          <w:tcPr>
            <w:tcW w:type="dxa" w:w="5300"/>
            <w:tcMar>
              <w:top w:type="dxa" w:w="90"/>
              <w:left w:type="dxa" w:w="110"/>
              <w:bottom w:type="dxa" w:w="90"/>
              <w:right w:type="dxa" w:w="110"/>
            </w:tcMar>
          </w:tcPr>
          <w:p>
            <w:r>
              <w:rPr>
                <w:b w:val="false"/>
                <w:bCs w:val="false"/>
                <w:color w:val="1A1A1A"/>
                <w:sz w:val="19"/>
                <w:szCs w:val="19"/>
              </w:rPr>
              <w:t xml:space="preserve">Logs estruturados com identificador de correlação por requisição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RF-OBS-02</w:t>
            </w:r>
          </w:p>
        </w:tc>
        <w:tc>
          <w:tcPr>
            <w:tcW w:type="dxa" w:w="5300"/>
            <w:tcMar>
              <w:top w:type="dxa" w:w="90"/>
              <w:left w:type="dxa" w:w="110"/>
              <w:bottom w:type="dxa" w:w="90"/>
              <w:right w:type="dxa" w:w="110"/>
            </w:tcMar>
          </w:tcPr>
          <w:p>
            <w:r>
              <w:rPr>
                <w:b w:val="false"/>
                <w:bCs w:val="false"/>
                <w:color w:val="1A1A1A"/>
                <w:sz w:val="19"/>
                <w:szCs w:val="19"/>
              </w:rPr>
              <w:t xml:space="preserve">Health check público e profundo</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RF-OBS-03</w:t>
            </w:r>
          </w:p>
        </w:tc>
        <w:tc>
          <w:tcPr>
            <w:tcW w:type="dxa" w:w="5300"/>
            <w:tcMar>
              <w:top w:type="dxa" w:w="90"/>
              <w:left w:type="dxa" w:w="110"/>
              <w:bottom w:type="dxa" w:w="90"/>
              <w:right w:type="dxa" w:w="110"/>
            </w:tcMar>
          </w:tcPr>
          <w:p>
            <w:r>
              <w:rPr>
                <w:b w:val="false"/>
                <w:bCs w:val="false"/>
                <w:color w:val="1A1A1A"/>
                <w:sz w:val="19"/>
                <w:szCs w:val="19"/>
              </w:rPr>
              <w:t xml:space="preserve">Métricas de latência e taxa de erro por rota crítica</w:t>
            </w:r>
          </w:p>
        </w:tc>
        <w:tc>
          <w:tcPr>
            <w:tcW w:type="dxa" w:w="1700"/>
            <w:tcMar>
              <w:top w:type="dxa" w:w="90"/>
              <w:left w:type="dxa" w:w="110"/>
              <w:bottom w:type="dxa" w:w="90"/>
              <w:right w:type="dxa" w:w="110"/>
            </w:tcMar>
          </w:tcPr>
          <w:p>
            <w:r>
              <w:rPr>
                <w:b w:val="false"/>
                <w:bCs w:val="false"/>
                <w:color w:val="1A1A1A"/>
                <w:sz w:val="19"/>
                <w:szCs w:val="19"/>
              </w:rPr>
              <w:t xml:space="preserve">MVP</w:t>
            </w:r>
          </w:p>
        </w:tc>
      </w:tr>
      <w:tr>
        <w:tc>
          <w:tcPr>
            <w:tcW w:type="dxa" w:w="2100"/>
            <w:tcMar>
              <w:top w:type="dxa" w:w="90"/>
              <w:left w:type="dxa" w:w="110"/>
              <w:bottom w:type="dxa" w:w="90"/>
              <w:right w:type="dxa" w:w="110"/>
            </w:tcMar>
          </w:tcPr>
          <w:p>
            <w:r>
              <w:rPr>
                <w:b w:val="false"/>
                <w:bCs w:val="false"/>
                <w:color w:val="1A1A1A"/>
                <w:sz w:val="19"/>
                <w:szCs w:val="19"/>
              </w:rPr>
              <w:t xml:space="preserve">RF-OBS-04</w:t>
            </w:r>
          </w:p>
        </w:tc>
        <w:tc>
          <w:tcPr>
            <w:tcW w:type="dxa" w:w="5300"/>
            <w:tcMar>
              <w:top w:type="dxa" w:w="90"/>
              <w:left w:type="dxa" w:w="110"/>
              <w:bottom w:type="dxa" w:w="90"/>
              <w:right w:type="dxa" w:w="110"/>
            </w:tcMar>
          </w:tcPr>
          <w:p>
            <w:r>
              <w:rPr>
                <w:b w:val="false"/>
                <w:bCs w:val="false"/>
                <w:color w:val="1A1A1A"/>
                <w:sz w:val="19"/>
                <w:szCs w:val="19"/>
              </w:rPr>
              <w:t xml:space="preserve">Tracing distribuído via OpenTelemetry</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RF-OBS-05</w:t>
            </w:r>
          </w:p>
        </w:tc>
        <w:tc>
          <w:tcPr>
            <w:tcW w:type="dxa" w:w="5300"/>
            <w:tcMar>
              <w:top w:type="dxa" w:w="90"/>
              <w:left w:type="dxa" w:w="110"/>
              <w:bottom w:type="dxa" w:w="90"/>
              <w:right w:type="dxa" w:w="110"/>
            </w:tcMar>
          </w:tcPr>
          <w:p>
            <w:r>
              <w:rPr>
                <w:b w:val="false"/>
                <w:bCs w:val="false"/>
                <w:color w:val="1A1A1A"/>
                <w:sz w:val="19"/>
                <w:szCs w:val="19"/>
              </w:rPr>
              <w:t xml:space="preserve">Alertas automáticos configuráveis por condição</w:t>
            </w:r>
          </w:p>
        </w:tc>
        <w:tc>
          <w:tcPr>
            <w:tcW w:type="dxa" w:w="1700"/>
            <w:tcMar>
              <w:top w:type="dxa" w:w="90"/>
              <w:left w:type="dxa" w:w="110"/>
              <w:bottom w:type="dxa" w:w="90"/>
              <w:right w:type="dxa" w:w="110"/>
            </w:tcMar>
          </w:tcPr>
          <w:p>
            <w:r>
              <w:rPr>
                <w:b w:val="false"/>
                <w:bCs w:val="false"/>
                <w:color w:val="1A1A1A"/>
                <w:sz w:val="19"/>
                <w:szCs w:val="19"/>
              </w:rPr>
              <w:t xml:space="preserve">V2</w:t>
            </w:r>
          </w:p>
        </w:tc>
      </w:tr>
      <w:tr>
        <w:tc>
          <w:tcPr>
            <w:tcW w:type="dxa" w:w="2100"/>
            <w:tcMar>
              <w:top w:type="dxa" w:w="90"/>
              <w:left w:type="dxa" w:w="110"/>
              <w:bottom w:type="dxa" w:w="90"/>
              <w:right w:type="dxa" w:w="110"/>
            </w:tcMar>
          </w:tcPr>
          <w:p>
            <w:r>
              <w:rPr>
                <w:b w:val="false"/>
                <w:bCs w:val="false"/>
                <w:color w:val="1A1A1A"/>
                <w:sz w:val="19"/>
                <w:szCs w:val="19"/>
              </w:rPr>
              <w:t xml:space="preserve">RF-OBS-06</w:t>
            </w:r>
          </w:p>
        </w:tc>
        <w:tc>
          <w:tcPr>
            <w:tcW w:type="dxa" w:w="5300"/>
            <w:tcMar>
              <w:top w:type="dxa" w:w="90"/>
              <w:left w:type="dxa" w:w="110"/>
              <w:bottom w:type="dxa" w:w="90"/>
              <w:right w:type="dxa" w:w="110"/>
            </w:tcMar>
          </w:tcPr>
          <w:p>
            <w:r>
              <w:rPr>
                <w:b w:val="false"/>
                <w:bCs w:val="false"/>
                <w:color w:val="1A1A1A"/>
                <w:sz w:val="19"/>
                <w:szCs w:val="19"/>
              </w:rPr>
              <w:t xml:space="preserve">Dashboards de operação integrados ao Painel Administrativo</w:t>
            </w:r>
          </w:p>
        </w:tc>
        <w:tc>
          <w:tcPr>
            <w:tcW w:type="dxa" w:w="1700"/>
            <w:tcMar>
              <w:top w:type="dxa" w:w="90"/>
              <w:left w:type="dxa" w:w="110"/>
              <w:bottom w:type="dxa" w:w="90"/>
              <w:right w:type="dxa" w:w="110"/>
            </w:tcMar>
          </w:tcPr>
          <w:p>
            <w:r>
              <w:rPr>
                <w:b w:val="false"/>
                <w:bCs w:val="false"/>
                <w:color w:val="1A1A1A"/>
                <w:sz w:val="19"/>
                <w:szCs w:val="19"/>
              </w:rPr>
              <w:t xml:space="preserve">V2</w:t>
            </w:r>
          </w:p>
        </w:tc>
      </w:tr>
    </w:tbl>
    <w:p>
      <w:pPr>
        <w:pStyle w:val="Heading1"/>
        <w:pageBreakBefore/>
        <w:pBdr>
          <w:bottom w:val="single" w:color="3FA796" w:sz="6" w:space="8"/>
        </w:pBdr>
        <w:spacing w:after="240" w:before="0"/>
      </w:pPr>
      <w:r>
        <w:rPr>
          <w:b/>
          <w:bCs/>
          <w:color w:val="B8860B"/>
          <w:sz w:val="22"/>
          <w:szCs w:val="22"/>
        </w:rPr>
        <w:t xml:space="preserve">CAPÍTULO 22</w:t>
      </w:r>
      <w:r>
        <w:t xml:space="preserve">  </w:t>
      </w:r>
    </w:p>
    <w:p>
      <w:pPr>
        <w:pStyle w:val="Heading1"/>
        <w:spacing w:after="280" w:before="0"/>
      </w:pPr>
      <w:r>
        <w:rPr>
          <w:b/>
          <w:bCs/>
          <w:color w:val="1A1A1A"/>
          <w:sz w:val="36"/>
          <w:szCs w:val="36"/>
        </w:rPr>
        <w:t xml:space="preserve">Roadmap</w:t>
      </w:r>
    </w:p>
    <w:p>
      <w:pPr>
        <w:pStyle w:val="Heading2"/>
        <w:spacing w:after="140" w:before="320"/>
      </w:pPr>
      <w:r>
        <w:rPr>
          <w:b/>
          <w:bCs/>
          <w:color w:val="B8860B"/>
          <w:sz w:val="26"/>
          <w:szCs w:val="26"/>
        </w:rPr>
        <w:t xml:space="preserve">22.1 Visão Geral das Fases</w:t>
      </w:r>
    </w:p>
    <w:p>
      <w:pPr>
        <w:spacing w:after="140" w:line="300"/>
      </w:pPr>
      <w:r>
        <w:rPr>
          <w:sz w:val="21"/>
          <w:szCs w:val="21"/>
        </w:rPr>
        <w:t xml:space="preserve">O roadmap é dividido em três fases macro. Cada fase só é iniciada após os critérios de entrega da fase anterior estarem cumpridos, seguindo o princípio de evolução sem quebra estabelecido no Capítulo 1.</w:t>
      </w:r>
    </w:p>
    <w:p>
      <w:pPr>
        <w:pStyle w:val="Heading2"/>
        <w:spacing w:after="140" w:before="320"/>
      </w:pPr>
      <w:r>
        <w:rPr>
          <w:b/>
          <w:bCs/>
          <w:color w:val="B8860B"/>
          <w:sz w:val="26"/>
          <w:szCs w:val="26"/>
        </w:rPr>
        <w:t xml:space="preserve">22.2 MVP — Núcleo Comercial</w:t>
      </w:r>
    </w:p>
    <w:p>
      <w:pPr>
        <w:spacing w:after="90"/>
      </w:pPr>
      <w:r>
        <w:rPr>
          <w:b/>
          <w:bCs/>
          <w:sz w:val="21"/>
          <w:szCs w:val="21"/>
        </w:rPr>
        <w:t xml:space="preserve">Objetivo: </w:t>
      </w:r>
      <w:r>
        <w:rPr>
          <w:sz w:val="21"/>
          <w:szCs w:val="21"/>
        </w:rPr>
        <w:t xml:space="preserve">Validar o uso real do sistema no dia a dia de um pequeno negócio, com confiabilidade total nos dados de estoque e caixa</w:t>
      </w:r>
    </w:p>
    <w:p>
      <w:pPr>
        <w:spacing w:after="140" w:line="300"/>
      </w:pPr>
      <w:r>
        <w:rPr>
          <w:sz w:val="21"/>
          <w:szCs w:val="21"/>
        </w:rPr>
        <w:t xml:space="preserve">Funcionalidades incluídas:</w:t>
      </w:r>
    </w:p>
    <w:p>
      <w:pPr>
        <w:pStyle w:val="ListParagraph"/>
        <w:numPr>
          <w:ilvl w:val="0"/>
          <w:numId w:val="3"/>
        </w:numPr>
        <w:spacing w:after="70"/>
      </w:pPr>
      <w:r>
        <w:rPr>
          <w:sz w:val="21"/>
          <w:szCs w:val="21"/>
        </w:rPr>
        <w:t xml:space="preserve">Produtos, Categorias, Marcas</w:t>
      </w:r>
    </w:p>
    <w:p>
      <w:pPr>
        <w:pStyle w:val="ListParagraph"/>
        <w:numPr>
          <w:ilvl w:val="0"/>
          <w:numId w:val="3"/>
        </w:numPr>
        <w:spacing w:after="70"/>
      </w:pPr>
      <w:r>
        <w:rPr>
          <w:sz w:val="21"/>
          <w:szCs w:val="21"/>
        </w:rPr>
        <w:t xml:space="preserve">Fornecedores e Compras (fluxo básico)</w:t>
      </w:r>
    </w:p>
    <w:p>
      <w:pPr>
        <w:pStyle w:val="ListParagraph"/>
        <w:numPr>
          <w:ilvl w:val="0"/>
          <w:numId w:val="3"/>
        </w:numPr>
        <w:spacing w:after="70"/>
      </w:pPr>
      <w:r>
        <w:rPr>
          <w:sz w:val="21"/>
          <w:szCs w:val="21"/>
        </w:rPr>
        <w:t xml:space="preserve">Estoque com decremento automático na venda e leitor de código de barras</w:t>
      </w:r>
    </w:p>
    <w:p>
      <w:pPr>
        <w:pStyle w:val="ListParagraph"/>
        <w:numPr>
          <w:ilvl w:val="0"/>
          <w:numId w:val="3"/>
        </w:numPr>
        <w:spacing w:after="70"/>
      </w:pPr>
      <w:r>
        <w:rPr>
          <w:sz w:val="21"/>
          <w:szCs w:val="21"/>
        </w:rPr>
        <w:t xml:space="preserve">PDV / Vendas e Caixa completos</w:t>
      </w:r>
    </w:p>
    <w:p>
      <w:pPr>
        <w:pStyle w:val="ListParagraph"/>
        <w:numPr>
          <w:ilvl w:val="0"/>
          <w:numId w:val="3"/>
        </w:numPr>
        <w:spacing w:after="70"/>
      </w:pPr>
      <w:r>
        <w:rPr>
          <w:sz w:val="21"/>
          <w:szCs w:val="21"/>
        </w:rPr>
        <w:t xml:space="preserve">Financeiro básico (lucro, perda, margem)</w:t>
      </w:r>
    </w:p>
    <w:p>
      <w:pPr>
        <w:pStyle w:val="ListParagraph"/>
        <w:numPr>
          <w:ilvl w:val="0"/>
          <w:numId w:val="3"/>
        </w:numPr>
        <w:spacing w:after="70"/>
      </w:pPr>
      <w:r>
        <w:rPr>
          <w:sz w:val="21"/>
          <w:szCs w:val="21"/>
        </w:rPr>
        <w:t xml:space="preserve">Relatórios básicos de vendas e giro de estoque</w:t>
      </w:r>
    </w:p>
    <w:p>
      <w:pPr>
        <w:pStyle w:val="ListParagraph"/>
        <w:numPr>
          <w:ilvl w:val="0"/>
          <w:numId w:val="3"/>
        </w:numPr>
        <w:spacing w:after="70"/>
      </w:pPr>
      <w:r>
        <w:rPr>
          <w:sz w:val="21"/>
          <w:szCs w:val="21"/>
        </w:rPr>
        <w:t xml:space="preserve">Permissões por papel e auditoria básica</w:t>
      </w:r>
    </w:p>
    <w:p>
      <w:pPr>
        <w:pStyle w:val="ListParagraph"/>
        <w:numPr>
          <w:ilvl w:val="0"/>
          <w:numId w:val="3"/>
        </w:numPr>
        <w:spacing w:after="70"/>
      </w:pPr>
      <w:r>
        <w:rPr>
          <w:sz w:val="21"/>
          <w:szCs w:val="21"/>
        </w:rPr>
        <w:t xml:space="preserve">Login único via hub RhoneyInc (Capítulo 3)</w:t>
      </w:r>
    </w:p>
    <w:p>
      <w:pPr>
        <w:pStyle w:val="ListParagraph"/>
        <w:numPr>
          <w:ilvl w:val="0"/>
          <w:numId w:val="3"/>
        </w:numPr>
        <w:spacing w:after="70"/>
      </w:pPr>
      <w:r>
        <w:rPr>
          <w:sz w:val="21"/>
          <w:szCs w:val="21"/>
        </w:rPr>
        <w:t xml:space="preserve">Cadastro Inteligente por Segmento (Capítulo 5)</w:t>
      </w:r>
    </w:p>
    <w:p>
      <w:pPr>
        <w:pStyle w:val="ListParagraph"/>
        <w:numPr>
          <w:ilvl w:val="0"/>
          <w:numId w:val="3"/>
        </w:numPr>
        <w:spacing w:after="70"/>
      </w:pPr>
      <w:r>
        <w:rPr>
          <w:sz w:val="21"/>
          <w:szCs w:val="21"/>
        </w:rPr>
        <w:t xml:space="preserve">Onboarding Inteligente com regra dos 75% (Capítulo 6)</w:t>
      </w:r>
    </w:p>
    <w:p>
      <w:pPr>
        <w:pStyle w:val="ListParagraph"/>
        <w:numPr>
          <w:ilvl w:val="0"/>
          <w:numId w:val="3"/>
        </w:numPr>
        <w:spacing w:after="70"/>
      </w:pPr>
      <w:r>
        <w:rPr>
          <w:sz w:val="21"/>
          <w:szCs w:val="21"/>
        </w:rPr>
        <w:t xml:space="preserve">Dashboard Executivo com indicadores essenciais (Capítulo 8)</w:t>
      </w:r>
    </w:p>
    <w:p>
      <w:pPr>
        <w:pStyle w:val="ListParagraph"/>
        <w:numPr>
          <w:ilvl w:val="0"/>
          <w:numId w:val="3"/>
        </w:numPr>
        <w:spacing w:after="70"/>
      </w:pPr>
      <w:r>
        <w:rPr>
          <w:sz w:val="21"/>
          <w:szCs w:val="21"/>
        </w:rPr>
        <w:t xml:space="preserve">Painel Administrativo RhoneyInc — versão inicial de suporte (Capítulo 19)</w:t>
      </w:r>
    </w:p>
    <w:p>
      <w:pPr>
        <w:spacing w:after="140" w:line="300"/>
      </w:pPr>
      <w:r>
        <w:rPr>
          <w:sz w:val="21"/>
          <w:szCs w:val="21"/>
        </w:rPr>
        <w:t xml:space="preserve">Critérios de entrega:</w:t>
      </w:r>
    </w:p>
    <w:p>
      <w:pPr>
        <w:pStyle w:val="ListParagraph"/>
        <w:numPr>
          <w:ilvl w:val="0"/>
          <w:numId w:val="3"/>
        </w:numPr>
        <w:spacing w:after="70"/>
      </w:pPr>
      <w:r>
        <w:rPr>
          <w:sz w:val="21"/>
          <w:szCs w:val="21"/>
        </w:rPr>
        <w:t xml:space="preserve">Zero divergência entre estoque registrado e estoque físico em teste piloto controlado</w:t>
      </w:r>
    </w:p>
    <w:p>
      <w:pPr>
        <w:pStyle w:val="ListParagraph"/>
        <w:numPr>
          <w:ilvl w:val="0"/>
          <w:numId w:val="3"/>
        </w:numPr>
        <w:spacing w:after="70"/>
      </w:pPr>
      <w:r>
        <w:rPr>
          <w:sz w:val="21"/>
          <w:szCs w:val="21"/>
        </w:rPr>
        <w:t xml:space="preserve">Fluxo completo de venda (abrir caixa, vender, fechar caixa) executável em menos de 3 cliques por item vendido</w:t>
      </w:r>
    </w:p>
    <w:p>
      <w:pPr>
        <w:pStyle w:val="ListParagraph"/>
        <w:numPr>
          <w:ilvl w:val="0"/>
          <w:numId w:val="3"/>
        </w:numPr>
        <w:spacing w:after="70"/>
      </w:pPr>
      <w:r>
        <w:rPr>
          <w:sz w:val="21"/>
          <w:szCs w:val="21"/>
        </w:rPr>
        <w:t xml:space="preserve">RLS validado em 100% das tabelas de negócio</w:t>
      </w:r>
    </w:p>
    <w:p>
      <w:pPr>
        <w:pStyle w:val="Heading2"/>
        <w:spacing w:after="140" w:before="320"/>
      </w:pPr>
      <w:r>
        <w:rPr>
          <w:b/>
          <w:bCs/>
          <w:color w:val="B8860B"/>
          <w:sz w:val="26"/>
          <w:szCs w:val="26"/>
        </w:rPr>
        <w:t xml:space="preserve">22.3 Versão 2 — Gestão Avançada</w:t>
      </w:r>
    </w:p>
    <w:p>
      <w:pPr>
        <w:spacing w:after="90"/>
      </w:pPr>
      <w:r>
        <w:rPr>
          <w:b/>
          <w:bCs/>
          <w:sz w:val="21"/>
          <w:szCs w:val="21"/>
        </w:rPr>
        <w:t xml:space="preserve">Objetivo: </w:t>
      </w:r>
      <w:r>
        <w:rPr>
          <w:sz w:val="21"/>
          <w:szCs w:val="21"/>
        </w:rPr>
        <w:t xml:space="preserve">Atender negócios em crescimento, com múltiplas filiais e necessidade de gestão financeira mais completa</w:t>
      </w:r>
    </w:p>
    <w:p>
      <w:pPr>
        <w:spacing w:after="140" w:line="300"/>
      </w:pPr>
      <w:r>
        <w:rPr>
          <w:sz w:val="21"/>
          <w:szCs w:val="21"/>
        </w:rPr>
        <w:t xml:space="preserve">Funcionalidades incluídas:</w:t>
      </w:r>
    </w:p>
    <w:p>
      <w:pPr>
        <w:pStyle w:val="ListParagraph"/>
        <w:numPr>
          <w:ilvl w:val="0"/>
          <w:numId w:val="3"/>
        </w:numPr>
        <w:spacing w:after="70"/>
      </w:pPr>
      <w:r>
        <w:rPr>
          <w:sz w:val="21"/>
          <w:szCs w:val="21"/>
        </w:rPr>
        <w:t xml:space="preserve">Inventário (contagem cíclica) e Transferências entre filiais</w:t>
      </w:r>
    </w:p>
    <w:p>
      <w:pPr>
        <w:pStyle w:val="ListParagraph"/>
        <w:numPr>
          <w:ilvl w:val="0"/>
          <w:numId w:val="3"/>
        </w:numPr>
        <w:spacing w:after="70"/>
      </w:pPr>
      <w:r>
        <w:rPr>
          <w:sz w:val="21"/>
          <w:szCs w:val="21"/>
        </w:rPr>
        <w:t xml:space="preserve">Contas a pagar/receber e Fluxo de caixa projetado</w:t>
      </w:r>
    </w:p>
    <w:p>
      <w:pPr>
        <w:pStyle w:val="ListParagraph"/>
        <w:numPr>
          <w:ilvl w:val="0"/>
          <w:numId w:val="3"/>
        </w:numPr>
        <w:spacing w:after="70"/>
      </w:pPr>
      <w:r>
        <w:rPr>
          <w:sz w:val="21"/>
          <w:szCs w:val="21"/>
        </w:rPr>
        <w:t xml:space="preserve">Metas e Comissões</w:t>
      </w:r>
    </w:p>
    <w:p>
      <w:pPr>
        <w:pStyle w:val="ListParagraph"/>
        <w:numPr>
          <w:ilvl w:val="0"/>
          <w:numId w:val="3"/>
        </w:numPr>
        <w:spacing w:after="70"/>
      </w:pPr>
      <w:r>
        <w:rPr>
          <w:sz w:val="21"/>
          <w:szCs w:val="21"/>
        </w:rPr>
        <w:t xml:space="preserve">CRM e Clientes</w:t>
      </w:r>
    </w:p>
    <w:p>
      <w:pPr>
        <w:pStyle w:val="ListParagraph"/>
        <w:numPr>
          <w:ilvl w:val="0"/>
          <w:numId w:val="3"/>
        </w:numPr>
        <w:spacing w:after="70"/>
      </w:pPr>
      <w:r>
        <w:rPr>
          <w:sz w:val="21"/>
          <w:szCs w:val="21"/>
        </w:rPr>
        <w:t xml:space="preserve">Relatórios avançados (DRE simplificado, curva ABC)</w:t>
      </w:r>
    </w:p>
    <w:p>
      <w:pPr>
        <w:pStyle w:val="ListParagraph"/>
        <w:numPr>
          <w:ilvl w:val="0"/>
          <w:numId w:val="3"/>
        </w:numPr>
        <w:spacing w:after="70"/>
      </w:pPr>
      <w:r>
        <w:rPr>
          <w:sz w:val="21"/>
          <w:szCs w:val="21"/>
        </w:rPr>
        <w:t xml:space="preserve">Sugestões de IA: categoria, preço, fornecedor, previsão de estoque (Capítulo 13)</w:t>
      </w:r>
    </w:p>
    <w:p>
      <w:pPr>
        <w:pStyle w:val="ListParagraph"/>
        <w:numPr>
          <w:ilvl w:val="0"/>
          <w:numId w:val="3"/>
        </w:numPr>
        <w:spacing w:after="70"/>
      </w:pPr>
      <w:r>
        <w:rPr>
          <w:sz w:val="21"/>
          <w:szCs w:val="21"/>
        </w:rPr>
        <w:t xml:space="preserve">Modo Offline no PDV (Capítulo 10)</w:t>
      </w:r>
    </w:p>
    <w:p>
      <w:pPr>
        <w:pStyle w:val="ListParagraph"/>
        <w:numPr>
          <w:ilvl w:val="0"/>
          <w:numId w:val="3"/>
        </w:numPr>
        <w:spacing w:after="70"/>
      </w:pPr>
      <w:r>
        <w:rPr>
          <w:sz w:val="21"/>
          <w:szCs w:val="21"/>
        </w:rPr>
        <w:t xml:space="preserve">Centro de Automações via n8n (Capítulo 16)</w:t>
      </w:r>
    </w:p>
    <w:p>
      <w:pPr>
        <w:pStyle w:val="ListParagraph"/>
        <w:numPr>
          <w:ilvl w:val="0"/>
          <w:numId w:val="3"/>
        </w:numPr>
        <w:spacing w:after="70"/>
      </w:pPr>
      <w:r>
        <w:rPr>
          <w:sz w:val="21"/>
          <w:szCs w:val="21"/>
        </w:rPr>
        <w:t xml:space="preserve">Gamificação — metas e ranking (Capítulo 14)</w:t>
      </w:r>
    </w:p>
    <w:p>
      <w:pPr>
        <w:pStyle w:val="ListParagraph"/>
        <w:numPr>
          <w:ilvl w:val="0"/>
          <w:numId w:val="3"/>
        </w:numPr>
        <w:spacing w:after="70"/>
      </w:pPr>
      <w:r>
        <w:rPr>
          <w:sz w:val="21"/>
          <w:szCs w:val="21"/>
        </w:rPr>
        <w:t xml:space="preserve">Painel Administrativo — faturamento, uso de IA e suporte avançado (Capítulo 19)</w:t>
      </w:r>
    </w:p>
    <w:p>
      <w:pPr>
        <w:spacing w:after="90"/>
      </w:pPr>
      <w:r>
        <w:rPr>
          <w:b/>
          <w:bCs/>
          <w:sz w:val="21"/>
          <w:szCs w:val="21"/>
        </w:rPr>
        <w:t xml:space="preserve">Dependência da fase MVP: </w:t>
      </w:r>
      <w:r>
        <w:rPr>
          <w:sz w:val="21"/>
          <w:szCs w:val="21"/>
        </w:rPr>
        <w:t xml:space="preserve">base de dados de vendas e estoque com histórico mínimo de 90 dias para sustentar previsões de IA com qualidade aceitável</w:t>
      </w:r>
    </w:p>
    <w:p>
      <w:pPr>
        <w:pStyle w:val="Heading2"/>
        <w:spacing w:after="140" w:before="320"/>
      </w:pPr>
      <w:r>
        <w:rPr>
          <w:b/>
          <w:bCs/>
          <w:color w:val="B8860B"/>
          <w:sz w:val="26"/>
          <w:szCs w:val="26"/>
        </w:rPr>
        <w:t xml:space="preserve">22.4 Versão 3 — Plataforma Empresarial</w:t>
      </w:r>
    </w:p>
    <w:p>
      <w:pPr>
        <w:spacing w:after="90"/>
      </w:pPr>
      <w:r>
        <w:rPr>
          <w:b/>
          <w:bCs/>
          <w:sz w:val="21"/>
          <w:szCs w:val="21"/>
        </w:rPr>
        <w:t xml:space="preserve">Objetivo: </w:t>
      </w:r>
      <w:r>
        <w:rPr>
          <w:sz w:val="21"/>
          <w:szCs w:val="21"/>
        </w:rPr>
        <w:t xml:space="preserve">Atender operações de médio/grande porte e consolidar o VendeFlex como plataforma completa de gestão</w:t>
      </w:r>
    </w:p>
    <w:p>
      <w:pPr>
        <w:spacing w:after="140" w:line="300"/>
      </w:pPr>
      <w:r>
        <w:rPr>
          <w:sz w:val="21"/>
          <w:szCs w:val="21"/>
        </w:rPr>
        <w:t xml:space="preserve">Funcionalidades incluídas:</w:t>
      </w:r>
    </w:p>
    <w:p>
      <w:pPr>
        <w:pStyle w:val="ListParagraph"/>
        <w:numPr>
          <w:ilvl w:val="0"/>
          <w:numId w:val="3"/>
        </w:numPr>
        <w:spacing w:after="70"/>
      </w:pPr>
      <w:r>
        <w:rPr>
          <w:sz w:val="21"/>
          <w:szCs w:val="21"/>
        </w:rPr>
        <w:t xml:space="preserve">Programa de fidelidade</w:t>
      </w:r>
    </w:p>
    <w:p>
      <w:pPr>
        <w:pStyle w:val="ListParagraph"/>
        <w:numPr>
          <w:ilvl w:val="0"/>
          <w:numId w:val="3"/>
        </w:numPr>
        <w:spacing w:after="70"/>
      </w:pPr>
      <w:r>
        <w:rPr>
          <w:sz w:val="21"/>
          <w:szCs w:val="21"/>
        </w:rPr>
        <w:t xml:space="preserve">Business Intelligence completo com insights automáticos por IA</w:t>
      </w:r>
    </w:p>
    <w:p>
      <w:pPr>
        <w:pStyle w:val="ListParagraph"/>
        <w:numPr>
          <w:ilvl w:val="0"/>
          <w:numId w:val="3"/>
        </w:numPr>
        <w:spacing w:after="70"/>
      </w:pPr>
      <w:r>
        <w:rPr>
          <w:sz w:val="21"/>
          <w:szCs w:val="21"/>
        </w:rPr>
        <w:t xml:space="preserve">Auditoria avançada e trilha de compliance exportável</w:t>
      </w:r>
    </w:p>
    <w:p>
      <w:pPr>
        <w:pStyle w:val="ListParagraph"/>
        <w:numPr>
          <w:ilvl w:val="0"/>
          <w:numId w:val="3"/>
        </w:numPr>
        <w:spacing w:after="70"/>
      </w:pPr>
      <w:r>
        <w:rPr>
          <w:sz w:val="21"/>
          <w:szCs w:val="21"/>
        </w:rPr>
        <w:t xml:space="preserve">Integrações fiscais/contábeis (NF-e/NFC-e)</w:t>
      </w:r>
    </w:p>
    <w:p>
      <w:pPr>
        <w:pStyle w:val="ListParagraph"/>
        <w:numPr>
          <w:ilvl w:val="0"/>
          <w:numId w:val="3"/>
        </w:numPr>
        <w:spacing w:after="70"/>
      </w:pPr>
      <w:r>
        <w:rPr>
          <w:sz w:val="21"/>
          <w:szCs w:val="21"/>
        </w:rPr>
        <w:t xml:space="preserve">Central de IA — Assistente Virtual conversacional (Capítulo 13)</w:t>
      </w:r>
    </w:p>
    <w:p>
      <w:pPr>
        <w:pStyle w:val="ListParagraph"/>
        <w:numPr>
          <w:ilvl w:val="0"/>
          <w:numId w:val="3"/>
        </w:numPr>
        <w:spacing w:after="70"/>
      </w:pPr>
      <w:r>
        <w:rPr>
          <w:sz w:val="21"/>
          <w:szCs w:val="21"/>
        </w:rPr>
        <w:t xml:space="preserve">API Pública, Webhooks e SDK (Capítulo 17)</w:t>
      </w:r>
    </w:p>
    <w:p>
      <w:pPr>
        <w:pStyle w:val="ListParagraph"/>
        <w:numPr>
          <w:ilvl w:val="0"/>
          <w:numId w:val="3"/>
        </w:numPr>
        <w:spacing w:after="70"/>
      </w:pPr>
      <w:r>
        <w:rPr>
          <w:sz w:val="21"/>
          <w:szCs w:val="21"/>
        </w:rPr>
        <w:t xml:space="preserve">Marketplace B2B (Capítulo 18)</w:t>
      </w:r>
    </w:p>
    <w:p>
      <w:pPr>
        <w:pStyle w:val="ListParagraph"/>
        <w:numPr>
          <w:ilvl w:val="0"/>
          <w:numId w:val="3"/>
        </w:numPr>
        <w:spacing w:after="70"/>
      </w:pPr>
      <w:r>
        <w:rPr>
          <w:sz w:val="21"/>
          <w:szCs w:val="21"/>
        </w:rPr>
        <w:t xml:space="preserve">Gamificação avançada — conquistas e níveis (Capítulo 14)</w:t>
      </w:r>
    </w:p>
    <w:p>
      <w:pPr>
        <w:pStyle w:val="ListParagraph"/>
        <w:numPr>
          <w:ilvl w:val="0"/>
          <w:numId w:val="3"/>
        </w:numPr>
        <w:spacing w:after="70"/>
      </w:pPr>
      <w:r>
        <w:rPr>
          <w:sz w:val="21"/>
          <w:szCs w:val="21"/>
        </w:rPr>
        <w:t xml:space="preserve">Plano Enterprise</w:t>
      </w:r>
    </w:p>
    <w:p>
      <w:pPr>
        <w:pStyle w:val="Heading2"/>
        <w:spacing w:after="140" w:before="320"/>
      </w:pPr>
      <w:r>
        <w:rPr>
          <w:b/>
          <w:bCs/>
          <w:color w:val="B8860B"/>
          <w:sz w:val="26"/>
          <w:szCs w:val="26"/>
        </w:rPr>
        <w:t xml:space="preserve">22.5 Priorização Dentro de Cada Fase</w:t>
      </w:r>
    </w:p>
    <w:p>
      <w:pPr>
        <w:spacing w:after="140" w:line="300"/>
      </w:pPr>
      <w:r>
        <w:rPr>
          <w:sz w:val="21"/>
          <w:szCs w:val="21"/>
        </w:rPr>
        <w:t xml:space="preserve">Dentro de cada fase, a prioridade segue esta ordem: (1) integridade de dados financeiros e de estoque, (2) fluxos de maior frequência de uso (PDV antes de relatórios), (3) funcionalidades de IA, por serem assistivas e não bloqueantes.</w:t>
      </w:r>
    </w:p>
    <w:p>
      <w:pPr>
        <w:pStyle w:val="Heading2"/>
        <w:spacing w:after="140" w:before="320"/>
      </w:pPr>
      <w:r>
        <w:rPr>
          <w:b/>
          <w:bCs/>
          <w:color w:val="B8860B"/>
          <w:sz w:val="26"/>
          <w:szCs w:val="26"/>
        </w:rPr>
        <w:t xml:space="preserve">22.6 Marcos de Revisão do PRD</w:t>
      </w:r>
    </w:p>
    <w:p>
      <w:pPr>
        <w:spacing w:after="140" w:line="300"/>
      </w:pPr>
      <w:r>
        <w:rPr>
          <w:sz w:val="21"/>
          <w:szCs w:val="21"/>
        </w:rPr>
        <w:t xml:space="preserve">Este documento deve ser revisado ao final de cada fase, incorporando aprendizados reais de uso antes de detalhar a fase seguinte com o mesmo nível de profundidade. Nenhuma fase futura é implementada apenas com base neste documento sem essa revisão.</w:t>
      </w:r>
    </w:p>
    <w:p>
      <w:pPr>
        <w:pStyle w:val="Heading1"/>
        <w:pageBreakBefore/>
        <w:pBdr>
          <w:bottom w:val="single" w:color="3FA796" w:sz="6" w:space="8"/>
        </w:pBdr>
        <w:spacing w:after="240" w:before="0"/>
      </w:pPr>
      <w:r>
        <w:rPr>
          <w:b/>
          <w:bCs/>
          <w:color w:val="B8860B"/>
          <w:sz w:val="22"/>
          <w:szCs w:val="22"/>
        </w:rPr>
        <w:t xml:space="preserve">CAPÍTULO 23</w:t>
      </w:r>
      <w:r>
        <w:t xml:space="preserve">  </w:t>
      </w:r>
    </w:p>
    <w:p>
      <w:pPr>
        <w:pStyle w:val="Heading1"/>
        <w:spacing w:after="280" w:before="0"/>
      </w:pPr>
      <w:r>
        <w:rPr>
          <w:b/>
          <w:bCs/>
          <w:color w:val="1A1A1A"/>
          <w:sz w:val="36"/>
          <w:szCs w:val="36"/>
        </w:rPr>
        <w:t xml:space="preserve">Critérios de Qualidade e Aceitação</w:t>
      </w:r>
    </w:p>
    <w:p>
      <w:pPr>
        <w:pStyle w:val="Heading2"/>
        <w:spacing w:after="140" w:before="320"/>
      </w:pPr>
      <w:r>
        <w:rPr>
          <w:b/>
          <w:bCs/>
          <w:color w:val="B8860B"/>
          <w:sz w:val="26"/>
          <w:szCs w:val="26"/>
        </w:rPr>
        <w:t xml:space="preserve">23.1 Definição de Pronto (Definition of Done)</w:t>
      </w:r>
    </w:p>
    <w:p>
      <w:pPr>
        <w:spacing w:after="140" w:line="300"/>
      </w:pPr>
      <w:r>
        <w:rPr>
          <w:sz w:val="21"/>
          <w:szCs w:val="21"/>
        </w:rPr>
        <w:t xml:space="preserve">Uma funcionalidade só é considerada concluída quando atende, simultaneamente, aos critérios funcionais, de segurança e de qualidade abaixo — não apenas ao comportamento visível na interface.</w:t>
      </w:r>
    </w:p>
    <w:p>
      <w:pPr>
        <w:pStyle w:val="ListParagraph"/>
        <w:numPr>
          <w:ilvl w:val="0"/>
          <w:numId w:val="3"/>
        </w:numPr>
        <w:spacing w:after="70"/>
      </w:pPr>
      <w:r>
        <w:rPr>
          <w:sz w:val="21"/>
          <w:szCs w:val="21"/>
        </w:rPr>
        <w:t xml:space="preserve">Requisito funcional correspondente (Capítulo 7) implementado e validado manualmente</w:t>
      </w:r>
    </w:p>
    <w:p>
      <w:pPr>
        <w:pStyle w:val="ListParagraph"/>
        <w:numPr>
          <w:ilvl w:val="0"/>
          <w:numId w:val="3"/>
        </w:numPr>
        <w:spacing w:after="70"/>
      </w:pPr>
      <w:r>
        <w:rPr>
          <w:sz w:val="21"/>
          <w:szCs w:val="21"/>
        </w:rPr>
        <w:t xml:space="preserve">RLS testado para os papéis de usuário relevantes (Capítulo 15)</w:t>
      </w:r>
    </w:p>
    <w:p>
      <w:pPr>
        <w:pStyle w:val="ListParagraph"/>
        <w:numPr>
          <w:ilvl w:val="0"/>
          <w:numId w:val="3"/>
        </w:numPr>
        <w:spacing w:after="70"/>
      </w:pPr>
      <w:r>
        <w:rPr>
          <w:sz w:val="21"/>
          <w:szCs w:val="21"/>
        </w:rPr>
        <w:t xml:space="preserve">Responsividade validada em mobile, tablet e desktop</w:t>
      </w:r>
    </w:p>
    <w:p>
      <w:pPr>
        <w:pStyle w:val="ListParagraph"/>
        <w:numPr>
          <w:ilvl w:val="0"/>
          <w:numId w:val="3"/>
        </w:numPr>
        <w:spacing w:after="70"/>
      </w:pPr>
      <w:r>
        <w:rPr>
          <w:sz w:val="21"/>
          <w:szCs w:val="21"/>
        </w:rPr>
        <w:t xml:space="preserve">Sem regressão em funcionalidades já existentes (teste de fumaça no fluxo de venda e estoque)</w:t>
      </w:r>
    </w:p>
    <w:p>
      <w:pPr>
        <w:pStyle w:val="ListParagraph"/>
        <w:numPr>
          <w:ilvl w:val="0"/>
          <w:numId w:val="3"/>
        </w:numPr>
        <w:spacing w:after="70"/>
      </w:pPr>
      <w:r>
        <w:rPr>
          <w:sz w:val="21"/>
          <w:szCs w:val="21"/>
        </w:rPr>
        <w:t xml:space="preserve">Log de auditoria gerado corretamente, quando aplicável</w:t>
      </w:r>
    </w:p>
    <w:p>
      <w:pPr>
        <w:pStyle w:val="Heading2"/>
        <w:spacing w:after="140" w:before="320"/>
      </w:pPr>
      <w:r>
        <w:rPr>
          <w:b/>
          <w:bCs/>
          <w:color w:val="B8860B"/>
          <w:sz w:val="26"/>
          <w:szCs w:val="26"/>
        </w:rPr>
        <w:t xml:space="preserve">23.2 Critérios de Aceitação — Exemplos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A1A1A" w:val="clear"/>
            <w:tcMar>
              <w:top w:type="dxa" w:w="90"/>
              <w:left w:type="dxa" w:w="110"/>
              <w:bottom w:type="dxa" w:w="90"/>
              <w:right w:type="dxa" w:w="110"/>
            </w:tcMar>
          </w:tcPr>
          <w:p>
            <w:r>
              <w:rPr>
                <w:b/>
                <w:bCs/>
                <w:color w:val="FFFFFF"/>
                <w:sz w:val="19"/>
                <w:szCs w:val="19"/>
              </w:rPr>
              <w:t xml:space="preserve">Módulo</w:t>
            </w:r>
          </w:p>
        </w:tc>
        <w:tc>
          <w:tcPr>
            <w:tcW w:type="dxa" w:w="7300"/>
            <w:shd w:fill="1A1A1A" w:val="clear"/>
            <w:tcMar>
              <w:top w:type="dxa" w:w="90"/>
              <w:left w:type="dxa" w:w="110"/>
              <w:bottom w:type="dxa" w:w="90"/>
              <w:right w:type="dxa" w:w="110"/>
            </w:tcMar>
          </w:tcPr>
          <w:p>
            <w:r>
              <w:rPr>
                <w:b/>
                <w:bCs/>
                <w:color w:val="FFFFFF"/>
                <w:sz w:val="19"/>
                <w:szCs w:val="19"/>
              </w:rPr>
              <w:t xml:space="preserve">Critério de aceitação</w:t>
            </w:r>
          </w:p>
        </w:tc>
      </w:tr>
      <w:tr>
        <w:tc>
          <w:tcPr>
            <w:tcW w:type="dxa" w:w="2200"/>
            <w:tcMar>
              <w:top w:type="dxa" w:w="90"/>
              <w:left w:type="dxa" w:w="110"/>
              <w:bottom w:type="dxa" w:w="90"/>
              <w:right w:type="dxa" w:w="110"/>
            </w:tcMar>
          </w:tcPr>
          <w:p>
            <w:r>
              <w:rPr>
                <w:b w:val="false"/>
                <w:bCs w:val="false"/>
                <w:color w:val="1A1A1A"/>
                <w:sz w:val="19"/>
                <w:szCs w:val="19"/>
              </w:rPr>
              <w:t xml:space="preserve">PDV</w:t>
            </w:r>
          </w:p>
        </w:tc>
        <w:tc>
          <w:tcPr>
            <w:tcW w:type="dxa" w:w="7300"/>
            <w:tcMar>
              <w:top w:type="dxa" w:w="90"/>
              <w:left w:type="dxa" w:w="110"/>
              <w:bottom w:type="dxa" w:w="90"/>
              <w:right w:type="dxa" w:w="110"/>
            </w:tcMar>
          </w:tcPr>
          <w:p>
            <w:r>
              <w:rPr>
                <w:b w:val="false"/>
                <w:bCs w:val="false"/>
                <w:color w:val="1A1A1A"/>
                <w:sz w:val="19"/>
                <w:szCs w:val="19"/>
              </w:rPr>
              <w:t xml:space="preserve">Ao confirmar uma venda, o estoque do produto é decrementado em até 1 segundo e refletido em qualquer sessão aberta do mesmo tenant</w:t>
            </w:r>
          </w:p>
        </w:tc>
      </w:tr>
      <w:tr>
        <w:tc>
          <w:tcPr>
            <w:tcW w:type="dxa" w:w="2200"/>
            <w:tcMar>
              <w:top w:type="dxa" w:w="90"/>
              <w:left w:type="dxa" w:w="110"/>
              <w:bottom w:type="dxa" w:w="90"/>
              <w:right w:type="dxa" w:w="110"/>
            </w:tcMar>
          </w:tcPr>
          <w:p>
            <w:r>
              <w:rPr>
                <w:b w:val="false"/>
                <w:bCs w:val="false"/>
                <w:color w:val="1A1A1A"/>
                <w:sz w:val="19"/>
                <w:szCs w:val="19"/>
              </w:rPr>
              <w:t xml:space="preserve">Estoque</w:t>
            </w:r>
          </w:p>
        </w:tc>
        <w:tc>
          <w:tcPr>
            <w:tcW w:type="dxa" w:w="7300"/>
            <w:tcMar>
              <w:top w:type="dxa" w:w="90"/>
              <w:left w:type="dxa" w:w="110"/>
              <w:bottom w:type="dxa" w:w="90"/>
              <w:right w:type="dxa" w:w="110"/>
            </w:tcMar>
          </w:tcPr>
          <w:p>
            <w:r>
              <w:rPr>
                <w:b w:val="false"/>
                <w:bCs w:val="false"/>
                <w:color w:val="1A1A1A"/>
                <w:sz w:val="19"/>
                <w:szCs w:val="19"/>
              </w:rPr>
              <w:t xml:space="preserve">Um ajuste manual de estoque sem motivo informado é bloqueado pela interface e pela validação de backend</w:t>
            </w:r>
          </w:p>
        </w:tc>
      </w:tr>
      <w:tr>
        <w:tc>
          <w:tcPr>
            <w:tcW w:type="dxa" w:w="2200"/>
            <w:tcMar>
              <w:top w:type="dxa" w:w="90"/>
              <w:left w:type="dxa" w:w="110"/>
              <w:bottom w:type="dxa" w:w="90"/>
              <w:right w:type="dxa" w:w="110"/>
            </w:tcMar>
          </w:tcPr>
          <w:p>
            <w:r>
              <w:rPr>
                <w:b w:val="false"/>
                <w:bCs w:val="false"/>
                <w:color w:val="1A1A1A"/>
                <w:sz w:val="19"/>
                <w:szCs w:val="19"/>
              </w:rPr>
              <w:t xml:space="preserve">Caixa</w:t>
            </w:r>
          </w:p>
        </w:tc>
        <w:tc>
          <w:tcPr>
            <w:tcW w:type="dxa" w:w="7300"/>
            <w:tcMar>
              <w:top w:type="dxa" w:w="90"/>
              <w:left w:type="dxa" w:w="110"/>
              <w:bottom w:type="dxa" w:w="90"/>
              <w:right w:type="dxa" w:w="110"/>
            </w:tcMar>
          </w:tcPr>
          <w:p>
            <w:r>
              <w:rPr>
                <w:b w:val="false"/>
                <w:bCs w:val="false"/>
                <w:color w:val="1A1A1A"/>
                <w:sz w:val="19"/>
                <w:szCs w:val="19"/>
              </w:rPr>
              <w:t xml:space="preserve">Fechamento de caixa com diferença é sinalizado visualmente e registrado em relatório de quebra</w:t>
            </w:r>
          </w:p>
        </w:tc>
      </w:tr>
      <w:tr>
        <w:tc>
          <w:tcPr>
            <w:tcW w:type="dxa" w:w="2200"/>
            <w:tcMar>
              <w:top w:type="dxa" w:w="90"/>
              <w:left w:type="dxa" w:w="110"/>
              <w:bottom w:type="dxa" w:w="90"/>
              <w:right w:type="dxa" w:w="110"/>
            </w:tcMar>
          </w:tcPr>
          <w:p>
            <w:r>
              <w:rPr>
                <w:b w:val="false"/>
                <w:bCs w:val="false"/>
                <w:color w:val="1A1A1A"/>
                <w:sz w:val="19"/>
                <w:szCs w:val="19"/>
              </w:rPr>
              <w:t xml:space="preserve">Compras</w:t>
            </w:r>
          </w:p>
        </w:tc>
        <w:tc>
          <w:tcPr>
            <w:tcW w:type="dxa" w:w="7300"/>
            <w:tcMar>
              <w:top w:type="dxa" w:w="90"/>
              <w:left w:type="dxa" w:w="110"/>
              <w:bottom w:type="dxa" w:w="90"/>
              <w:right w:type="dxa" w:w="110"/>
            </w:tcMar>
          </w:tcPr>
          <w:p>
            <w:r>
              <w:rPr>
                <w:b w:val="false"/>
                <w:bCs w:val="false"/>
                <w:color w:val="1A1A1A"/>
                <w:sz w:val="19"/>
                <w:szCs w:val="19"/>
              </w:rPr>
              <w:t xml:space="preserve">Recebimento parcial de um pedido atualiza corretamente apenas os itens recebidos, mantendo o restante como pendente</w:t>
            </w:r>
          </w:p>
        </w:tc>
      </w:tr>
      <w:tr>
        <w:tc>
          <w:tcPr>
            <w:tcW w:type="dxa" w:w="2200"/>
            <w:tcMar>
              <w:top w:type="dxa" w:w="90"/>
              <w:left w:type="dxa" w:w="110"/>
              <w:bottom w:type="dxa" w:w="90"/>
              <w:right w:type="dxa" w:w="110"/>
            </w:tcMar>
          </w:tcPr>
          <w:p>
            <w:r>
              <w:rPr>
                <w:b w:val="false"/>
                <w:bCs w:val="false"/>
                <w:color w:val="1A1A1A"/>
                <w:sz w:val="19"/>
                <w:szCs w:val="19"/>
              </w:rPr>
              <w:t xml:space="preserve">Permissões</w:t>
            </w:r>
          </w:p>
        </w:tc>
        <w:tc>
          <w:tcPr>
            <w:tcW w:type="dxa" w:w="7300"/>
            <w:tcMar>
              <w:top w:type="dxa" w:w="90"/>
              <w:left w:type="dxa" w:w="110"/>
              <w:bottom w:type="dxa" w:w="90"/>
              <w:right w:type="dxa" w:w="110"/>
            </w:tcMar>
          </w:tcPr>
          <w:p>
            <w:r>
              <w:rPr>
                <w:b w:val="false"/>
                <w:bCs w:val="false"/>
                <w:color w:val="1A1A1A"/>
                <w:sz w:val="19"/>
                <w:szCs w:val="19"/>
              </w:rPr>
              <w:t xml:space="preserve">Um usuário com papel Vendedor não consegue visualizar o preço de custo de nenhum produto, em nenhuma tela</w:t>
            </w:r>
          </w:p>
        </w:tc>
      </w:tr>
    </w:tbl>
    <w:p>
      <w:pPr>
        <w:pStyle w:val="Heading2"/>
        <w:spacing w:after="140" w:before="320"/>
      </w:pPr>
      <w:r>
        <w:rPr>
          <w:b/>
          <w:bCs/>
          <w:color w:val="B8860B"/>
          <w:sz w:val="26"/>
          <w:szCs w:val="26"/>
        </w:rPr>
        <w:t xml:space="preserve">23.3 Requisitos Funcionais — Validação</w:t>
      </w:r>
    </w:p>
    <w:p>
      <w:pPr>
        <w:spacing w:after="140" w:line="300"/>
      </w:pPr>
      <w:r>
        <w:rPr>
          <w:sz w:val="21"/>
          <w:szCs w:val="21"/>
        </w:rPr>
        <w:t xml:space="preserve">Cada requisito listado no Capítulo 7 deve ser validado individualmente antes do lançamento da fase correspondente, com evidência registrada (print, log de teste ou vídeo curto) anexada ao card de desenvolvimento correspondente.</w:t>
      </w:r>
    </w:p>
    <w:p>
      <w:pPr>
        <w:pStyle w:val="Heading2"/>
        <w:spacing w:after="140" w:before="320"/>
      </w:pPr>
      <w:r>
        <w:rPr>
          <w:b/>
          <w:bCs/>
          <w:color w:val="B8860B"/>
          <w:sz w:val="26"/>
          <w:szCs w:val="26"/>
        </w:rPr>
        <w:t xml:space="preserve">23.4 Requisitos Não Funcionais — Validação</w:t>
      </w:r>
    </w:p>
    <w:p>
      <w:pPr>
        <w:pStyle w:val="ListParagraph"/>
        <w:numPr>
          <w:ilvl w:val="0"/>
          <w:numId w:val="3"/>
        </w:numPr>
        <w:spacing w:after="70"/>
      </w:pPr>
      <w:r>
        <w:rPr>
          <w:sz w:val="21"/>
          <w:szCs w:val="21"/>
        </w:rPr>
        <w:t xml:space="preserve">Performance: medição real de tempo de resposta nas rotas críticas listadas no Capítulo 9, não apenas estimativa</w:t>
      </w:r>
    </w:p>
    <w:p>
      <w:pPr>
        <w:pStyle w:val="ListParagraph"/>
        <w:numPr>
          <w:ilvl w:val="0"/>
          <w:numId w:val="3"/>
        </w:numPr>
        <w:spacing w:after="70"/>
      </w:pPr>
      <w:r>
        <w:rPr>
          <w:sz w:val="21"/>
          <w:szCs w:val="21"/>
        </w:rPr>
        <w:t xml:space="preserve">Segurança: tentativa deliberada de acesso cruzado entre tenants deve falhar em 100% dos casos testados</w:t>
      </w:r>
    </w:p>
    <w:p>
      <w:pPr>
        <w:pStyle w:val="ListParagraph"/>
        <w:numPr>
          <w:ilvl w:val="0"/>
          <w:numId w:val="3"/>
        </w:numPr>
        <w:spacing w:after="70"/>
      </w:pPr>
      <w:r>
        <w:rPr>
          <w:sz w:val="21"/>
          <w:szCs w:val="21"/>
        </w:rPr>
        <w:t xml:space="preserve">Acessibilidade: checagem de contraste e navegação por teclado nos fluxos críticos antes do lançamento</w:t>
      </w:r>
    </w:p>
    <w:p>
      <w:pPr>
        <w:pStyle w:val="Heading2"/>
        <w:spacing w:after="140" w:before="320"/>
      </w:pPr>
      <w:r>
        <w:rPr>
          <w:b/>
          <w:bCs/>
          <w:color w:val="B8860B"/>
          <w:sz w:val="26"/>
          <w:szCs w:val="26"/>
        </w:rPr>
        <w:t xml:space="preserve">23.5 Critérios de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1A1A1A" w:val="clear"/>
            <w:tcMar>
              <w:top w:type="dxa" w:w="90"/>
              <w:left w:type="dxa" w:w="110"/>
              <w:bottom w:type="dxa" w:w="90"/>
              <w:right w:type="dxa" w:w="110"/>
            </w:tcMar>
          </w:tcPr>
          <w:p>
            <w:r>
              <w:rPr>
                <w:b/>
                <w:bCs/>
                <w:color w:val="FFFFFF"/>
                <w:sz w:val="19"/>
                <w:szCs w:val="19"/>
              </w:rPr>
              <w:t xml:space="preserve">Métrica</w:t>
            </w:r>
          </w:p>
        </w:tc>
        <w:tc>
          <w:tcPr>
            <w:tcW w:type="dxa" w:w="5300"/>
            <w:shd w:fill="1A1A1A" w:val="clear"/>
            <w:tcMar>
              <w:top w:type="dxa" w:w="90"/>
              <w:left w:type="dxa" w:w="110"/>
              <w:bottom w:type="dxa" w:w="90"/>
              <w:right w:type="dxa" w:w="110"/>
            </w:tcMar>
          </w:tcPr>
          <w:p>
            <w:r>
              <w:rPr>
                <w:b/>
                <w:bCs/>
                <w:color w:val="FFFFFF"/>
                <w:sz w:val="19"/>
                <w:szCs w:val="19"/>
              </w:rPr>
              <w:t xml:space="preserve">Critério mínimo de aceite</w:t>
            </w:r>
          </w:p>
        </w:tc>
      </w:tr>
      <w:tr>
        <w:tc>
          <w:tcPr>
            <w:tcW w:type="dxa" w:w="4200"/>
            <w:tcMar>
              <w:top w:type="dxa" w:w="90"/>
              <w:left w:type="dxa" w:w="110"/>
              <w:bottom w:type="dxa" w:w="90"/>
              <w:right w:type="dxa" w:w="110"/>
            </w:tcMar>
          </w:tcPr>
          <w:p>
            <w:r>
              <w:rPr>
                <w:b w:val="false"/>
                <w:bCs w:val="false"/>
                <w:color w:val="1A1A1A"/>
                <w:sz w:val="19"/>
                <w:szCs w:val="19"/>
              </w:rPr>
              <w:t xml:space="preserve">Tempo de resposta do PDV</w:t>
            </w:r>
          </w:p>
        </w:tc>
        <w:tc>
          <w:tcPr>
            <w:tcW w:type="dxa" w:w="5300"/>
            <w:tcMar>
              <w:top w:type="dxa" w:w="90"/>
              <w:left w:type="dxa" w:w="110"/>
              <w:bottom w:type="dxa" w:w="90"/>
              <w:right w:type="dxa" w:w="110"/>
            </w:tcMar>
          </w:tcPr>
          <w:p>
            <w:r>
              <w:rPr>
                <w:b w:val="false"/>
                <w:bCs w:val="false"/>
                <w:color w:val="1A1A1A"/>
                <w:sz w:val="19"/>
                <w:szCs w:val="19"/>
              </w:rPr>
              <w:t xml:space="preserve">Abaixo de 300ms em 95% das requisições</w:t>
            </w:r>
          </w:p>
        </w:tc>
      </w:tr>
      <w:tr>
        <w:tc>
          <w:tcPr>
            <w:tcW w:type="dxa" w:w="4200"/>
            <w:tcMar>
              <w:top w:type="dxa" w:w="90"/>
              <w:left w:type="dxa" w:w="110"/>
              <w:bottom w:type="dxa" w:w="90"/>
              <w:right w:type="dxa" w:w="110"/>
            </w:tcMar>
          </w:tcPr>
          <w:p>
            <w:r>
              <w:rPr>
                <w:b w:val="false"/>
                <w:bCs w:val="false"/>
                <w:color w:val="1A1A1A"/>
                <w:sz w:val="19"/>
                <w:szCs w:val="19"/>
              </w:rPr>
              <w:t xml:space="preserve">Disponibilidade mensal</w:t>
            </w:r>
          </w:p>
        </w:tc>
        <w:tc>
          <w:tcPr>
            <w:tcW w:type="dxa" w:w="5300"/>
            <w:tcMar>
              <w:top w:type="dxa" w:w="90"/>
              <w:left w:type="dxa" w:w="110"/>
              <w:bottom w:type="dxa" w:w="90"/>
              <w:right w:type="dxa" w:w="110"/>
            </w:tcMar>
          </w:tcPr>
          <w:p>
            <w:r>
              <w:rPr>
                <w:b w:val="false"/>
                <w:bCs w:val="false"/>
                <w:color w:val="1A1A1A"/>
                <w:sz w:val="19"/>
                <w:szCs w:val="19"/>
              </w:rPr>
              <w:t xml:space="preserve">Acima de 99,5% no MVP</w:t>
            </w:r>
          </w:p>
        </w:tc>
      </w:tr>
      <w:tr>
        <w:tc>
          <w:tcPr>
            <w:tcW w:type="dxa" w:w="4200"/>
            <w:tcMar>
              <w:top w:type="dxa" w:w="90"/>
              <w:left w:type="dxa" w:w="110"/>
              <w:bottom w:type="dxa" w:w="90"/>
              <w:right w:type="dxa" w:w="110"/>
            </w:tcMar>
          </w:tcPr>
          <w:p>
            <w:r>
              <w:rPr>
                <w:b w:val="false"/>
                <w:bCs w:val="false"/>
                <w:color w:val="1A1A1A"/>
                <w:sz w:val="19"/>
                <w:szCs w:val="19"/>
              </w:rPr>
              <w:t xml:space="preserve">Tempo de geração de relatório mensal</w:t>
            </w:r>
          </w:p>
        </w:tc>
        <w:tc>
          <w:tcPr>
            <w:tcW w:type="dxa" w:w="5300"/>
            <w:tcMar>
              <w:top w:type="dxa" w:w="90"/>
              <w:left w:type="dxa" w:w="110"/>
              <w:bottom w:type="dxa" w:w="90"/>
              <w:right w:type="dxa" w:w="110"/>
            </w:tcMar>
          </w:tcPr>
          <w:p>
            <w:r>
              <w:rPr>
                <w:b w:val="false"/>
                <w:bCs w:val="false"/>
                <w:color w:val="1A1A1A"/>
                <w:sz w:val="19"/>
                <w:szCs w:val="19"/>
              </w:rPr>
              <w:t xml:space="preserve">Abaixo de 5 segundos</w:t>
            </w:r>
          </w:p>
        </w:tc>
      </w:tr>
    </w:tbl>
    <w:p>
      <w:pPr>
        <w:pStyle w:val="Heading2"/>
        <w:spacing w:after="140" w:before="320"/>
      </w:pPr>
      <w:r>
        <w:rPr>
          <w:b/>
          <w:bCs/>
          <w:color w:val="B8860B"/>
          <w:sz w:val="26"/>
          <w:szCs w:val="26"/>
        </w:rPr>
        <w:t xml:space="preserve">23.6 Critérios de Segurança</w:t>
      </w:r>
    </w:p>
    <w:p>
      <w:pPr>
        <w:pStyle w:val="ListParagraph"/>
        <w:numPr>
          <w:ilvl w:val="0"/>
          <w:numId w:val="3"/>
        </w:numPr>
        <w:spacing w:after="70"/>
      </w:pPr>
      <w:r>
        <w:rPr>
          <w:sz w:val="21"/>
          <w:szCs w:val="21"/>
        </w:rPr>
        <w:t xml:space="preserve">Nenhuma tabela de negócio em produção sem RLS ativo — verificação obrigatória antes de qualquer deploy</w:t>
      </w:r>
    </w:p>
    <w:p>
      <w:pPr>
        <w:pStyle w:val="ListParagraph"/>
        <w:numPr>
          <w:ilvl w:val="0"/>
          <w:numId w:val="3"/>
        </w:numPr>
        <w:spacing w:after="70"/>
      </w:pPr>
      <w:r>
        <w:rPr>
          <w:sz w:val="21"/>
          <w:szCs w:val="21"/>
        </w:rPr>
        <w:t xml:space="preserve">Nenhum segredo de API exposto no bundle do frontend — verificação automatizada no processo de build</w:t>
      </w:r>
    </w:p>
    <w:p>
      <w:pPr>
        <w:pStyle w:val="ListParagraph"/>
        <w:numPr>
          <w:ilvl w:val="0"/>
          <w:numId w:val="3"/>
        </w:numPr>
        <w:spacing w:after="70"/>
      </w:pPr>
      <w:r>
        <w:rPr>
          <w:sz w:val="21"/>
          <w:szCs w:val="21"/>
        </w:rPr>
        <w:t xml:space="preserve">Teste de penetração básico (isolamento de tenant) executado antes do lançamento de cada fase</w:t>
      </w:r>
    </w:p>
    <w:p>
      <w:pPr>
        <w:pStyle w:val="Heading2"/>
        <w:spacing w:after="140" w:before="320"/>
      </w:pPr>
      <w:r>
        <w:rPr>
          <w:b/>
          <w:bCs/>
          <w:color w:val="B8860B"/>
          <w:sz w:val="26"/>
          <w:szCs w:val="26"/>
        </w:rPr>
        <w:t xml:space="preserve">23.7 Critérios de Monitoramento e Observabilidade</w:t>
      </w:r>
    </w:p>
    <w:p>
      <w:pPr>
        <w:pStyle w:val="ListParagraph"/>
        <w:numPr>
          <w:ilvl w:val="0"/>
          <w:numId w:val="3"/>
        </w:numPr>
        <w:spacing w:after="70"/>
      </w:pPr>
      <w:r>
        <w:rPr>
          <w:sz w:val="21"/>
          <w:szCs w:val="21"/>
        </w:rPr>
        <w:t xml:space="preserve">Alerta automático configurado para taxa de erro acima de 1% em qualquer rota crítica</w:t>
      </w:r>
    </w:p>
    <w:p>
      <w:pPr>
        <w:pStyle w:val="ListParagraph"/>
        <w:numPr>
          <w:ilvl w:val="0"/>
          <w:numId w:val="3"/>
        </w:numPr>
        <w:spacing w:after="70"/>
      </w:pPr>
      <w:r>
        <w:rPr>
          <w:sz w:val="21"/>
          <w:szCs w:val="21"/>
        </w:rPr>
        <w:t xml:space="preserve">Dashboard de saúde do sistema acessível à equipe RhoneyInc antes do lançamento do MVP</w:t>
      </w:r>
    </w:p>
    <w:p>
      <w:pPr>
        <w:pStyle w:val="Heading2"/>
        <w:spacing w:after="140" w:before="320"/>
      </w:pPr>
      <w:r>
        <w:rPr>
          <w:b/>
          <w:bCs/>
          <w:color w:val="B8860B"/>
          <w:sz w:val="26"/>
          <w:szCs w:val="26"/>
        </w:rPr>
        <w:t xml:space="preserve">23.8 Processo de Homologação</w:t>
      </w:r>
    </w:p>
    <w:p>
      <w:pPr>
        <w:spacing w:after="140" w:line="300"/>
      </w:pPr>
      <w:r>
        <w:rPr>
          <w:sz w:val="21"/>
          <w:szCs w:val="21"/>
        </w:rPr>
        <w:t xml:space="preserve">Antes de cada lançamento de fase, um piloto controlado com pelo menos um tenant real (ou simulação equivalente) deve validar o fluxo completo do ciclo comercial descrito no Capítulo 4, seção 4.5, do cadastro de produto até a geração de relatório, sem intervenção manual corretiva nos dados.</w:t>
      </w:r>
    </w:p>
    <w:p>
      <w:pPr>
        <w:pStyle w:val="Heading2"/>
        <w:spacing w:after="140" w:before="320"/>
      </w:pPr>
      <w:r>
        <w:rPr>
          <w:b/>
          <w:bCs/>
          <w:color w:val="B8860B"/>
          <w:sz w:val="26"/>
          <w:szCs w:val="26"/>
        </w:rPr>
        <w:t xml:space="preserve">23.9 Encerramento deste PRD</w:t>
      </w:r>
    </w:p>
    <w:p>
      <w:pPr>
        <w:spacing w:after="140" w:line="300"/>
      </w:pPr>
      <w:r>
        <w:rPr>
          <w:sz w:val="21"/>
          <w:szCs w:val="21"/>
        </w:rPr>
        <w:t xml:space="preserve">Este documento consolida a visão completa do VendeFlex, do MVP à plataforma empresarial. Ele deve ser tratado como referência viva: revisado a cada marco de fase (Capítulo 22), mas nunca contornado silenciosamente — qualquer divergência entre o que é construído e o que está aqui descrito deve ser corrigida em um dos dois lados, nunca deixada sem registro.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2026-08-02T00:13:57.544Z</dcterms:created>
  <dcterms:modified xsi:type="dcterms:W3CDTF">2026-08-02T00:13:57.560Z</dcterms:modified>
</cp:coreProperties>
</file>

<file path=docProps/custom.xml><?xml version="1.0" encoding="utf-8"?>
<Properties xmlns="http://schemas.openxmlformats.org/officeDocument/2006/custom-properties" xmlns:vt="http://schemas.openxmlformats.org/officeDocument/2006/docPropsVTypes"/>
</file>