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b42be51e748cf873c13a61cb45d5f8b3ebb2e8d"/>
    <w:p>
      <w:pPr>
        <w:pStyle w:val="Heading1"/>
      </w:pPr>
      <w:r>
        <w:t xml:space="preserve">Resumo do Projeto — Rede de Confiança Tributária IBS/CBS</w:t>
      </w:r>
    </w:p>
    <w:bookmarkStart w:id="20" w:name="ideia-central"/>
    <w:p>
      <w:pPr>
        <w:pStyle w:val="Heading2"/>
      </w:pPr>
      <w:r>
        <w:t xml:space="preserve">1. Ideia central</w:t>
      </w:r>
    </w:p>
    <w:p>
      <w:pPr>
        <w:pStyle w:val="FirstParagraph"/>
      </w:pPr>
      <w:r>
        <w:t xml:space="preserve">Estamos desenvolvendo a ideia de uma plataforma voltada à</w:t>
      </w:r>
      <w:r>
        <w:t xml:space="preserve"> </w:t>
      </w:r>
      <w:r>
        <w:rPr>
          <w:b/>
          <w:bCs/>
        </w:rPr>
        <w:t xml:space="preserve">confiança tributária nas relações comerciais</w:t>
      </w:r>
      <w:r>
        <w:t xml:space="preserve">, com foco inicial no IBS e na CBS.</w:t>
      </w:r>
    </w:p>
    <w:p>
      <w:pPr>
        <w:pStyle w:val="BodyText"/>
      </w:pPr>
      <w:r>
        <w:t xml:space="preserve">A proposta não é criar uma</w:t>
      </w:r>
      <w:r>
        <w:t xml:space="preserve"> </w:t>
      </w:r>
      <w:r>
        <w:t xml:space="preserve">“lista de maus pagadores”</w:t>
      </w:r>
      <w:r>
        <w:t xml:space="preserve"> </w:t>
      </w:r>
      <w:r>
        <w:t xml:space="preserve">nem concorrer diretamente com Serasa ou bureaus de crédito tradicionais.</w:t>
      </w:r>
    </w:p>
    <w:p>
      <w:pPr>
        <w:pStyle w:val="BodyText"/>
      </w:pPr>
      <w:r>
        <w:t xml:space="preserve">O foco é:</w:t>
      </w:r>
    </w:p>
    <w:p>
      <w:pPr>
        <w:pStyle w:val="BlockText"/>
      </w:pPr>
      <w:r>
        <w:t xml:space="preserve">permitir que empresas verifiquem, esclareçam e acompanhem situações relacionadas ao IBS e à CBS antes que essas situações prejudiquem créditos tributários ou operações comerciais.</w:t>
      </w:r>
    </w:p>
    <w:p>
      <w:pPr>
        <w:pStyle w:val="FirstParagraph"/>
      </w:pPr>
      <w:r>
        <w:t xml:space="preserve">A plataforma deve atuar como uma infraestrutura de prevenção, confirmação, comunicação e regularização.</w:t>
      </w:r>
    </w:p>
    <w:p>
      <w:r>
        <w:pict>
          <v:rect style="width:0;height:1.5pt" o:hralign="center" o:hrstd="t" o:hr="t"/>
        </w:pict>
      </w:r>
    </w:p>
    <w:bookmarkEnd w:id="20"/>
    <w:bookmarkStart w:id="21" w:name="como-a-plataforma-geraria-valor"/>
    <w:p>
      <w:pPr>
        <w:pStyle w:val="Heading2"/>
      </w:pPr>
      <w:r>
        <w:t xml:space="preserve">2. Como a plataforma geraria valor</w:t>
      </w:r>
    </w:p>
    <w:p>
      <w:pPr>
        <w:pStyle w:val="FirstParagraph"/>
      </w:pPr>
      <w:r>
        <w:t xml:space="preserve">O ciclo principal imaginado é:</w:t>
      </w:r>
    </w:p>
    <w:p>
      <w:pPr>
        <w:pStyle w:val="Compact"/>
        <w:numPr>
          <w:ilvl w:val="0"/>
          <w:numId w:val="1001"/>
        </w:numPr>
      </w:pPr>
      <w:r>
        <w:t xml:space="preserve">Uma empresa pretende comprar de determinado fornecedor.</w:t>
      </w:r>
    </w:p>
    <w:p>
      <w:pPr>
        <w:pStyle w:val="Compact"/>
        <w:numPr>
          <w:ilvl w:val="0"/>
          <w:numId w:val="1001"/>
        </w:numPr>
      </w:pPr>
      <w:r>
        <w:t xml:space="preserve">Consulta a situação tributária relacionada à operação.</w:t>
      </w:r>
    </w:p>
    <w:p>
      <w:pPr>
        <w:pStyle w:val="Compact"/>
        <w:numPr>
          <w:ilvl w:val="0"/>
          <w:numId w:val="1001"/>
        </w:numPr>
      </w:pPr>
      <w:r>
        <w:t xml:space="preserve">O sistema identifica que a extinção do IBS/CBS ainda não foi confirmada ou existe alguma divergência.</w:t>
      </w:r>
    </w:p>
    <w:p>
      <w:pPr>
        <w:pStyle w:val="Compact"/>
        <w:numPr>
          <w:ilvl w:val="0"/>
          <w:numId w:val="1001"/>
        </w:numPr>
      </w:pPr>
      <w:r>
        <w:t xml:space="preserve">O fornecedor é notificado de forma privada e neutra.</w:t>
      </w:r>
    </w:p>
    <w:p>
      <w:pPr>
        <w:pStyle w:val="Compact"/>
        <w:numPr>
          <w:ilvl w:val="0"/>
          <w:numId w:val="1001"/>
        </w:numPr>
      </w:pPr>
      <w:r>
        <w:t xml:space="preserve">Ele pode confirmar, contestar, apresentar documentos ou regularizar.</w:t>
      </w:r>
    </w:p>
    <w:p>
      <w:pPr>
        <w:pStyle w:val="Compact"/>
        <w:numPr>
          <w:ilvl w:val="0"/>
          <w:numId w:val="1001"/>
        </w:numPr>
      </w:pPr>
      <w:r>
        <w:t xml:space="preserve">A plataforma atualiza a situação.</w:t>
      </w:r>
    </w:p>
    <w:p>
      <w:pPr>
        <w:pStyle w:val="Compact"/>
        <w:numPr>
          <w:ilvl w:val="0"/>
          <w:numId w:val="1001"/>
        </w:numPr>
      </w:pPr>
      <w:r>
        <w:t xml:space="preserve">O comprador recebe a confirmação.</w:t>
      </w:r>
    </w:p>
    <w:p>
      <w:pPr>
        <w:pStyle w:val="Compact"/>
        <w:numPr>
          <w:ilvl w:val="0"/>
          <w:numId w:val="1001"/>
        </w:numPr>
      </w:pPr>
      <w:r>
        <w:t xml:space="preserve">A operação comercial pode ser preservada.</w:t>
      </w:r>
    </w:p>
    <w:p>
      <w:pPr>
        <w:pStyle w:val="FirstParagraph"/>
      </w:pPr>
      <w:r>
        <w:t xml:space="preserve">O valor não está apenas em apontar um risco.</w:t>
      </w:r>
    </w:p>
    <w:p>
      <w:pPr>
        <w:pStyle w:val="BodyText"/>
      </w:pPr>
      <w:r>
        <w:t xml:space="preserve">O principal valor está em:</w:t>
      </w:r>
    </w:p>
    <w:p>
      <w:pPr>
        <w:pStyle w:val="BlockText"/>
      </w:pPr>
      <w:r>
        <w:t xml:space="preserve">identificar o problema, provocar a regularização e permitir que o negócio aconteça com mais segurança.</w:t>
      </w:r>
    </w:p>
    <w:p>
      <w:pPr>
        <w:pStyle w:val="FirstParagraph"/>
      </w:pPr>
      <w:r>
        <w:t xml:space="preserve">Isso posiciona a plataforma como uma</w:t>
      </w:r>
      <w:r>
        <w:t xml:space="preserve"> </w:t>
      </w:r>
      <w:r>
        <w:rPr>
          <w:b/>
          <w:bCs/>
        </w:rPr>
        <w:t xml:space="preserve">Rede de Confiança Tributária e Comercial</w:t>
      </w:r>
      <w:r>
        <w:t xml:space="preserve">, e não como um sistema punitivo.</w:t>
      </w:r>
    </w:p>
    <w:p>
      <w:r>
        <w:pict>
          <v:rect style="width:0;height:1.5pt" o:hralign="center" o:hrstd="t" o:hr="t"/>
        </w:pict>
      </w:r>
    </w:p>
    <w:bookmarkEnd w:id="21"/>
    <w:bookmarkStart w:id="22" w:name="foco-inicial"/>
    <w:p>
      <w:pPr>
        <w:pStyle w:val="Heading2"/>
      </w:pPr>
      <w:r>
        <w:t xml:space="preserve">3. Foco inicial</w:t>
      </w:r>
    </w:p>
    <w:p>
      <w:pPr>
        <w:pStyle w:val="FirstParagraph"/>
      </w:pPr>
      <w:r>
        <w:t xml:space="preserve">O projeto será horizontal, preparado para atender empresas de diferentes setores.</w:t>
      </w:r>
    </w:p>
    <w:p>
      <w:pPr>
        <w:pStyle w:val="BodyText"/>
      </w:pPr>
      <w:r>
        <w:t xml:space="preserve">Porém, a porta de entrada mais viável é o agronegócio, porque já existe acesso e relacionamento com:</w:t>
      </w:r>
    </w:p>
    <w:p>
      <w:pPr>
        <w:pStyle w:val="Compact"/>
        <w:numPr>
          <w:ilvl w:val="0"/>
          <w:numId w:val="1002"/>
        </w:numPr>
      </w:pPr>
      <w:r>
        <w:t xml:space="preserve">revendas agrícolas;</w:t>
      </w:r>
    </w:p>
    <w:p>
      <w:pPr>
        <w:pStyle w:val="Compact"/>
        <w:numPr>
          <w:ilvl w:val="0"/>
          <w:numId w:val="1002"/>
        </w:numPr>
      </w:pPr>
      <w:r>
        <w:t xml:space="preserve">produtores rurais;</w:t>
      </w:r>
    </w:p>
    <w:p>
      <w:pPr>
        <w:pStyle w:val="Compact"/>
        <w:numPr>
          <w:ilvl w:val="0"/>
          <w:numId w:val="1002"/>
        </w:numPr>
      </w:pPr>
      <w:r>
        <w:t xml:space="preserve">transportadoras;</w:t>
      </w:r>
    </w:p>
    <w:p>
      <w:pPr>
        <w:pStyle w:val="Compact"/>
        <w:numPr>
          <w:ilvl w:val="0"/>
          <w:numId w:val="1002"/>
        </w:numPr>
      </w:pPr>
      <w:r>
        <w:t xml:space="preserve">indústrias;</w:t>
      </w:r>
    </w:p>
    <w:p>
      <w:pPr>
        <w:pStyle w:val="Compact"/>
        <w:numPr>
          <w:ilvl w:val="0"/>
          <w:numId w:val="1002"/>
        </w:numPr>
      </w:pPr>
      <w:r>
        <w:t xml:space="preserve">clientes do escritório contábil;</w:t>
      </w:r>
    </w:p>
    <w:p>
      <w:pPr>
        <w:pStyle w:val="Compact"/>
        <w:numPr>
          <w:ilvl w:val="0"/>
          <w:numId w:val="1002"/>
        </w:numPr>
      </w:pPr>
      <w:r>
        <w:t xml:space="preserve">responsáveis fiscais e contábeis.</w:t>
      </w:r>
    </w:p>
    <w:p>
      <w:pPr>
        <w:pStyle w:val="FirstParagraph"/>
      </w:pPr>
      <w:r>
        <w:t xml:space="preserve">O agronegócio seria a primeira rede de teste e distribuição, mas não a identidade definitiva do produto.</w:t>
      </w:r>
    </w:p>
    <w:p>
      <w:pPr>
        <w:pStyle w:val="BodyText"/>
      </w:pPr>
      <w:r>
        <w:t xml:space="preserve">A arquitetura deve usar conceitos gerais, como:</w:t>
      </w:r>
    </w:p>
    <w:p>
      <w:pPr>
        <w:pStyle w:val="Compact"/>
        <w:numPr>
          <w:ilvl w:val="0"/>
          <w:numId w:val="1003"/>
        </w:numPr>
      </w:pPr>
      <w:r>
        <w:t xml:space="preserve">adquirente;</w:t>
      </w:r>
    </w:p>
    <w:p>
      <w:pPr>
        <w:pStyle w:val="Compact"/>
        <w:numPr>
          <w:ilvl w:val="0"/>
          <w:numId w:val="1003"/>
        </w:numPr>
      </w:pPr>
      <w:r>
        <w:t xml:space="preserve">fornecedor;</w:t>
      </w:r>
    </w:p>
    <w:p>
      <w:pPr>
        <w:pStyle w:val="Compact"/>
        <w:numPr>
          <w:ilvl w:val="0"/>
          <w:numId w:val="1003"/>
        </w:numPr>
      </w:pPr>
      <w:r>
        <w:t xml:space="preserve">operação;</w:t>
      </w:r>
    </w:p>
    <w:p>
      <w:pPr>
        <w:pStyle w:val="Compact"/>
        <w:numPr>
          <w:ilvl w:val="0"/>
          <w:numId w:val="1003"/>
        </w:numPr>
      </w:pPr>
      <w:r>
        <w:t xml:space="preserve">documento fiscal;</w:t>
      </w:r>
    </w:p>
    <w:p>
      <w:pPr>
        <w:pStyle w:val="Compact"/>
        <w:numPr>
          <w:ilvl w:val="0"/>
          <w:numId w:val="1003"/>
        </w:numPr>
      </w:pPr>
      <w:r>
        <w:t xml:space="preserve">IBS;</w:t>
      </w:r>
    </w:p>
    <w:p>
      <w:pPr>
        <w:pStyle w:val="Compact"/>
        <w:numPr>
          <w:ilvl w:val="0"/>
          <w:numId w:val="1003"/>
        </w:numPr>
      </w:pPr>
      <w:r>
        <w:t xml:space="preserve">CBS;</w:t>
      </w:r>
    </w:p>
    <w:p>
      <w:pPr>
        <w:pStyle w:val="Compact"/>
        <w:numPr>
          <w:ilvl w:val="0"/>
          <w:numId w:val="1003"/>
        </w:numPr>
      </w:pPr>
      <w:r>
        <w:t xml:space="preserve">débito;</w:t>
      </w:r>
    </w:p>
    <w:p>
      <w:pPr>
        <w:pStyle w:val="Compact"/>
        <w:numPr>
          <w:ilvl w:val="0"/>
          <w:numId w:val="1003"/>
        </w:numPr>
      </w:pPr>
      <w:r>
        <w:t xml:space="preserve">crédito;</w:t>
      </w:r>
    </w:p>
    <w:p>
      <w:pPr>
        <w:pStyle w:val="Compact"/>
        <w:numPr>
          <w:ilvl w:val="0"/>
          <w:numId w:val="1003"/>
        </w:numPr>
      </w:pPr>
      <w:r>
        <w:t xml:space="preserve">extinção;</w:t>
      </w:r>
    </w:p>
    <w:p>
      <w:pPr>
        <w:pStyle w:val="Compact"/>
        <w:numPr>
          <w:ilvl w:val="0"/>
          <w:numId w:val="1003"/>
        </w:numPr>
      </w:pPr>
      <w:r>
        <w:t xml:space="preserve">divergência;</w:t>
      </w:r>
    </w:p>
    <w:p>
      <w:pPr>
        <w:pStyle w:val="Compact"/>
        <w:numPr>
          <w:ilvl w:val="0"/>
          <w:numId w:val="1003"/>
        </w:numPr>
      </w:pPr>
      <w:r>
        <w:t xml:space="preserve">contestação;</w:t>
      </w:r>
    </w:p>
    <w:p>
      <w:pPr>
        <w:pStyle w:val="Compact"/>
        <w:numPr>
          <w:ilvl w:val="0"/>
          <w:numId w:val="1003"/>
        </w:numPr>
      </w:pPr>
      <w:r>
        <w:t xml:space="preserve">regularização;</w:t>
      </w:r>
    </w:p>
    <w:p>
      <w:pPr>
        <w:pStyle w:val="Compact"/>
        <w:numPr>
          <w:ilvl w:val="0"/>
          <w:numId w:val="1003"/>
        </w:numPr>
      </w:pPr>
      <w:r>
        <w:t xml:space="preserve">evidência.</w:t>
      </w:r>
    </w:p>
    <w:p>
      <w:r>
        <w:pict>
          <v:rect style="width:0;height:1.5pt" o:hralign="center" o:hrstd="t" o:hr="t"/>
        </w:pict>
      </w:r>
    </w:p>
    <w:bookmarkEnd w:id="22"/>
    <w:bookmarkStart w:id="23" w:name="dados-oficiais-e-apis"/>
    <w:p>
      <w:pPr>
        <w:pStyle w:val="Heading2"/>
      </w:pPr>
      <w:r>
        <w:t xml:space="preserve">4. Dados oficiais e APIs</w:t>
      </w:r>
    </w:p>
    <w:p>
      <w:pPr>
        <w:pStyle w:val="FirstParagraph"/>
      </w:pPr>
      <w:r>
        <w:t xml:space="preserve">O Governo já divulgou estruturas técnicas importantes relacionadas ao IBS e à CBS.</w:t>
      </w:r>
    </w:p>
    <w:p>
      <w:pPr>
        <w:pStyle w:val="BodyText"/>
      </w:pPr>
      <w:r>
        <w:t xml:space="preserve">Entre as informações apresentadas para a Apuração Assistida da CBS estão:</w:t>
      </w:r>
    </w:p>
    <w:p>
      <w:pPr>
        <w:pStyle w:val="Compact"/>
        <w:numPr>
          <w:ilvl w:val="0"/>
          <w:numId w:val="1004"/>
        </w:numPr>
      </w:pPr>
      <w:r>
        <w:t xml:space="preserve">documento fiscal;</w:t>
      </w:r>
    </w:p>
    <w:p>
      <w:pPr>
        <w:pStyle w:val="Compact"/>
        <w:numPr>
          <w:ilvl w:val="0"/>
          <w:numId w:val="1004"/>
        </w:numPr>
      </w:pPr>
      <w:r>
        <w:t xml:space="preserve">emitente;</w:t>
      </w:r>
    </w:p>
    <w:p>
      <w:pPr>
        <w:pStyle w:val="Compact"/>
        <w:numPr>
          <w:ilvl w:val="0"/>
          <w:numId w:val="1004"/>
        </w:numPr>
      </w:pPr>
      <w:r>
        <w:t xml:space="preserve">destinatário;</w:t>
      </w:r>
    </w:p>
    <w:p>
      <w:pPr>
        <w:pStyle w:val="Compact"/>
        <w:numPr>
          <w:ilvl w:val="0"/>
          <w:numId w:val="1004"/>
        </w:numPr>
      </w:pPr>
      <w:r>
        <w:t xml:space="preserve">valor da CBS;</w:t>
      </w:r>
    </w:p>
    <w:p>
      <w:pPr>
        <w:pStyle w:val="Compact"/>
        <w:numPr>
          <w:ilvl w:val="0"/>
          <w:numId w:val="1004"/>
        </w:numPr>
      </w:pPr>
      <w:r>
        <w:t xml:space="preserve">saldo;</w:t>
      </w:r>
    </w:p>
    <w:p>
      <w:pPr>
        <w:pStyle w:val="Compact"/>
        <w:numPr>
          <w:ilvl w:val="0"/>
          <w:numId w:val="1004"/>
        </w:numPr>
      </w:pPr>
      <w:r>
        <w:t xml:space="preserve">pagamentos;</w:t>
      </w:r>
    </w:p>
    <w:p>
      <w:pPr>
        <w:pStyle w:val="Compact"/>
        <w:numPr>
          <w:ilvl w:val="0"/>
          <w:numId w:val="1004"/>
        </w:numPr>
      </w:pPr>
      <w:r>
        <w:t xml:space="preserve">créditos;</w:t>
      </w:r>
    </w:p>
    <w:p>
      <w:pPr>
        <w:pStyle w:val="Compact"/>
        <w:numPr>
          <w:ilvl w:val="0"/>
          <w:numId w:val="1004"/>
        </w:numPr>
      </w:pPr>
      <w:r>
        <w:t xml:space="preserve">número de DARF;</w:t>
      </w:r>
    </w:p>
    <w:p>
      <w:pPr>
        <w:pStyle w:val="Compact"/>
        <w:numPr>
          <w:ilvl w:val="0"/>
          <w:numId w:val="1004"/>
        </w:numPr>
      </w:pPr>
      <w:r>
        <w:t xml:space="preserve">situação de extinção do débito.</w:t>
      </w:r>
    </w:p>
    <w:p>
      <w:pPr>
        <w:pStyle w:val="FirstParagraph"/>
      </w:pPr>
      <w:r>
        <w:t xml:space="preserve">Também já existem:</w:t>
      </w:r>
    </w:p>
    <w:p>
      <w:pPr>
        <w:pStyle w:val="Compact"/>
        <w:numPr>
          <w:ilvl w:val="0"/>
          <w:numId w:val="1005"/>
        </w:numPr>
      </w:pPr>
      <w:r>
        <w:t xml:space="preserve">calculadora oficial de IBS/CBS;</w:t>
      </w:r>
    </w:p>
    <w:p>
      <w:pPr>
        <w:pStyle w:val="Compact"/>
        <w:numPr>
          <w:ilvl w:val="0"/>
          <w:numId w:val="1005"/>
        </w:numPr>
      </w:pPr>
      <w:r>
        <w:t xml:space="preserve">API de cálculo;</w:t>
      </w:r>
    </w:p>
    <w:p>
      <w:pPr>
        <w:pStyle w:val="Compact"/>
        <w:numPr>
          <w:ilvl w:val="0"/>
          <w:numId w:val="1005"/>
        </w:numPr>
      </w:pPr>
      <w:r>
        <w:t xml:space="preserve">tabelas de CST e classificação tributária;</w:t>
      </w:r>
    </w:p>
    <w:p>
      <w:pPr>
        <w:pStyle w:val="Compact"/>
        <w:numPr>
          <w:ilvl w:val="0"/>
          <w:numId w:val="1005"/>
        </w:numPr>
      </w:pPr>
      <w:r>
        <w:t xml:space="preserve">novos leiautes dos documentos fiscais;</w:t>
      </w:r>
    </w:p>
    <w:p>
      <w:pPr>
        <w:pStyle w:val="Compact"/>
        <w:numPr>
          <w:ilvl w:val="0"/>
          <w:numId w:val="1005"/>
        </w:numPr>
      </w:pPr>
      <w:r>
        <w:t xml:space="preserve">campos específicos de IBS e CBS nos XMLs;</w:t>
      </w:r>
    </w:p>
    <w:p>
      <w:pPr>
        <w:pStyle w:val="Compact"/>
        <w:numPr>
          <w:ilvl w:val="0"/>
          <w:numId w:val="1005"/>
        </w:numPr>
      </w:pPr>
      <w:r>
        <w:t xml:space="preserve">ambientes de testes e documentação técnica.</w:t>
      </w:r>
    </w:p>
    <w:p>
      <w:pPr>
        <w:pStyle w:val="FirstParagraph"/>
      </w:pPr>
      <w:r>
        <w:t xml:space="preserve">O ponto mais importante é que essas informações não parecem estar sendo criadas como uma consulta pública aberta para qualquer pessoa pesquisar qualquer CNPJ.</w:t>
      </w:r>
    </w:p>
    <w:p>
      <w:pPr>
        <w:pStyle w:val="BodyText"/>
      </w:pPr>
      <w:r>
        <w:t xml:space="preserve">O modelo divulgado aponta para:</w:t>
      </w:r>
    </w:p>
    <w:p>
      <w:pPr>
        <w:pStyle w:val="Compact"/>
        <w:numPr>
          <w:ilvl w:val="0"/>
          <w:numId w:val="1006"/>
        </w:numPr>
      </w:pPr>
      <w:r>
        <w:t xml:space="preserve">autenticação;</w:t>
      </w:r>
    </w:p>
    <w:p>
      <w:pPr>
        <w:pStyle w:val="Compact"/>
        <w:numPr>
          <w:ilvl w:val="0"/>
          <w:numId w:val="1006"/>
        </w:numPr>
      </w:pPr>
      <w:r>
        <w:t xml:space="preserve">credenciamento;</w:t>
      </w:r>
    </w:p>
    <w:p>
      <w:pPr>
        <w:pStyle w:val="Compact"/>
        <w:numPr>
          <w:ilvl w:val="0"/>
          <w:numId w:val="1006"/>
        </w:numPr>
      </w:pPr>
      <w:r>
        <w:t xml:space="preserve">acesso vinculado ao contribuinte;</w:t>
      </w:r>
    </w:p>
    <w:p>
      <w:pPr>
        <w:pStyle w:val="Compact"/>
        <w:numPr>
          <w:ilvl w:val="0"/>
          <w:numId w:val="1006"/>
        </w:numPr>
      </w:pPr>
      <w:r>
        <w:t xml:space="preserve">certificado digital;</w:t>
      </w:r>
    </w:p>
    <w:p>
      <w:pPr>
        <w:pStyle w:val="Compact"/>
        <w:numPr>
          <w:ilvl w:val="0"/>
          <w:numId w:val="1006"/>
        </w:numPr>
      </w:pPr>
      <w:r>
        <w:t xml:space="preserve">autorização;</w:t>
      </w:r>
    </w:p>
    <w:p>
      <w:pPr>
        <w:pStyle w:val="Compact"/>
        <w:numPr>
          <w:ilvl w:val="0"/>
          <w:numId w:val="1006"/>
        </w:numPr>
      </w:pPr>
      <w:r>
        <w:t xml:space="preserve">representação;</w:t>
      </w:r>
    </w:p>
    <w:p>
      <w:pPr>
        <w:pStyle w:val="Compact"/>
        <w:numPr>
          <w:ilvl w:val="0"/>
          <w:numId w:val="1006"/>
        </w:numPr>
      </w:pPr>
      <w:r>
        <w:t xml:space="preserve">ERP ou software autorizado.</w:t>
      </w:r>
    </w:p>
    <w:p>
      <w:pPr>
        <w:pStyle w:val="FirstParagraph"/>
      </w:pPr>
      <w:r>
        <w:t xml:space="preserve">Portanto, a plataforma provavelmente dependerá de autorização da empresa ou de integração com sistemas que já possuam acesso legítimo.</w:t>
      </w:r>
    </w:p>
    <w:p>
      <w:r>
        <w:pict>
          <v:rect style="width:0;height:1.5pt" o:hralign="center" o:hrstd="t" o:hr="t"/>
        </w:pict>
      </w:r>
    </w:p>
    <w:bookmarkEnd w:id="23"/>
    <w:bookmarkStart w:id="28" w:name="uso-de-autorização-como-motor-do-produto"/>
    <w:p>
      <w:pPr>
        <w:pStyle w:val="Heading2"/>
      </w:pPr>
      <w:r>
        <w:t xml:space="preserve">5. Uso de autorização como motor do produto</w:t>
      </w:r>
    </w:p>
    <w:p>
      <w:pPr>
        <w:pStyle w:val="FirstParagraph"/>
      </w:pPr>
      <w:r>
        <w:t xml:space="preserve">A avaliação atual é que é possível construir a plataforma em torno da autorização dos próprios usuários.</w:t>
      </w:r>
    </w:p>
    <w:p>
      <w:pPr>
        <w:pStyle w:val="BodyText"/>
      </w:pPr>
      <w:r>
        <w:t xml:space="preserve">A empresa poderia:</w:t>
      </w:r>
    </w:p>
    <w:p>
      <w:pPr>
        <w:pStyle w:val="Compact"/>
        <w:numPr>
          <w:ilvl w:val="0"/>
          <w:numId w:val="1007"/>
        </w:numPr>
      </w:pPr>
      <w:r>
        <w:t xml:space="preserve">criar seu perfil;</w:t>
      </w:r>
    </w:p>
    <w:p>
      <w:pPr>
        <w:pStyle w:val="Compact"/>
        <w:numPr>
          <w:ilvl w:val="0"/>
          <w:numId w:val="1007"/>
        </w:numPr>
      </w:pPr>
      <w:r>
        <w:t xml:space="preserve">identificar seu representante;</w:t>
      </w:r>
    </w:p>
    <w:p>
      <w:pPr>
        <w:pStyle w:val="Compact"/>
        <w:numPr>
          <w:ilvl w:val="0"/>
          <w:numId w:val="1007"/>
        </w:numPr>
      </w:pPr>
      <w:r>
        <w:t xml:space="preserve">autorizar o acesso a serviços tributários específicos;</w:t>
      </w:r>
    </w:p>
    <w:p>
      <w:pPr>
        <w:pStyle w:val="Compact"/>
        <w:numPr>
          <w:ilvl w:val="0"/>
          <w:numId w:val="1007"/>
        </w:numPr>
      </w:pPr>
      <w:r>
        <w:t xml:space="preserve">conectar seus documentos, ERP ou apuração;</w:t>
      </w:r>
    </w:p>
    <w:p>
      <w:pPr>
        <w:pStyle w:val="Compact"/>
        <w:numPr>
          <w:ilvl w:val="0"/>
          <w:numId w:val="1007"/>
        </w:numPr>
      </w:pPr>
      <w:r>
        <w:t xml:space="preserve">permitir que a plataforma verifique situações relacionadas às suas operações;</w:t>
      </w:r>
    </w:p>
    <w:p>
      <w:pPr>
        <w:pStyle w:val="Compact"/>
        <w:numPr>
          <w:ilvl w:val="0"/>
          <w:numId w:val="1007"/>
        </w:numPr>
      </w:pPr>
      <w:r>
        <w:t xml:space="preserve">definir o que poderá ser compartilhado com suas contrapartes.</w:t>
      </w:r>
    </w:p>
    <w:p>
      <w:pPr>
        <w:pStyle w:val="FirstParagraph"/>
      </w:pPr>
      <w:r>
        <w:t xml:space="preserve">Essa autorização não deve ser genérica.</w:t>
      </w:r>
    </w:p>
    <w:p>
      <w:pPr>
        <w:pStyle w:val="BodyText"/>
      </w:pPr>
      <w:r>
        <w:t xml:space="preserve">O ideal é trabalhar com módulos separados.</w:t>
      </w:r>
    </w:p>
    <w:bookmarkStart w:id="24" w:name="módulo-de-documentos-fiscais"/>
    <w:p>
      <w:pPr>
        <w:pStyle w:val="Heading3"/>
      </w:pPr>
      <w:r>
        <w:t xml:space="preserve">Módulo de documentos fiscais</w:t>
      </w:r>
    </w:p>
    <w:p>
      <w:pPr>
        <w:pStyle w:val="FirstParagraph"/>
      </w:pPr>
      <w:r>
        <w:t xml:space="preserve">Permite acessar:</w:t>
      </w:r>
    </w:p>
    <w:p>
      <w:pPr>
        <w:pStyle w:val="Compact"/>
        <w:numPr>
          <w:ilvl w:val="0"/>
          <w:numId w:val="1008"/>
        </w:numPr>
      </w:pPr>
      <w:r>
        <w:t xml:space="preserve">documentos emitidos e recebidos;</w:t>
      </w:r>
    </w:p>
    <w:p>
      <w:pPr>
        <w:pStyle w:val="Compact"/>
        <w:numPr>
          <w:ilvl w:val="0"/>
          <w:numId w:val="1008"/>
        </w:numPr>
      </w:pPr>
      <w:r>
        <w:t xml:space="preserve">emitente e destinatário;</w:t>
      </w:r>
    </w:p>
    <w:p>
      <w:pPr>
        <w:pStyle w:val="Compact"/>
        <w:numPr>
          <w:ilvl w:val="0"/>
          <w:numId w:val="1008"/>
        </w:numPr>
      </w:pPr>
      <w:r>
        <w:t xml:space="preserve">valores de IBS/CBS;</w:t>
      </w:r>
    </w:p>
    <w:p>
      <w:pPr>
        <w:pStyle w:val="Compact"/>
        <w:numPr>
          <w:ilvl w:val="0"/>
          <w:numId w:val="1008"/>
        </w:numPr>
      </w:pPr>
      <w:r>
        <w:t xml:space="preserve">identificadores da operação;</w:t>
      </w:r>
    </w:p>
    <w:p>
      <w:pPr>
        <w:pStyle w:val="Compact"/>
        <w:numPr>
          <w:ilvl w:val="0"/>
          <w:numId w:val="1008"/>
        </w:numPr>
      </w:pPr>
      <w:r>
        <w:t xml:space="preserve">eventos vinculados.</w:t>
      </w:r>
    </w:p>
    <w:bookmarkEnd w:id="24"/>
    <w:bookmarkStart w:id="25" w:name="módulo-de-extinção"/>
    <w:p>
      <w:pPr>
        <w:pStyle w:val="Heading3"/>
      </w:pPr>
      <w:r>
        <w:t xml:space="preserve">Módulo de extinção</w:t>
      </w:r>
    </w:p>
    <w:p>
      <w:pPr>
        <w:pStyle w:val="FirstParagraph"/>
      </w:pPr>
      <w:r>
        <w:t xml:space="preserve">Permite verificar:</w:t>
      </w:r>
    </w:p>
    <w:p>
      <w:pPr>
        <w:pStyle w:val="Compact"/>
        <w:numPr>
          <w:ilvl w:val="0"/>
          <w:numId w:val="1009"/>
        </w:numPr>
      </w:pPr>
      <w:r>
        <w:t xml:space="preserve">existência do débito;</w:t>
      </w:r>
    </w:p>
    <w:p>
      <w:pPr>
        <w:pStyle w:val="Compact"/>
        <w:numPr>
          <w:ilvl w:val="0"/>
          <w:numId w:val="1009"/>
        </w:numPr>
      </w:pPr>
      <w:r>
        <w:t xml:space="preserve">situação da extinção;</w:t>
      </w:r>
    </w:p>
    <w:p>
      <w:pPr>
        <w:pStyle w:val="Compact"/>
        <w:numPr>
          <w:ilvl w:val="0"/>
          <w:numId w:val="1009"/>
        </w:numPr>
      </w:pPr>
      <w:r>
        <w:t xml:space="preserve">data;</w:t>
      </w:r>
    </w:p>
    <w:p>
      <w:pPr>
        <w:pStyle w:val="Compact"/>
        <w:numPr>
          <w:ilvl w:val="0"/>
          <w:numId w:val="1009"/>
        </w:numPr>
      </w:pPr>
      <w:r>
        <w:t xml:space="preserve">modalidade;</w:t>
      </w:r>
    </w:p>
    <w:p>
      <w:pPr>
        <w:pStyle w:val="Compact"/>
        <w:numPr>
          <w:ilvl w:val="0"/>
          <w:numId w:val="1009"/>
        </w:numPr>
      </w:pPr>
      <w:r>
        <w:t xml:space="preserve">eventual saldo.</w:t>
      </w:r>
    </w:p>
    <w:bookmarkEnd w:id="25"/>
    <w:bookmarkStart w:id="26" w:name="módulo-de-compartilhamento"/>
    <w:p>
      <w:pPr>
        <w:pStyle w:val="Heading3"/>
      </w:pPr>
      <w:r>
        <w:t xml:space="preserve">Módulo de compartilhamento</w:t>
      </w:r>
    </w:p>
    <w:p>
      <w:pPr>
        <w:pStyle w:val="FirstParagraph"/>
      </w:pPr>
      <w:r>
        <w:t xml:space="preserve">Permite informar à contraparte apenas o necessário, como:</w:t>
      </w:r>
    </w:p>
    <w:p>
      <w:pPr>
        <w:pStyle w:val="Compact"/>
        <w:numPr>
          <w:ilvl w:val="0"/>
          <w:numId w:val="1010"/>
        </w:numPr>
      </w:pPr>
      <w:r>
        <w:t xml:space="preserve">confirmado;</w:t>
      </w:r>
    </w:p>
    <w:p>
      <w:pPr>
        <w:pStyle w:val="Compact"/>
        <w:numPr>
          <w:ilvl w:val="0"/>
          <w:numId w:val="1010"/>
        </w:numPr>
      </w:pPr>
      <w:r>
        <w:t xml:space="preserve">aguardando processamento;</w:t>
      </w:r>
    </w:p>
    <w:p>
      <w:pPr>
        <w:pStyle w:val="Compact"/>
        <w:numPr>
          <w:ilvl w:val="0"/>
          <w:numId w:val="1010"/>
        </w:numPr>
      </w:pPr>
      <w:r>
        <w:t xml:space="preserve">pendente de confirmação;</w:t>
      </w:r>
    </w:p>
    <w:p>
      <w:pPr>
        <w:pStyle w:val="Compact"/>
        <w:numPr>
          <w:ilvl w:val="0"/>
          <w:numId w:val="1010"/>
        </w:numPr>
      </w:pPr>
      <w:r>
        <w:t xml:space="preserve">contestado;</w:t>
      </w:r>
    </w:p>
    <w:p>
      <w:pPr>
        <w:pStyle w:val="Compact"/>
        <w:numPr>
          <w:ilvl w:val="0"/>
          <w:numId w:val="1010"/>
        </w:numPr>
      </w:pPr>
      <w:r>
        <w:t xml:space="preserve">regularizado;</w:t>
      </w:r>
    </w:p>
    <w:p>
      <w:pPr>
        <w:pStyle w:val="Compact"/>
        <w:numPr>
          <w:ilvl w:val="0"/>
          <w:numId w:val="1010"/>
        </w:numPr>
      </w:pPr>
      <w:r>
        <w:t xml:space="preserve">não localizado.</w:t>
      </w:r>
    </w:p>
    <w:bookmarkEnd w:id="26"/>
    <w:bookmarkStart w:id="27" w:name="módulo-de-comunicação"/>
    <w:p>
      <w:pPr>
        <w:pStyle w:val="Heading3"/>
      </w:pPr>
      <w:r>
        <w:t xml:space="preserve">Módulo de comunicação</w:t>
      </w:r>
    </w:p>
    <w:p>
      <w:pPr>
        <w:pStyle w:val="FirstParagraph"/>
      </w:pPr>
      <w:r>
        <w:t xml:space="preserve">Permite:</w:t>
      </w:r>
    </w:p>
    <w:p>
      <w:pPr>
        <w:pStyle w:val="Compact"/>
        <w:numPr>
          <w:ilvl w:val="0"/>
          <w:numId w:val="1011"/>
        </w:numPr>
      </w:pPr>
      <w:r>
        <w:t xml:space="preserve">alertas;</w:t>
      </w:r>
    </w:p>
    <w:p>
      <w:pPr>
        <w:pStyle w:val="Compact"/>
        <w:numPr>
          <w:ilvl w:val="0"/>
          <w:numId w:val="1011"/>
        </w:numPr>
      </w:pPr>
      <w:r>
        <w:t xml:space="preserve">notificações;</w:t>
      </w:r>
    </w:p>
    <w:p>
      <w:pPr>
        <w:pStyle w:val="Compact"/>
        <w:numPr>
          <w:ilvl w:val="0"/>
          <w:numId w:val="1011"/>
        </w:numPr>
      </w:pPr>
      <w:r>
        <w:t xml:space="preserve">contato com responsável fiscal;</w:t>
      </w:r>
    </w:p>
    <w:p>
      <w:pPr>
        <w:pStyle w:val="Compact"/>
        <w:numPr>
          <w:ilvl w:val="0"/>
          <w:numId w:val="1011"/>
        </w:numPr>
      </w:pPr>
      <w:r>
        <w:t xml:space="preserve">contato com contador autorizado;</w:t>
      </w:r>
    </w:p>
    <w:p>
      <w:pPr>
        <w:pStyle w:val="Compact"/>
        <w:numPr>
          <w:ilvl w:val="0"/>
          <w:numId w:val="1011"/>
        </w:numPr>
      </w:pPr>
      <w:r>
        <w:t xml:space="preserve">solicitação de documentos.</w:t>
      </w:r>
    </w:p>
    <w:p>
      <w:pPr>
        <w:pStyle w:val="FirstParagraph"/>
      </w:pPr>
      <w:r>
        <w:t xml:space="preserve">A autorização pode se tornar um diferencial comercial.</w:t>
      </w:r>
    </w:p>
    <w:p>
      <w:pPr>
        <w:pStyle w:val="BodyText"/>
      </w:pPr>
      <w:r>
        <w:t xml:space="preserve">Uma empresa com perfil conectado poderia demonstrar ao mercado que seus dados estão atualizados e que ela responde rapidamente a divergências.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o-que-deve-ser-divulgado"/>
    <w:p>
      <w:pPr>
        <w:pStyle w:val="Heading2"/>
      </w:pPr>
      <w:r>
        <w:t xml:space="preserve">6. O que deve ser divulgado</w:t>
      </w:r>
    </w:p>
    <w:p>
      <w:pPr>
        <w:pStyle w:val="FirstParagraph"/>
      </w:pPr>
      <w:r>
        <w:t xml:space="preserve">Mesmo que a plataforma tenha acesso a informações mais completas, ela não deve expor toda a apuração da empresa.</w:t>
      </w:r>
    </w:p>
    <w:p>
      <w:pPr>
        <w:pStyle w:val="BodyText"/>
      </w:pPr>
      <w:r>
        <w:t xml:space="preserve">O ideal é compartilhar apenas o recorte necessário para a operação entre comprador e fornecedor.</w:t>
      </w:r>
    </w:p>
    <w:p>
      <w:pPr>
        <w:pStyle w:val="BodyText"/>
      </w:pPr>
      <w:r>
        <w:t xml:space="preserve">Exemplo:</w:t>
      </w:r>
    </w:p>
    <w:p>
      <w:pPr>
        <w:pStyle w:val="BlockText"/>
      </w:pPr>
      <w:r>
        <w:t xml:space="preserve">Extinção confirmada para a operação consultada.</w:t>
      </w:r>
    </w:p>
    <w:p>
      <w:pPr>
        <w:pStyle w:val="FirstParagraph"/>
      </w:pPr>
      <w:r>
        <w:t xml:space="preserve">Ou:</w:t>
      </w:r>
    </w:p>
    <w:p>
      <w:pPr>
        <w:pStyle w:val="BlockText"/>
      </w:pPr>
      <w:r>
        <w:t xml:space="preserve">Confirmação ainda não localizada. A operação está em processamento.</w:t>
      </w:r>
    </w:p>
    <w:p>
      <w:pPr>
        <w:pStyle w:val="FirstParagraph"/>
      </w:pPr>
      <w:r>
        <w:t xml:space="preserve">Ou:</w:t>
      </w:r>
    </w:p>
    <w:p>
      <w:pPr>
        <w:pStyle w:val="BlockText"/>
      </w:pPr>
      <w:r>
        <w:t xml:space="preserve">Existe uma divergência em análise. A parte relacionada foi notificada.</w:t>
      </w:r>
    </w:p>
    <w:p>
      <w:pPr>
        <w:pStyle w:val="FirstParagraph"/>
      </w:pPr>
      <w:r>
        <w:t xml:space="preserve">Não devem ser divulgados:</w:t>
      </w:r>
    </w:p>
    <w:p>
      <w:pPr>
        <w:pStyle w:val="Compact"/>
        <w:numPr>
          <w:ilvl w:val="0"/>
          <w:numId w:val="1012"/>
        </w:numPr>
      </w:pPr>
      <w:r>
        <w:t xml:space="preserve">faturamento total;</w:t>
      </w:r>
    </w:p>
    <w:p>
      <w:pPr>
        <w:pStyle w:val="Compact"/>
        <w:numPr>
          <w:ilvl w:val="0"/>
          <w:numId w:val="1012"/>
        </w:numPr>
      </w:pPr>
      <w:r>
        <w:t xml:space="preserve">todos os débitos;</w:t>
      </w:r>
    </w:p>
    <w:p>
      <w:pPr>
        <w:pStyle w:val="Compact"/>
        <w:numPr>
          <w:ilvl w:val="0"/>
          <w:numId w:val="1012"/>
        </w:numPr>
      </w:pPr>
      <w:r>
        <w:t xml:space="preserve">todas as operações;</w:t>
      </w:r>
    </w:p>
    <w:p>
      <w:pPr>
        <w:pStyle w:val="Compact"/>
        <w:numPr>
          <w:ilvl w:val="0"/>
          <w:numId w:val="1012"/>
        </w:numPr>
      </w:pPr>
      <w:r>
        <w:t xml:space="preserve">saldos gerais;</w:t>
      </w:r>
    </w:p>
    <w:p>
      <w:pPr>
        <w:pStyle w:val="Compact"/>
        <w:numPr>
          <w:ilvl w:val="0"/>
          <w:numId w:val="1012"/>
        </w:numPr>
      </w:pPr>
      <w:r>
        <w:t xml:space="preserve">dados bancários;</w:t>
      </w:r>
    </w:p>
    <w:p>
      <w:pPr>
        <w:pStyle w:val="Compact"/>
        <w:numPr>
          <w:ilvl w:val="0"/>
          <w:numId w:val="1012"/>
        </w:numPr>
      </w:pPr>
      <w:r>
        <w:t xml:space="preserve">apuração completa;</w:t>
      </w:r>
    </w:p>
    <w:p>
      <w:pPr>
        <w:pStyle w:val="Compact"/>
        <w:numPr>
          <w:ilvl w:val="0"/>
          <w:numId w:val="1012"/>
        </w:numPr>
      </w:pPr>
      <w:r>
        <w:t xml:space="preserve">clientes e fornecedores não relacionados;</w:t>
      </w:r>
    </w:p>
    <w:p>
      <w:pPr>
        <w:pStyle w:val="Compact"/>
        <w:numPr>
          <w:ilvl w:val="0"/>
          <w:numId w:val="1012"/>
        </w:numPr>
      </w:pPr>
      <w:r>
        <w:t xml:space="preserve">documentos fiscais integrais sem necessidade.</w:t>
      </w:r>
    </w:p>
    <w:p>
      <w:pPr>
        <w:pStyle w:val="FirstParagraph"/>
      </w:pPr>
      <w:r>
        <w:t xml:space="preserve">O produto deve confirmar fatos objetivos e limitados, e não classificar publicamente a empresa como boa ou ruim.</w:t>
      </w:r>
    </w:p>
    <w:p>
      <w:r>
        <w:pict>
          <v:rect style="width:0;height:1.5pt" o:hralign="center" o:hrstd="t" o:hr="t"/>
        </w:pict>
      </w:r>
    </w:p>
    <w:bookmarkEnd w:id="29"/>
    <w:bookmarkStart w:id="30" w:name="atualização-e-validade-das-informações"/>
    <w:p>
      <w:pPr>
        <w:pStyle w:val="Heading2"/>
      </w:pPr>
      <w:r>
        <w:t xml:space="preserve">7. Atualização e validade das informações</w:t>
      </w:r>
    </w:p>
    <w:p>
      <w:pPr>
        <w:pStyle w:val="FirstParagraph"/>
      </w:pPr>
      <w:r>
        <w:t xml:space="preserve">Uma informação verdadeira hoje pode deixar de ser verdadeira amanhã.</w:t>
      </w:r>
    </w:p>
    <w:p>
      <w:pPr>
        <w:pStyle w:val="BodyText"/>
      </w:pPr>
      <w:r>
        <w:t xml:space="preserve">Por isso, a plataforma não pode trabalhar com registros estáticos como:</w:t>
      </w:r>
    </w:p>
    <w:p>
      <w:pPr>
        <w:pStyle w:val="BlockText"/>
      </w:pPr>
      <w:r>
        <w:t xml:space="preserve">empresa inadimplente.</w:t>
      </w:r>
    </w:p>
    <w:p>
      <w:pPr>
        <w:pStyle w:val="FirstParagraph"/>
      </w:pPr>
      <w:r>
        <w:t xml:space="preserve">O correto é trabalhar com estados temporais da operação.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3"/>
        </w:numPr>
      </w:pPr>
      <w:r>
        <w:t xml:space="preserve">informado;</w:t>
      </w:r>
    </w:p>
    <w:p>
      <w:pPr>
        <w:pStyle w:val="Compact"/>
        <w:numPr>
          <w:ilvl w:val="0"/>
          <w:numId w:val="1013"/>
        </w:numPr>
      </w:pPr>
      <w:r>
        <w:t xml:space="preserve">aguardando evidência;</w:t>
      </w:r>
    </w:p>
    <w:p>
      <w:pPr>
        <w:pStyle w:val="Compact"/>
        <w:numPr>
          <w:ilvl w:val="0"/>
          <w:numId w:val="1013"/>
        </w:numPr>
      </w:pPr>
      <w:r>
        <w:t xml:space="preserve">notificado;</w:t>
      </w:r>
    </w:p>
    <w:p>
      <w:pPr>
        <w:pStyle w:val="Compact"/>
        <w:numPr>
          <w:ilvl w:val="0"/>
          <w:numId w:val="1013"/>
        </w:numPr>
      </w:pPr>
      <w:r>
        <w:t xml:space="preserve">reconhecido;</w:t>
      </w:r>
    </w:p>
    <w:p>
      <w:pPr>
        <w:pStyle w:val="Compact"/>
        <w:numPr>
          <w:ilvl w:val="0"/>
          <w:numId w:val="1013"/>
        </w:numPr>
      </w:pPr>
      <w:r>
        <w:t xml:space="preserve">contestado;</w:t>
      </w:r>
    </w:p>
    <w:p>
      <w:pPr>
        <w:pStyle w:val="Compact"/>
        <w:numPr>
          <w:ilvl w:val="0"/>
          <w:numId w:val="1013"/>
        </w:numPr>
      </w:pPr>
      <w:r>
        <w:t xml:space="preserve">em análise;</w:t>
      </w:r>
    </w:p>
    <w:p>
      <w:pPr>
        <w:pStyle w:val="Compact"/>
        <w:numPr>
          <w:ilvl w:val="0"/>
          <w:numId w:val="1013"/>
        </w:numPr>
      </w:pPr>
      <w:r>
        <w:t xml:space="preserve">em regularização;</w:t>
      </w:r>
    </w:p>
    <w:p>
      <w:pPr>
        <w:pStyle w:val="Compact"/>
        <w:numPr>
          <w:ilvl w:val="0"/>
          <w:numId w:val="1013"/>
        </w:numPr>
      </w:pPr>
      <w:r>
        <w:t xml:space="preserve">regularizado;</w:t>
      </w:r>
    </w:p>
    <w:p>
      <w:pPr>
        <w:pStyle w:val="Compact"/>
        <w:numPr>
          <w:ilvl w:val="0"/>
          <w:numId w:val="1013"/>
        </w:numPr>
      </w:pPr>
      <w:r>
        <w:t xml:space="preserve">confirmado pelo informante;</w:t>
      </w:r>
    </w:p>
    <w:p>
      <w:pPr>
        <w:pStyle w:val="Compact"/>
        <w:numPr>
          <w:ilvl w:val="0"/>
          <w:numId w:val="1013"/>
        </w:numPr>
      </w:pPr>
      <w:r>
        <w:t xml:space="preserve">confirmado por fonte oficial;</w:t>
      </w:r>
    </w:p>
    <w:p>
      <w:pPr>
        <w:pStyle w:val="Compact"/>
        <w:numPr>
          <w:ilvl w:val="0"/>
          <w:numId w:val="1013"/>
        </w:numPr>
      </w:pPr>
      <w:r>
        <w:t xml:space="preserve">expirado;</w:t>
      </w:r>
    </w:p>
    <w:p>
      <w:pPr>
        <w:pStyle w:val="Compact"/>
        <w:numPr>
          <w:ilvl w:val="0"/>
          <w:numId w:val="1013"/>
        </w:numPr>
      </w:pPr>
      <w:r>
        <w:t xml:space="preserve">arquivado.</w:t>
      </w:r>
    </w:p>
    <w:p>
      <w:pPr>
        <w:pStyle w:val="FirstParagraph"/>
      </w:pPr>
      <w:r>
        <w:t xml:space="preserve">A plataforma deve mostrar:</w:t>
      </w:r>
    </w:p>
    <w:p>
      <w:pPr>
        <w:pStyle w:val="Compact"/>
        <w:numPr>
          <w:ilvl w:val="0"/>
          <w:numId w:val="1014"/>
        </w:numPr>
      </w:pPr>
      <w:r>
        <w:t xml:space="preserve">quando a informação foi registrada;</w:t>
      </w:r>
    </w:p>
    <w:p>
      <w:pPr>
        <w:pStyle w:val="Compact"/>
        <w:numPr>
          <w:ilvl w:val="0"/>
          <w:numId w:val="1014"/>
        </w:numPr>
      </w:pPr>
      <w:r>
        <w:t xml:space="preserve">qual é a fonte;</w:t>
      </w:r>
    </w:p>
    <w:p>
      <w:pPr>
        <w:pStyle w:val="Compact"/>
        <w:numPr>
          <w:ilvl w:val="0"/>
          <w:numId w:val="1014"/>
        </w:numPr>
      </w:pPr>
      <w:r>
        <w:t xml:space="preserve">se foi confirmada;</w:t>
      </w:r>
    </w:p>
    <w:p>
      <w:pPr>
        <w:pStyle w:val="Compact"/>
        <w:numPr>
          <w:ilvl w:val="0"/>
          <w:numId w:val="1014"/>
        </w:numPr>
      </w:pPr>
      <w:r>
        <w:t xml:space="preserve">se foi contestada;</w:t>
      </w:r>
    </w:p>
    <w:p>
      <w:pPr>
        <w:pStyle w:val="Compact"/>
        <w:numPr>
          <w:ilvl w:val="0"/>
          <w:numId w:val="1014"/>
        </w:numPr>
      </w:pPr>
      <w:r>
        <w:t xml:space="preserve">quando foi atualizada;</w:t>
      </w:r>
    </w:p>
    <w:p>
      <w:pPr>
        <w:pStyle w:val="Compact"/>
        <w:numPr>
          <w:ilvl w:val="0"/>
          <w:numId w:val="1014"/>
        </w:numPr>
      </w:pPr>
      <w:r>
        <w:t xml:space="preserve">se houve regularização;</w:t>
      </w:r>
    </w:p>
    <w:p>
      <w:pPr>
        <w:pStyle w:val="Compact"/>
        <w:numPr>
          <w:ilvl w:val="0"/>
          <w:numId w:val="1014"/>
        </w:numPr>
      </w:pPr>
      <w:r>
        <w:t xml:space="preserve">qual é o nível de evidência.</w:t>
      </w:r>
    </w:p>
    <w:p>
      <w:pPr>
        <w:pStyle w:val="FirstParagraph"/>
      </w:pPr>
      <w:r>
        <w:t xml:space="preserve">Uma declaração unilateral nunca deve aparecer como verdade oficial.</w:t>
      </w:r>
    </w:p>
    <w:p>
      <w:r>
        <w:pict>
          <v:rect style="width:0;height:1.5pt" o:hralign="center" o:hrstd="t" o:hr="t"/>
        </w:pict>
      </w:r>
    </w:p>
    <w:bookmarkEnd w:id="30"/>
    <w:bookmarkStart w:id="35" w:name="níveis-de-confirmação"/>
    <w:p>
      <w:pPr>
        <w:pStyle w:val="Heading2"/>
      </w:pPr>
      <w:r>
        <w:t xml:space="preserve">8. Níveis de confirmação</w:t>
      </w:r>
    </w:p>
    <w:p>
      <w:pPr>
        <w:pStyle w:val="FirstParagraph"/>
      </w:pPr>
      <w:r>
        <w:t xml:space="preserve">Podemos trabalhar com quatro níveis.</w:t>
      </w:r>
    </w:p>
    <w:bookmarkStart w:id="31" w:name="nível-1-declaração"/>
    <w:p>
      <w:pPr>
        <w:pStyle w:val="Heading3"/>
      </w:pPr>
      <w:r>
        <w:t xml:space="preserve">Nível 1 — Declaração</w:t>
      </w:r>
    </w:p>
    <w:p>
      <w:pPr>
        <w:pStyle w:val="FirstParagraph"/>
      </w:pPr>
      <w:r>
        <w:t xml:space="preserve">Um participante informa a situação.</w:t>
      </w:r>
    </w:p>
    <w:p>
      <w:pPr>
        <w:pStyle w:val="BodyText"/>
      </w:pPr>
      <w:r>
        <w:t xml:space="preserve">Ainda não há validação independente.</w:t>
      </w:r>
    </w:p>
    <w:bookmarkEnd w:id="31"/>
    <w:bookmarkStart w:id="32" w:name="nível-2-evidência-documental"/>
    <w:p>
      <w:pPr>
        <w:pStyle w:val="Heading3"/>
      </w:pPr>
      <w:r>
        <w:t xml:space="preserve">Nível 2 — Evidência documental</w:t>
      </w:r>
    </w:p>
    <w:p>
      <w:pPr>
        <w:pStyle w:val="FirstParagraph"/>
      </w:pPr>
      <w:r>
        <w:t xml:space="preserve">O participante apresenta documentos ou dados estruturados.</w:t>
      </w:r>
    </w:p>
    <w:bookmarkEnd w:id="32"/>
    <w:bookmarkStart w:id="33" w:name="nível-3-confirmação-bilateral"/>
    <w:p>
      <w:pPr>
        <w:pStyle w:val="Heading3"/>
      </w:pPr>
      <w:r>
        <w:t xml:space="preserve">Nível 3 — Confirmação bilateral</w:t>
      </w:r>
    </w:p>
    <w:p>
      <w:pPr>
        <w:pStyle w:val="FirstParagraph"/>
      </w:pPr>
      <w:r>
        <w:t xml:space="preserve">As duas partes confirmam a situação ou a regularização.</w:t>
      </w:r>
    </w:p>
    <w:bookmarkEnd w:id="33"/>
    <w:bookmarkStart w:id="34" w:name="nível-4-confirmação-sistêmica"/>
    <w:p>
      <w:pPr>
        <w:pStyle w:val="Heading3"/>
      </w:pPr>
      <w:r>
        <w:t xml:space="preserve">Nível 4 — Confirmação sistêmica</w:t>
      </w:r>
    </w:p>
    <w:p>
      <w:pPr>
        <w:pStyle w:val="FirstParagraph"/>
      </w:pPr>
      <w:r>
        <w:t xml:space="preserve">A informação vem de:</w:t>
      </w:r>
    </w:p>
    <w:p>
      <w:pPr>
        <w:pStyle w:val="Compact"/>
        <w:numPr>
          <w:ilvl w:val="0"/>
          <w:numId w:val="1015"/>
        </w:numPr>
      </w:pPr>
      <w:r>
        <w:t xml:space="preserve">API oficial;</w:t>
      </w:r>
    </w:p>
    <w:p>
      <w:pPr>
        <w:pStyle w:val="Compact"/>
        <w:numPr>
          <w:ilvl w:val="0"/>
          <w:numId w:val="1015"/>
        </w:numPr>
      </w:pPr>
      <w:r>
        <w:t xml:space="preserve">ERP autorizado;</w:t>
      </w:r>
    </w:p>
    <w:p>
      <w:pPr>
        <w:pStyle w:val="Compact"/>
        <w:numPr>
          <w:ilvl w:val="0"/>
          <w:numId w:val="1015"/>
        </w:numPr>
      </w:pPr>
      <w:r>
        <w:t xml:space="preserve">instituição financeira;</w:t>
      </w:r>
    </w:p>
    <w:p>
      <w:pPr>
        <w:pStyle w:val="Compact"/>
        <w:numPr>
          <w:ilvl w:val="0"/>
          <w:numId w:val="1015"/>
        </w:numPr>
      </w:pPr>
      <w:r>
        <w:t xml:space="preserve">sistema tributário;</w:t>
      </w:r>
    </w:p>
    <w:p>
      <w:pPr>
        <w:pStyle w:val="Compact"/>
        <w:numPr>
          <w:ilvl w:val="0"/>
          <w:numId w:val="1015"/>
        </w:numPr>
      </w:pPr>
      <w:r>
        <w:t xml:space="preserve">fonte governamental válida.</w:t>
      </w:r>
    </w:p>
    <w:p>
      <w:pPr>
        <w:pStyle w:val="FirstParagraph"/>
      </w:pPr>
      <w:r>
        <w:t xml:space="preserve">A interface deve indicar claramente o nível de confirmação.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lgpd-e-responsabilidade"/>
    <w:p>
      <w:pPr>
        <w:pStyle w:val="Heading2"/>
      </w:pPr>
      <w:r>
        <w:t xml:space="preserve">9. LGPD e responsabilidade</w:t>
      </w:r>
    </w:p>
    <w:p>
      <w:pPr>
        <w:pStyle w:val="FirstParagraph"/>
      </w:pPr>
      <w:r>
        <w:t xml:space="preserve">A LGPD precisa estar no centro do projeto desde o início.</w:t>
      </w:r>
    </w:p>
    <w:p>
      <w:pPr>
        <w:pStyle w:val="BodyText"/>
      </w:pPr>
      <w:r>
        <w:t xml:space="preserve">Não será suficiente escrever nos termos que a plataforma</w:t>
      </w:r>
      <w:r>
        <w:t xml:space="preserve"> </w:t>
      </w:r>
      <w:r>
        <w:t xml:space="preserve">“não responde por nada”</w:t>
      </w:r>
      <w:r>
        <w:t xml:space="preserve">.</w:t>
      </w:r>
    </w:p>
    <w:p>
      <w:pPr>
        <w:pStyle w:val="BodyText"/>
      </w:pPr>
      <w:r>
        <w:t xml:space="preserve">Os usuários podem e devem ser responsabilizados por:</w:t>
      </w:r>
    </w:p>
    <w:p>
      <w:pPr>
        <w:pStyle w:val="Compact"/>
        <w:numPr>
          <w:ilvl w:val="0"/>
          <w:numId w:val="1016"/>
        </w:numPr>
      </w:pPr>
      <w:r>
        <w:t xml:space="preserve">veracidade das informações;</w:t>
      </w:r>
    </w:p>
    <w:p>
      <w:pPr>
        <w:pStyle w:val="Compact"/>
        <w:numPr>
          <w:ilvl w:val="0"/>
          <w:numId w:val="1016"/>
        </w:numPr>
      </w:pPr>
      <w:r>
        <w:t xml:space="preserve">existência dos documentos;</w:t>
      </w:r>
    </w:p>
    <w:p>
      <w:pPr>
        <w:pStyle w:val="Compact"/>
        <w:numPr>
          <w:ilvl w:val="0"/>
          <w:numId w:val="1016"/>
        </w:numPr>
      </w:pPr>
      <w:r>
        <w:t xml:space="preserve">atualização;</w:t>
      </w:r>
    </w:p>
    <w:p>
      <w:pPr>
        <w:pStyle w:val="Compact"/>
        <w:numPr>
          <w:ilvl w:val="0"/>
          <w:numId w:val="1016"/>
        </w:numPr>
      </w:pPr>
      <w:r>
        <w:t xml:space="preserve">fraude;</w:t>
      </w:r>
    </w:p>
    <w:p>
      <w:pPr>
        <w:pStyle w:val="Compact"/>
        <w:numPr>
          <w:ilvl w:val="0"/>
          <w:numId w:val="1016"/>
        </w:numPr>
      </w:pPr>
      <w:r>
        <w:t xml:space="preserve">uso abusivo;</w:t>
      </w:r>
    </w:p>
    <w:p>
      <w:pPr>
        <w:pStyle w:val="Compact"/>
        <w:numPr>
          <w:ilvl w:val="0"/>
          <w:numId w:val="1016"/>
        </w:numPr>
      </w:pPr>
      <w:r>
        <w:t xml:space="preserve">comunicação de pagamento;</w:t>
      </w:r>
    </w:p>
    <w:p>
      <w:pPr>
        <w:pStyle w:val="Compact"/>
        <w:numPr>
          <w:ilvl w:val="0"/>
          <w:numId w:val="1016"/>
        </w:numPr>
      </w:pPr>
      <w:r>
        <w:t xml:space="preserve">resposta às contestações;</w:t>
      </w:r>
    </w:p>
    <w:p>
      <w:pPr>
        <w:pStyle w:val="Compact"/>
        <w:numPr>
          <w:ilvl w:val="0"/>
          <w:numId w:val="1016"/>
        </w:numPr>
      </w:pPr>
      <w:r>
        <w:t xml:space="preserve">indenização por informações falsas.</w:t>
      </w:r>
    </w:p>
    <w:p>
      <w:pPr>
        <w:pStyle w:val="FirstParagraph"/>
      </w:pPr>
      <w:r>
        <w:t xml:space="preserve">Por outro lado, a plataforma continuará responsável pelo que efetivamente controla, como:</w:t>
      </w:r>
    </w:p>
    <w:p>
      <w:pPr>
        <w:pStyle w:val="Compact"/>
        <w:numPr>
          <w:ilvl w:val="0"/>
          <w:numId w:val="1017"/>
        </w:numPr>
      </w:pPr>
      <w:r>
        <w:t xml:space="preserve">segurança do sistema;</w:t>
      </w:r>
    </w:p>
    <w:p>
      <w:pPr>
        <w:pStyle w:val="Compact"/>
        <w:numPr>
          <w:ilvl w:val="0"/>
          <w:numId w:val="1017"/>
        </w:numPr>
      </w:pPr>
      <w:r>
        <w:t xml:space="preserve">controle de acesso;</w:t>
      </w:r>
    </w:p>
    <w:p>
      <w:pPr>
        <w:pStyle w:val="Compact"/>
        <w:numPr>
          <w:ilvl w:val="0"/>
          <w:numId w:val="1017"/>
        </w:numPr>
      </w:pPr>
      <w:r>
        <w:t xml:space="preserve">logs;</w:t>
      </w:r>
    </w:p>
    <w:p>
      <w:pPr>
        <w:pStyle w:val="Compact"/>
        <w:numPr>
          <w:ilvl w:val="0"/>
          <w:numId w:val="1017"/>
        </w:numPr>
      </w:pPr>
      <w:r>
        <w:t xml:space="preserve">rastreabilidade;</w:t>
      </w:r>
    </w:p>
    <w:p>
      <w:pPr>
        <w:pStyle w:val="Compact"/>
        <w:numPr>
          <w:ilvl w:val="0"/>
          <w:numId w:val="1017"/>
        </w:numPr>
      </w:pPr>
      <w:r>
        <w:t xml:space="preserve">retenção;</w:t>
      </w:r>
    </w:p>
    <w:p>
      <w:pPr>
        <w:pStyle w:val="Compact"/>
        <w:numPr>
          <w:ilvl w:val="0"/>
          <w:numId w:val="1017"/>
        </w:numPr>
      </w:pPr>
      <w:r>
        <w:t xml:space="preserve">exclusão;</w:t>
      </w:r>
    </w:p>
    <w:p>
      <w:pPr>
        <w:pStyle w:val="Compact"/>
        <w:numPr>
          <w:ilvl w:val="0"/>
          <w:numId w:val="1017"/>
        </w:numPr>
      </w:pPr>
      <w:r>
        <w:t xml:space="preserve">atendimento a direitos;</w:t>
      </w:r>
    </w:p>
    <w:p>
      <w:pPr>
        <w:pStyle w:val="Compact"/>
        <w:numPr>
          <w:ilvl w:val="0"/>
          <w:numId w:val="1017"/>
        </w:numPr>
      </w:pPr>
      <w:r>
        <w:t xml:space="preserve">processo de contestação;</w:t>
      </w:r>
    </w:p>
    <w:p>
      <w:pPr>
        <w:pStyle w:val="Compact"/>
        <w:numPr>
          <w:ilvl w:val="0"/>
          <w:numId w:val="1017"/>
        </w:numPr>
      </w:pPr>
      <w:r>
        <w:t xml:space="preserve">correção de cálculos;</w:t>
      </w:r>
    </w:p>
    <w:p>
      <w:pPr>
        <w:pStyle w:val="Compact"/>
        <w:numPr>
          <w:ilvl w:val="0"/>
          <w:numId w:val="1017"/>
        </w:numPr>
      </w:pPr>
      <w:r>
        <w:t xml:space="preserve">prevenção de abuso;</w:t>
      </w:r>
    </w:p>
    <w:p>
      <w:pPr>
        <w:pStyle w:val="Compact"/>
        <w:numPr>
          <w:ilvl w:val="0"/>
          <w:numId w:val="1017"/>
        </w:numPr>
      </w:pPr>
      <w:r>
        <w:t xml:space="preserve">comunicação de incidentes.</w:t>
      </w:r>
    </w:p>
    <w:p>
      <w:pPr>
        <w:pStyle w:val="FirstParagraph"/>
      </w:pPr>
      <w:r>
        <w:t xml:space="preserve">A posição mais segura é:</w:t>
      </w:r>
    </w:p>
    <w:p>
      <w:pPr>
        <w:pStyle w:val="BlockText"/>
      </w:pPr>
      <w:r>
        <w:t xml:space="preserve">o usuário responde pela informação que fornece, e a plataforma responde pela forma como coleta, organiza, protege, processa e compartilha essa informação.</w:t>
      </w:r>
    </w:p>
    <w:p>
      <w:pPr>
        <w:pStyle w:val="FirstParagraph"/>
      </w:pPr>
      <w:r>
        <w:t xml:space="preserve">Também será necessário separar:</w:t>
      </w:r>
    </w:p>
    <w:p>
      <w:pPr>
        <w:pStyle w:val="Compact"/>
        <w:numPr>
          <w:ilvl w:val="0"/>
          <w:numId w:val="1018"/>
        </w:numPr>
      </w:pPr>
      <w:r>
        <w:t xml:space="preserve">autorização de acesso tributário;</w:t>
      </w:r>
    </w:p>
    <w:p>
      <w:pPr>
        <w:pStyle w:val="Compact"/>
        <w:numPr>
          <w:ilvl w:val="0"/>
          <w:numId w:val="1018"/>
        </w:numPr>
      </w:pPr>
      <w:r>
        <w:t xml:space="preserve">contrato de prestação do serviço;</w:t>
      </w:r>
    </w:p>
    <w:p>
      <w:pPr>
        <w:pStyle w:val="Compact"/>
        <w:numPr>
          <w:ilvl w:val="0"/>
          <w:numId w:val="1018"/>
        </w:numPr>
      </w:pPr>
      <w:r>
        <w:t xml:space="preserve">aviso de privacidade e bases legais;</w:t>
      </w:r>
    </w:p>
    <w:p>
      <w:pPr>
        <w:pStyle w:val="Compact"/>
        <w:numPr>
          <w:ilvl w:val="0"/>
          <w:numId w:val="1018"/>
        </w:numPr>
      </w:pPr>
      <w:r>
        <w:t xml:space="preserve">autorização de compartilhamento;</w:t>
      </w:r>
    </w:p>
    <w:p>
      <w:pPr>
        <w:pStyle w:val="Compact"/>
        <w:numPr>
          <w:ilvl w:val="0"/>
          <w:numId w:val="1018"/>
        </w:numPr>
      </w:pPr>
      <w:r>
        <w:t xml:space="preserve">regras de contestação e atualização.</w:t>
      </w:r>
    </w:p>
    <w:p>
      <w:r>
        <w:pict>
          <v:rect style="width:0;height:1.5pt" o:hralign="center" o:hrstd="t" o:hr="t"/>
        </w:pict>
      </w:r>
    </w:p>
    <w:bookmarkEnd w:id="36"/>
    <w:bookmarkStart w:id="41" w:name="X9414d100d0da654fe8a8a3cb7c8bc04d4d454b2"/>
    <w:p>
      <w:pPr>
        <w:pStyle w:val="Heading2"/>
      </w:pPr>
      <w:r>
        <w:t xml:space="preserve">10. Crescimento da rede dentro do próprio produto</w:t>
      </w:r>
    </w:p>
    <w:p>
      <w:pPr>
        <w:pStyle w:val="FirstParagraph"/>
      </w:pPr>
      <w:r>
        <w:t xml:space="preserve">A intenção é que o uso da plataforma gere novos usuários.</w:t>
      </w:r>
    </w:p>
    <w:bookmarkStart w:id="37" w:name="consulta-gera-convite"/>
    <w:p>
      <w:pPr>
        <w:pStyle w:val="Heading3"/>
      </w:pPr>
      <w:r>
        <w:t xml:space="preserve">Consulta gera convite</w:t>
      </w:r>
    </w:p>
    <w:p>
      <w:pPr>
        <w:pStyle w:val="FirstParagraph"/>
      </w:pPr>
      <w:r>
        <w:t xml:space="preserve">Quando uma empresa consulta outra que ainda não possui perfil conectado, pode enviar um convite para que ela confirme seus dados.</w:t>
      </w:r>
    </w:p>
    <w:p>
      <w:pPr>
        <w:pStyle w:val="BodyText"/>
      </w:pPr>
      <w:r>
        <w:t xml:space="preserve">O usuário que trouxe a nova empresa pode receber:</w:t>
      </w:r>
    </w:p>
    <w:p>
      <w:pPr>
        <w:pStyle w:val="Compact"/>
        <w:numPr>
          <w:ilvl w:val="0"/>
          <w:numId w:val="1019"/>
        </w:numPr>
      </w:pPr>
      <w:r>
        <w:t xml:space="preserve">consultas adicionais;</w:t>
      </w:r>
    </w:p>
    <w:p>
      <w:pPr>
        <w:pStyle w:val="Compact"/>
        <w:numPr>
          <w:ilvl w:val="0"/>
          <w:numId w:val="1019"/>
        </w:numPr>
      </w:pPr>
      <w:r>
        <w:t xml:space="preserve">desconto;</w:t>
      </w:r>
    </w:p>
    <w:p>
      <w:pPr>
        <w:pStyle w:val="Compact"/>
        <w:numPr>
          <w:ilvl w:val="0"/>
          <w:numId w:val="1019"/>
        </w:numPr>
      </w:pPr>
      <w:r>
        <w:t xml:space="preserve">créditos;</w:t>
      </w:r>
    </w:p>
    <w:p>
      <w:pPr>
        <w:pStyle w:val="Compact"/>
        <w:numPr>
          <w:ilvl w:val="0"/>
          <w:numId w:val="1019"/>
        </w:numPr>
      </w:pPr>
      <w:r>
        <w:t xml:space="preserve">benefícios comerciais.</w:t>
      </w:r>
    </w:p>
    <w:p>
      <w:pPr>
        <w:pStyle w:val="FirstParagraph"/>
      </w:pPr>
      <w:r>
        <w:t xml:space="preserve">A bonificação só ocorre quando o convidado conclui o cadastro ou conecta seus dados.</w:t>
      </w:r>
    </w:p>
    <w:bookmarkEnd w:id="37"/>
    <w:bookmarkStart w:id="38" w:name="divergência-gera-entrada"/>
    <w:p>
      <w:pPr>
        <w:pStyle w:val="Heading3"/>
      </w:pPr>
      <w:r>
        <w:t xml:space="preserve">Divergência gera entrada</w:t>
      </w:r>
    </w:p>
    <w:p>
      <w:pPr>
        <w:pStyle w:val="FirstParagraph"/>
      </w:pPr>
      <w:r>
        <w:t xml:space="preserve">Quando uma ocorrência é registrada, a empresa relacionada é notificada para:</w:t>
      </w:r>
    </w:p>
    <w:p>
      <w:pPr>
        <w:pStyle w:val="Compact"/>
        <w:numPr>
          <w:ilvl w:val="0"/>
          <w:numId w:val="1020"/>
        </w:numPr>
      </w:pPr>
      <w:r>
        <w:t xml:space="preserve">reconhecer;</w:t>
      </w:r>
    </w:p>
    <w:p>
      <w:pPr>
        <w:pStyle w:val="Compact"/>
        <w:numPr>
          <w:ilvl w:val="0"/>
          <w:numId w:val="1020"/>
        </w:numPr>
      </w:pPr>
      <w:r>
        <w:t xml:space="preserve">contestar;</w:t>
      </w:r>
    </w:p>
    <w:p>
      <w:pPr>
        <w:pStyle w:val="Compact"/>
        <w:numPr>
          <w:ilvl w:val="0"/>
          <w:numId w:val="1020"/>
        </w:numPr>
      </w:pPr>
      <w:r>
        <w:t xml:space="preserve">regularizar;</w:t>
      </w:r>
    </w:p>
    <w:p>
      <w:pPr>
        <w:pStyle w:val="Compact"/>
        <w:numPr>
          <w:ilvl w:val="0"/>
          <w:numId w:val="1020"/>
        </w:numPr>
      </w:pPr>
      <w:r>
        <w:t xml:space="preserve">anexar documentos;</w:t>
      </w:r>
    </w:p>
    <w:p>
      <w:pPr>
        <w:pStyle w:val="Compact"/>
        <w:numPr>
          <w:ilvl w:val="0"/>
          <w:numId w:val="1020"/>
        </w:numPr>
      </w:pPr>
      <w:r>
        <w:t xml:space="preserve">indicar contador;</w:t>
      </w:r>
    </w:p>
    <w:p>
      <w:pPr>
        <w:pStyle w:val="Compact"/>
        <w:numPr>
          <w:ilvl w:val="0"/>
          <w:numId w:val="1020"/>
        </w:numPr>
      </w:pPr>
      <w:r>
        <w:t xml:space="preserve">conectar ERP.</w:t>
      </w:r>
    </w:p>
    <w:p>
      <w:pPr>
        <w:pStyle w:val="FirstParagraph"/>
      </w:pPr>
      <w:r>
        <w:t xml:space="preserve">Para resolver a situação, ela entra na plataforma.</w:t>
      </w:r>
    </w:p>
    <w:p>
      <w:pPr>
        <w:pStyle w:val="BodyText"/>
      </w:pPr>
      <w:r>
        <w:t xml:space="preserve">Esse é um mecanismo forte de crescimento porque existe motivação comercial imediata.</w:t>
      </w:r>
    </w:p>
    <w:bookmarkEnd w:id="38"/>
    <w:bookmarkStart w:id="39" w:name="empresa-traz-contador"/>
    <w:p>
      <w:pPr>
        <w:pStyle w:val="Heading3"/>
      </w:pPr>
      <w:r>
        <w:t xml:space="preserve">Empresa traz contador</w:t>
      </w:r>
    </w:p>
    <w:p>
      <w:pPr>
        <w:pStyle w:val="FirstParagraph"/>
      </w:pPr>
      <w:r>
        <w:t xml:space="preserve">A empresa pode encaminhar a situação ao seu contador.</w:t>
      </w:r>
    </w:p>
    <w:p>
      <w:pPr>
        <w:pStyle w:val="BodyText"/>
      </w:pPr>
      <w:r>
        <w:t xml:space="preserve">O contador passa a acompanhar:</w:t>
      </w:r>
    </w:p>
    <w:p>
      <w:pPr>
        <w:pStyle w:val="Compact"/>
        <w:numPr>
          <w:ilvl w:val="0"/>
          <w:numId w:val="1021"/>
        </w:numPr>
      </w:pPr>
      <w:r>
        <w:t xml:space="preserve">clientes;</w:t>
      </w:r>
    </w:p>
    <w:p>
      <w:pPr>
        <w:pStyle w:val="Compact"/>
        <w:numPr>
          <w:ilvl w:val="0"/>
          <w:numId w:val="1021"/>
        </w:numPr>
      </w:pPr>
      <w:r>
        <w:t xml:space="preserve">alertas;</w:t>
      </w:r>
    </w:p>
    <w:p>
      <w:pPr>
        <w:pStyle w:val="Compact"/>
        <w:numPr>
          <w:ilvl w:val="0"/>
          <w:numId w:val="1021"/>
        </w:numPr>
      </w:pPr>
      <w:r>
        <w:t xml:space="preserve">documentos;</w:t>
      </w:r>
    </w:p>
    <w:p>
      <w:pPr>
        <w:pStyle w:val="Compact"/>
        <w:numPr>
          <w:ilvl w:val="0"/>
          <w:numId w:val="1021"/>
        </w:numPr>
      </w:pPr>
      <w:r>
        <w:t xml:space="preserve">regularizações;</w:t>
      </w:r>
    </w:p>
    <w:p>
      <w:pPr>
        <w:pStyle w:val="Compact"/>
        <w:numPr>
          <w:ilvl w:val="0"/>
          <w:numId w:val="1021"/>
        </w:numPr>
      </w:pPr>
      <w:r>
        <w:t xml:space="preserve">autorizações.</w:t>
      </w:r>
    </w:p>
    <w:p>
      <w:pPr>
        <w:pStyle w:val="FirstParagraph"/>
      </w:pPr>
      <w:r>
        <w:t xml:space="preserve">Um contador pode trazer dezenas ou centenas de empresas.</w:t>
      </w:r>
    </w:p>
    <w:bookmarkEnd w:id="39"/>
    <w:bookmarkStart w:id="40" w:name="carteira-gera-integração"/>
    <w:p>
      <w:pPr>
        <w:pStyle w:val="Heading3"/>
      </w:pPr>
      <w:r>
        <w:t xml:space="preserve">Carteira gera integração</w:t>
      </w:r>
    </w:p>
    <w:p>
      <w:pPr>
        <w:pStyle w:val="FirstParagraph"/>
      </w:pPr>
      <w:r>
        <w:t xml:space="preserve">Quando houver uma base de empresas usando determinado ERP, a plataforma pode procurar o ERP já com demanda organizada.</w:t>
      </w:r>
    </w:p>
    <w:p>
      <w:pPr>
        <w:pStyle w:val="BodyText"/>
      </w:pPr>
      <w:r>
        <w:t xml:space="preserve">Em vez de chegar dizendo:</w:t>
      </w:r>
    </w:p>
    <w:p>
      <w:pPr>
        <w:pStyle w:val="BlockText"/>
      </w:pPr>
      <w:r>
        <w:t xml:space="preserve">temos uma ideia.</w:t>
      </w:r>
    </w:p>
    <w:p>
      <w:pPr>
        <w:pStyle w:val="FirstParagraph"/>
      </w:pPr>
      <w:r>
        <w:t xml:space="preserve">Chegamos dizendo:</w:t>
      </w:r>
    </w:p>
    <w:p>
      <w:pPr>
        <w:pStyle w:val="BlockText"/>
      </w:pPr>
      <w:r>
        <w:t xml:space="preserve">temos dezenas de clientes seus solicitando esta integração.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risco-de-conversar-cedo-com-erps"/>
    <w:p>
      <w:pPr>
        <w:pStyle w:val="Heading2"/>
      </w:pPr>
      <w:r>
        <w:t xml:space="preserve">11. Risco de conversar cedo com ERPs</w:t>
      </w:r>
    </w:p>
    <w:p>
      <w:pPr>
        <w:pStyle w:val="FirstParagraph"/>
      </w:pPr>
      <w:r>
        <w:t xml:space="preserve">Existe risco real de apresentar toda a ideia para um ERP antes de o projeto possuir:</w:t>
      </w:r>
    </w:p>
    <w:p>
      <w:pPr>
        <w:pStyle w:val="Compact"/>
        <w:numPr>
          <w:ilvl w:val="0"/>
          <w:numId w:val="1022"/>
        </w:numPr>
      </w:pPr>
      <w:r>
        <w:t xml:space="preserve">clientes;</w:t>
      </w:r>
    </w:p>
    <w:p>
      <w:pPr>
        <w:pStyle w:val="Compact"/>
        <w:numPr>
          <w:ilvl w:val="0"/>
          <w:numId w:val="1022"/>
        </w:numPr>
      </w:pPr>
      <w:r>
        <w:t xml:space="preserve">contratos;</w:t>
      </w:r>
    </w:p>
    <w:p>
      <w:pPr>
        <w:pStyle w:val="Compact"/>
        <w:numPr>
          <w:ilvl w:val="0"/>
          <w:numId w:val="1022"/>
        </w:numPr>
      </w:pPr>
      <w:r>
        <w:t xml:space="preserve">base;</w:t>
      </w:r>
    </w:p>
    <w:p>
      <w:pPr>
        <w:pStyle w:val="Compact"/>
        <w:numPr>
          <w:ilvl w:val="0"/>
          <w:numId w:val="1022"/>
        </w:numPr>
      </w:pPr>
      <w:r>
        <w:t xml:space="preserve">marca;</w:t>
      </w:r>
    </w:p>
    <w:p>
      <w:pPr>
        <w:pStyle w:val="Compact"/>
        <w:numPr>
          <w:ilvl w:val="0"/>
          <w:numId w:val="1022"/>
        </w:numPr>
      </w:pPr>
      <w:r>
        <w:t xml:space="preserve">tecnologia;</w:t>
      </w:r>
    </w:p>
    <w:p>
      <w:pPr>
        <w:pStyle w:val="Compact"/>
        <w:numPr>
          <w:ilvl w:val="0"/>
          <w:numId w:val="1022"/>
        </w:numPr>
      </w:pPr>
      <w:r>
        <w:t xml:space="preserve">documentação;</w:t>
      </w:r>
    </w:p>
    <w:p>
      <w:pPr>
        <w:pStyle w:val="Compact"/>
        <w:numPr>
          <w:ilvl w:val="0"/>
          <w:numId w:val="1022"/>
        </w:numPr>
      </w:pPr>
      <w:r>
        <w:t xml:space="preserve">demanda comprovada.</w:t>
      </w:r>
    </w:p>
    <w:p>
      <w:pPr>
        <w:pStyle w:val="FirstParagraph"/>
      </w:pPr>
      <w:r>
        <w:t xml:space="preserve">O ERP pode copiar a oportunidade e usar sua própria carteira para lançar algo semelhante.</w:t>
      </w:r>
    </w:p>
    <w:p>
      <w:pPr>
        <w:pStyle w:val="BodyText"/>
      </w:pPr>
      <w:r>
        <w:t xml:space="preserve">A estratégia sugerida é:</w:t>
      </w:r>
    </w:p>
    <w:bookmarkStart w:id="42" w:name="primeira-reunião"/>
    <w:p>
      <w:pPr>
        <w:pStyle w:val="Heading3"/>
      </w:pPr>
      <w:r>
        <w:t xml:space="preserve">Primeira reunião</w:t>
      </w:r>
    </w:p>
    <w:p>
      <w:pPr>
        <w:pStyle w:val="FirstParagraph"/>
      </w:pPr>
      <w:r>
        <w:t xml:space="preserve">Mostrar:</w:t>
      </w:r>
    </w:p>
    <w:p>
      <w:pPr>
        <w:pStyle w:val="Compact"/>
        <w:numPr>
          <w:ilvl w:val="0"/>
          <w:numId w:val="1023"/>
        </w:numPr>
      </w:pPr>
      <w:r>
        <w:t xml:space="preserve">problema;</w:t>
      </w:r>
    </w:p>
    <w:p>
      <w:pPr>
        <w:pStyle w:val="Compact"/>
        <w:numPr>
          <w:ilvl w:val="0"/>
          <w:numId w:val="1023"/>
        </w:numPr>
      </w:pPr>
      <w:r>
        <w:t xml:space="preserve">mudança tributária;</w:t>
      </w:r>
    </w:p>
    <w:p>
      <w:pPr>
        <w:pStyle w:val="Compact"/>
        <w:numPr>
          <w:ilvl w:val="0"/>
          <w:numId w:val="1023"/>
        </w:numPr>
      </w:pPr>
      <w:r>
        <w:t xml:space="preserve">dor dos clientes;</w:t>
      </w:r>
    </w:p>
    <w:p>
      <w:pPr>
        <w:pStyle w:val="Compact"/>
        <w:numPr>
          <w:ilvl w:val="0"/>
          <w:numId w:val="1023"/>
        </w:numPr>
      </w:pPr>
      <w:r>
        <w:t xml:space="preserve">benefícios;</w:t>
      </w:r>
    </w:p>
    <w:p>
      <w:pPr>
        <w:pStyle w:val="Compact"/>
        <w:numPr>
          <w:ilvl w:val="0"/>
          <w:numId w:val="1023"/>
        </w:numPr>
      </w:pPr>
      <w:r>
        <w:t xml:space="preserve">visão geral.</w:t>
      </w:r>
    </w:p>
    <w:p>
      <w:pPr>
        <w:pStyle w:val="FirstParagraph"/>
      </w:pPr>
      <w:r>
        <w:t xml:space="preserve">Não mostrar:</w:t>
      </w:r>
    </w:p>
    <w:p>
      <w:pPr>
        <w:pStyle w:val="Compact"/>
        <w:numPr>
          <w:ilvl w:val="0"/>
          <w:numId w:val="1024"/>
        </w:numPr>
      </w:pPr>
      <w:r>
        <w:t xml:space="preserve">modelo completo de dados;</w:t>
      </w:r>
    </w:p>
    <w:p>
      <w:pPr>
        <w:pStyle w:val="Compact"/>
        <w:numPr>
          <w:ilvl w:val="0"/>
          <w:numId w:val="1024"/>
        </w:numPr>
      </w:pPr>
      <w:r>
        <w:t xml:space="preserve">estratégia de crescimento;</w:t>
      </w:r>
    </w:p>
    <w:p>
      <w:pPr>
        <w:pStyle w:val="Compact"/>
        <w:numPr>
          <w:ilvl w:val="0"/>
          <w:numId w:val="1024"/>
        </w:numPr>
      </w:pPr>
      <w:r>
        <w:t xml:space="preserve">arquitetura;</w:t>
      </w:r>
    </w:p>
    <w:p>
      <w:pPr>
        <w:pStyle w:val="Compact"/>
        <w:numPr>
          <w:ilvl w:val="0"/>
          <w:numId w:val="1024"/>
        </w:numPr>
      </w:pPr>
      <w:r>
        <w:t xml:space="preserve">algoritmo;</w:t>
      </w:r>
    </w:p>
    <w:p>
      <w:pPr>
        <w:pStyle w:val="Compact"/>
        <w:numPr>
          <w:ilvl w:val="0"/>
          <w:numId w:val="1024"/>
        </w:numPr>
      </w:pPr>
      <w:r>
        <w:t xml:space="preserve">lista de clientes;</w:t>
      </w:r>
    </w:p>
    <w:p>
      <w:pPr>
        <w:pStyle w:val="Compact"/>
        <w:numPr>
          <w:ilvl w:val="0"/>
          <w:numId w:val="1024"/>
        </w:numPr>
      </w:pPr>
      <w:r>
        <w:t xml:space="preserve">fórmula comercial;</w:t>
      </w:r>
    </w:p>
    <w:p>
      <w:pPr>
        <w:pStyle w:val="Compact"/>
        <w:numPr>
          <w:ilvl w:val="0"/>
          <w:numId w:val="1024"/>
        </w:numPr>
      </w:pPr>
      <w:r>
        <w:t xml:space="preserve">mecanismos internos.</w:t>
      </w:r>
    </w:p>
    <w:bookmarkEnd w:id="42"/>
    <w:bookmarkStart w:id="43" w:name="segunda-reunião"/>
    <w:p>
      <w:pPr>
        <w:pStyle w:val="Heading3"/>
      </w:pPr>
      <w:r>
        <w:t xml:space="preserve">Segunda reunião</w:t>
      </w:r>
    </w:p>
    <w:p>
      <w:pPr>
        <w:pStyle w:val="FirstParagraph"/>
      </w:pPr>
      <w:r>
        <w:t xml:space="preserve">Somente após assinatura de acordo com:</w:t>
      </w:r>
    </w:p>
    <w:p>
      <w:pPr>
        <w:pStyle w:val="Compact"/>
        <w:numPr>
          <w:ilvl w:val="0"/>
          <w:numId w:val="1025"/>
        </w:numPr>
      </w:pPr>
      <w:r>
        <w:t xml:space="preserve">confidencialidade;</w:t>
      </w:r>
    </w:p>
    <w:p>
      <w:pPr>
        <w:pStyle w:val="Compact"/>
        <w:numPr>
          <w:ilvl w:val="0"/>
          <w:numId w:val="1025"/>
        </w:numPr>
      </w:pPr>
      <w:r>
        <w:t xml:space="preserve">proibição de uso;</w:t>
      </w:r>
    </w:p>
    <w:p>
      <w:pPr>
        <w:pStyle w:val="Compact"/>
        <w:numPr>
          <w:ilvl w:val="0"/>
          <w:numId w:val="1025"/>
        </w:numPr>
      </w:pPr>
      <w:r>
        <w:t xml:space="preserve">restrição de compartilhamento;</w:t>
      </w:r>
    </w:p>
    <w:p>
      <w:pPr>
        <w:pStyle w:val="Compact"/>
        <w:numPr>
          <w:ilvl w:val="0"/>
          <w:numId w:val="1025"/>
        </w:numPr>
      </w:pPr>
      <w:r>
        <w:t xml:space="preserve">ausência de licença;</w:t>
      </w:r>
    </w:p>
    <w:p>
      <w:pPr>
        <w:pStyle w:val="Compact"/>
        <w:numPr>
          <w:ilvl w:val="0"/>
          <w:numId w:val="1025"/>
        </w:numPr>
      </w:pPr>
      <w:r>
        <w:t xml:space="preserve">proteção de informações;</w:t>
      </w:r>
    </w:p>
    <w:p>
      <w:pPr>
        <w:pStyle w:val="Compact"/>
        <w:numPr>
          <w:ilvl w:val="0"/>
          <w:numId w:val="1025"/>
        </w:numPr>
      </w:pPr>
      <w:r>
        <w:t xml:space="preserve">registro de participantes.</w:t>
      </w:r>
    </w:p>
    <w:p>
      <w:pPr>
        <w:pStyle w:val="FirstParagraph"/>
      </w:pPr>
      <w:r>
        <w:t xml:space="preserve">Mesmo assim, o contrato não elimina o risco.</w:t>
      </w:r>
    </w:p>
    <w:p>
      <w:pPr>
        <w:pStyle w:val="BodyText"/>
      </w:pPr>
      <w:r>
        <w:t xml:space="preserve">A melhor proteção é chegar ao ERP depois de construir demanda.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produto-mínimo-viável"/>
    <w:p>
      <w:pPr>
        <w:pStyle w:val="Heading2"/>
      </w:pPr>
      <w:r>
        <w:t xml:space="preserve">12. Produto Mínimo Viável</w:t>
      </w:r>
    </w:p>
    <w:p>
      <w:pPr>
        <w:pStyle w:val="FirstParagraph"/>
      </w:pPr>
      <w:r>
        <w:t xml:space="preserve">O MVP não precisa ser o sistema final.</w:t>
      </w:r>
    </w:p>
    <w:p>
      <w:pPr>
        <w:pStyle w:val="BodyText"/>
      </w:pPr>
      <w:r>
        <w:t xml:space="preserve">Ele é a menor experiência que permite testar se a ideia funciona.</w:t>
      </w:r>
    </w:p>
    <w:p>
      <w:pPr>
        <w:pStyle w:val="BodyText"/>
      </w:pPr>
      <w:r>
        <w:t xml:space="preserve">A principal hipótese do projeto é:</w:t>
      </w:r>
    </w:p>
    <w:p>
      <w:pPr>
        <w:pStyle w:val="BlockText"/>
      </w:pPr>
      <w:r>
        <w:t xml:space="preserve">uma informação confiável sobre IBS/CBS muda uma decisão comercial ou provoca uma regularização que preserva a operação?</w:t>
      </w:r>
    </w:p>
    <w:p>
      <w:pPr>
        <w:pStyle w:val="FirstParagraph"/>
      </w:pPr>
      <w:r>
        <w:t xml:space="preserve">Antes de existirem dados reais suficientes, podemos testar:</w:t>
      </w:r>
    </w:p>
    <w:p>
      <w:pPr>
        <w:pStyle w:val="Compact"/>
        <w:numPr>
          <w:ilvl w:val="0"/>
          <w:numId w:val="1026"/>
        </w:numPr>
      </w:pPr>
      <w:r>
        <w:t xml:space="preserve">empresários entendem o problema?</w:t>
      </w:r>
    </w:p>
    <w:p>
      <w:pPr>
        <w:pStyle w:val="Compact"/>
        <w:numPr>
          <w:ilvl w:val="0"/>
          <w:numId w:val="1026"/>
        </w:numPr>
      </w:pPr>
      <w:r>
        <w:t xml:space="preserve">consideram o risco relevante?</w:t>
      </w:r>
    </w:p>
    <w:p>
      <w:pPr>
        <w:pStyle w:val="Compact"/>
        <w:numPr>
          <w:ilvl w:val="0"/>
          <w:numId w:val="1026"/>
        </w:numPr>
      </w:pPr>
      <w:r>
        <w:t xml:space="preserve">pagariam pela solução?</w:t>
      </w:r>
    </w:p>
    <w:p>
      <w:pPr>
        <w:pStyle w:val="Compact"/>
        <w:numPr>
          <w:ilvl w:val="0"/>
          <w:numId w:val="1026"/>
        </w:numPr>
      </w:pPr>
      <w:r>
        <w:t xml:space="preserve">aceitariam autorizar acesso?</w:t>
      </w:r>
    </w:p>
    <w:p>
      <w:pPr>
        <w:pStyle w:val="Compact"/>
        <w:numPr>
          <w:ilvl w:val="0"/>
          <w:numId w:val="1026"/>
        </w:numPr>
      </w:pPr>
      <w:r>
        <w:t xml:space="preserve">convidariam fornecedores?</w:t>
      </w:r>
    </w:p>
    <w:p>
      <w:pPr>
        <w:pStyle w:val="Compact"/>
        <w:numPr>
          <w:ilvl w:val="0"/>
          <w:numId w:val="1026"/>
        </w:numPr>
      </w:pPr>
      <w:r>
        <w:t xml:space="preserve">envolveriam seus contadores?</w:t>
      </w:r>
    </w:p>
    <w:p>
      <w:pPr>
        <w:pStyle w:val="Compact"/>
        <w:numPr>
          <w:ilvl w:val="0"/>
          <w:numId w:val="1026"/>
        </w:numPr>
      </w:pPr>
      <w:r>
        <w:t xml:space="preserve">reagiriam a notificações?</w:t>
      </w:r>
    </w:p>
    <w:p>
      <w:pPr>
        <w:pStyle w:val="Compact"/>
        <w:numPr>
          <w:ilvl w:val="0"/>
          <w:numId w:val="1026"/>
        </w:numPr>
      </w:pPr>
      <w:r>
        <w:t xml:space="preserve">em que momento fariam a consulta?</w:t>
      </w:r>
    </w:p>
    <w:p>
      <w:pPr>
        <w:pStyle w:val="Compact"/>
        <w:numPr>
          <w:ilvl w:val="0"/>
          <w:numId w:val="1026"/>
        </w:numPr>
      </w:pPr>
      <w:r>
        <w:t xml:space="preserve">quais informações exigiriam?</w:t>
      </w:r>
    </w:p>
    <w:p>
      <w:pPr>
        <w:pStyle w:val="FirstParagraph"/>
      </w:pPr>
      <w:r>
        <w:t xml:space="preserve">O MVP pode usar:</w:t>
      </w:r>
    </w:p>
    <w:p>
      <w:pPr>
        <w:pStyle w:val="Compact"/>
        <w:numPr>
          <w:ilvl w:val="0"/>
          <w:numId w:val="1027"/>
        </w:numPr>
      </w:pPr>
      <w:r>
        <w:t xml:space="preserve">empresas fictícias;</w:t>
      </w:r>
    </w:p>
    <w:p>
      <w:pPr>
        <w:pStyle w:val="Compact"/>
        <w:numPr>
          <w:ilvl w:val="0"/>
          <w:numId w:val="1027"/>
        </w:numPr>
      </w:pPr>
      <w:r>
        <w:t xml:space="preserve">notas simuladas;</w:t>
      </w:r>
    </w:p>
    <w:p>
      <w:pPr>
        <w:pStyle w:val="Compact"/>
        <w:numPr>
          <w:ilvl w:val="0"/>
          <w:numId w:val="1027"/>
        </w:numPr>
      </w:pPr>
      <w:r>
        <w:t xml:space="preserve">pendências simuladas;</w:t>
      </w:r>
    </w:p>
    <w:p>
      <w:pPr>
        <w:pStyle w:val="Compact"/>
        <w:numPr>
          <w:ilvl w:val="0"/>
          <w:numId w:val="1027"/>
        </w:numPr>
      </w:pPr>
      <w:r>
        <w:t xml:space="preserve">regularizações simuladas;</w:t>
      </w:r>
    </w:p>
    <w:p>
      <w:pPr>
        <w:pStyle w:val="Compact"/>
        <w:numPr>
          <w:ilvl w:val="0"/>
          <w:numId w:val="1027"/>
        </w:numPr>
      </w:pPr>
      <w:r>
        <w:t xml:space="preserve">fluxos de contestação;</w:t>
      </w:r>
    </w:p>
    <w:p>
      <w:pPr>
        <w:pStyle w:val="Compact"/>
        <w:numPr>
          <w:ilvl w:val="0"/>
          <w:numId w:val="1027"/>
        </w:numPr>
      </w:pPr>
      <w:r>
        <w:t xml:space="preserve">notificações de teste;</w:t>
      </w:r>
    </w:p>
    <w:p>
      <w:pPr>
        <w:pStyle w:val="Compact"/>
        <w:numPr>
          <w:ilvl w:val="0"/>
          <w:numId w:val="1027"/>
        </w:numPr>
      </w:pPr>
      <w:r>
        <w:t xml:space="preserve">painéis;</w:t>
      </w:r>
    </w:p>
    <w:p>
      <w:pPr>
        <w:pStyle w:val="Compact"/>
        <w:numPr>
          <w:ilvl w:val="0"/>
          <w:numId w:val="1027"/>
        </w:numPr>
      </w:pPr>
      <w:r>
        <w:t xml:space="preserve">relatórios de exposição;</w:t>
      </w:r>
    </w:p>
    <w:p>
      <w:pPr>
        <w:pStyle w:val="Compact"/>
        <w:numPr>
          <w:ilvl w:val="0"/>
          <w:numId w:val="1027"/>
        </w:numPr>
      </w:pPr>
      <w:r>
        <w:t xml:space="preserve">integração simulada.</w:t>
      </w:r>
    </w:p>
    <w:p>
      <w:pPr>
        <w:pStyle w:val="FirstParagraph"/>
      </w:pPr>
      <w:r>
        <w:t xml:space="preserve">Isso testa a experiência, mas não prova ainda o resultado econômico real.</w:t>
      </w:r>
    </w:p>
    <w:p>
      <w:r>
        <w:pict>
          <v:rect style="width:0;height:1.5pt" o:hralign="center" o:hrstd="t" o:hr="t"/>
        </w:pict>
      </w:r>
    </w:p>
    <w:bookmarkEnd w:id="45"/>
    <w:bookmarkStart w:id="51" w:name="X55573f4064b2ac129d722f216f10bcb8c747e61"/>
    <w:p>
      <w:pPr>
        <w:pStyle w:val="Heading2"/>
      </w:pPr>
      <w:r>
        <w:t xml:space="preserve">13. Como conseguir compromisso antes do produto completo</w:t>
      </w:r>
    </w:p>
    <w:p>
      <w:pPr>
        <w:pStyle w:val="FirstParagraph"/>
      </w:pPr>
      <w:r>
        <w:t xml:space="preserve">O projeto pode captar empresas antes da operação plena por meio de diferentes níveis.</w:t>
      </w:r>
    </w:p>
    <w:bookmarkStart w:id="46" w:name="cadastro-de-interesse"/>
    <w:p>
      <w:pPr>
        <w:pStyle w:val="Heading3"/>
      </w:pPr>
      <w:r>
        <w:t xml:space="preserve">Cadastro de interesse</w:t>
      </w:r>
    </w:p>
    <w:p>
      <w:pPr>
        <w:pStyle w:val="FirstParagraph"/>
      </w:pPr>
      <w:r>
        <w:t xml:space="preserve">Coletar:</w:t>
      </w:r>
    </w:p>
    <w:p>
      <w:pPr>
        <w:pStyle w:val="Compact"/>
        <w:numPr>
          <w:ilvl w:val="0"/>
          <w:numId w:val="1028"/>
        </w:numPr>
      </w:pPr>
      <w:r>
        <w:t xml:space="preserve">CNPJ;</w:t>
      </w:r>
    </w:p>
    <w:p>
      <w:pPr>
        <w:pStyle w:val="Compact"/>
        <w:numPr>
          <w:ilvl w:val="0"/>
          <w:numId w:val="1028"/>
        </w:numPr>
      </w:pPr>
      <w:r>
        <w:t xml:space="preserve">segmento;</w:t>
      </w:r>
    </w:p>
    <w:p>
      <w:pPr>
        <w:pStyle w:val="Compact"/>
        <w:numPr>
          <w:ilvl w:val="0"/>
          <w:numId w:val="1028"/>
        </w:numPr>
      </w:pPr>
      <w:r>
        <w:t xml:space="preserve">quantidade de fornecedores;</w:t>
      </w:r>
    </w:p>
    <w:p>
      <w:pPr>
        <w:pStyle w:val="Compact"/>
        <w:numPr>
          <w:ilvl w:val="0"/>
          <w:numId w:val="1028"/>
        </w:numPr>
      </w:pPr>
      <w:r>
        <w:t xml:space="preserve">volume de compras;</w:t>
      </w:r>
    </w:p>
    <w:p>
      <w:pPr>
        <w:pStyle w:val="Compact"/>
        <w:numPr>
          <w:ilvl w:val="0"/>
          <w:numId w:val="1028"/>
        </w:numPr>
      </w:pPr>
      <w:r>
        <w:t xml:space="preserve">ERP;</w:t>
      </w:r>
    </w:p>
    <w:p>
      <w:pPr>
        <w:pStyle w:val="Compact"/>
        <w:numPr>
          <w:ilvl w:val="0"/>
          <w:numId w:val="1028"/>
        </w:numPr>
      </w:pPr>
      <w:r>
        <w:t xml:space="preserve">escritório contábil;</w:t>
      </w:r>
    </w:p>
    <w:p>
      <w:pPr>
        <w:pStyle w:val="Compact"/>
        <w:numPr>
          <w:ilvl w:val="0"/>
          <w:numId w:val="1028"/>
        </w:numPr>
      </w:pPr>
      <w:r>
        <w:t xml:space="preserve">responsável fiscal;</w:t>
      </w:r>
    </w:p>
    <w:p>
      <w:pPr>
        <w:pStyle w:val="Compact"/>
        <w:numPr>
          <w:ilvl w:val="0"/>
          <w:numId w:val="1028"/>
        </w:numPr>
      </w:pPr>
      <w:r>
        <w:t xml:space="preserve">principal preocupação;</w:t>
      </w:r>
    </w:p>
    <w:p>
      <w:pPr>
        <w:pStyle w:val="Compact"/>
        <w:numPr>
          <w:ilvl w:val="0"/>
          <w:numId w:val="1028"/>
        </w:numPr>
      </w:pPr>
      <w:r>
        <w:t xml:space="preserve">interesse em participar.</w:t>
      </w:r>
    </w:p>
    <w:bookmarkEnd w:id="46"/>
    <w:bookmarkStart w:id="47" w:name="diagnóstico-de-prontidão"/>
    <w:p>
      <w:pPr>
        <w:pStyle w:val="Heading3"/>
      </w:pPr>
      <w:r>
        <w:t xml:space="preserve">Diagnóstico de prontidão</w:t>
      </w:r>
    </w:p>
    <w:p>
      <w:pPr>
        <w:pStyle w:val="FirstParagraph"/>
      </w:pPr>
      <w:r>
        <w:t xml:space="preserve">Entregar um diagnóstico sobre:</w:t>
      </w:r>
    </w:p>
    <w:p>
      <w:pPr>
        <w:pStyle w:val="Compact"/>
        <w:numPr>
          <w:ilvl w:val="0"/>
          <w:numId w:val="1029"/>
        </w:numPr>
      </w:pPr>
      <w:r>
        <w:t xml:space="preserve">cadastro de fornecedores;</w:t>
      </w:r>
    </w:p>
    <w:p>
      <w:pPr>
        <w:pStyle w:val="Compact"/>
        <w:numPr>
          <w:ilvl w:val="0"/>
          <w:numId w:val="1029"/>
        </w:numPr>
      </w:pPr>
      <w:r>
        <w:t xml:space="preserve">processos internos;</w:t>
      </w:r>
    </w:p>
    <w:p>
      <w:pPr>
        <w:pStyle w:val="Compact"/>
        <w:numPr>
          <w:ilvl w:val="0"/>
          <w:numId w:val="1029"/>
        </w:numPr>
      </w:pPr>
      <w:r>
        <w:t xml:space="preserve">documentos;</w:t>
      </w:r>
    </w:p>
    <w:p>
      <w:pPr>
        <w:pStyle w:val="Compact"/>
        <w:numPr>
          <w:ilvl w:val="0"/>
          <w:numId w:val="1029"/>
        </w:numPr>
      </w:pPr>
      <w:r>
        <w:t xml:space="preserve">ERP;</w:t>
      </w:r>
    </w:p>
    <w:p>
      <w:pPr>
        <w:pStyle w:val="Compact"/>
        <w:numPr>
          <w:ilvl w:val="0"/>
          <w:numId w:val="1029"/>
        </w:numPr>
      </w:pPr>
      <w:r>
        <w:t xml:space="preserve">responsáveis;</w:t>
      </w:r>
    </w:p>
    <w:p>
      <w:pPr>
        <w:pStyle w:val="Compact"/>
        <w:numPr>
          <w:ilvl w:val="0"/>
          <w:numId w:val="1029"/>
        </w:numPr>
      </w:pPr>
      <w:r>
        <w:t xml:space="preserve">governança;</w:t>
      </w:r>
    </w:p>
    <w:p>
      <w:pPr>
        <w:pStyle w:val="Compact"/>
        <w:numPr>
          <w:ilvl w:val="0"/>
          <w:numId w:val="1029"/>
        </w:numPr>
      </w:pPr>
      <w:r>
        <w:t xml:space="preserve">riscos de IBS/CBS;</w:t>
      </w:r>
    </w:p>
    <w:p>
      <w:pPr>
        <w:pStyle w:val="Compact"/>
        <w:numPr>
          <w:ilvl w:val="0"/>
          <w:numId w:val="1029"/>
        </w:numPr>
      </w:pPr>
      <w:r>
        <w:t xml:space="preserve">capacidade de integração.</w:t>
      </w:r>
    </w:p>
    <w:p>
      <w:pPr>
        <w:pStyle w:val="FirstParagraph"/>
      </w:pPr>
      <w:r>
        <w:t xml:space="preserve">Isso já gera valor antes da rede funcionar.</w:t>
      </w:r>
    </w:p>
    <w:bookmarkEnd w:id="47"/>
    <w:bookmarkStart w:id="48" w:name="carta-de-intenção"/>
    <w:p>
      <w:pPr>
        <w:pStyle w:val="Heading3"/>
      </w:pPr>
      <w:r>
        <w:t xml:space="preserve">Carta de intenção</w:t>
      </w:r>
    </w:p>
    <w:p>
      <w:pPr>
        <w:pStyle w:val="FirstParagraph"/>
      </w:pPr>
      <w:r>
        <w:t xml:space="preserve">A empresa manifesta interesse em:</w:t>
      </w:r>
    </w:p>
    <w:p>
      <w:pPr>
        <w:pStyle w:val="Compact"/>
        <w:numPr>
          <w:ilvl w:val="0"/>
          <w:numId w:val="1030"/>
        </w:numPr>
      </w:pPr>
      <w:r>
        <w:t xml:space="preserve">participar do piloto;</w:t>
      </w:r>
    </w:p>
    <w:p>
      <w:pPr>
        <w:pStyle w:val="Compact"/>
        <w:numPr>
          <w:ilvl w:val="0"/>
          <w:numId w:val="1030"/>
        </w:numPr>
      </w:pPr>
      <w:r>
        <w:t xml:space="preserve">avaliar o produto;</w:t>
      </w:r>
    </w:p>
    <w:p>
      <w:pPr>
        <w:pStyle w:val="Compact"/>
        <w:numPr>
          <w:ilvl w:val="0"/>
          <w:numId w:val="1030"/>
        </w:numPr>
      </w:pPr>
      <w:r>
        <w:t xml:space="preserve">fornecer feedback;</w:t>
      </w:r>
    </w:p>
    <w:p>
      <w:pPr>
        <w:pStyle w:val="Compact"/>
        <w:numPr>
          <w:ilvl w:val="0"/>
          <w:numId w:val="1030"/>
        </w:numPr>
      </w:pPr>
      <w:r>
        <w:t xml:space="preserve">indicar responsáveis;</w:t>
      </w:r>
    </w:p>
    <w:p>
      <w:pPr>
        <w:pStyle w:val="Compact"/>
        <w:numPr>
          <w:ilvl w:val="0"/>
          <w:numId w:val="1030"/>
        </w:numPr>
      </w:pPr>
      <w:r>
        <w:t xml:space="preserve">convidar parceiros;</w:t>
      </w:r>
    </w:p>
    <w:p>
      <w:pPr>
        <w:pStyle w:val="Compact"/>
        <w:numPr>
          <w:ilvl w:val="0"/>
          <w:numId w:val="1030"/>
        </w:numPr>
      </w:pPr>
      <w:r>
        <w:t xml:space="preserve">testar cenários.</w:t>
      </w:r>
    </w:p>
    <w:bookmarkEnd w:id="48"/>
    <w:bookmarkStart w:id="49" w:name="termo-de-adesão-ao-piloto"/>
    <w:p>
      <w:pPr>
        <w:pStyle w:val="Heading3"/>
      </w:pPr>
      <w:r>
        <w:t xml:space="preserve">Termo de adesão ao piloto</w:t>
      </w:r>
    </w:p>
    <w:p>
      <w:pPr>
        <w:pStyle w:val="FirstParagraph"/>
      </w:pPr>
      <w:r>
        <w:t xml:space="preserve">Documento contratual com:</w:t>
      </w:r>
    </w:p>
    <w:p>
      <w:pPr>
        <w:pStyle w:val="Compact"/>
        <w:numPr>
          <w:ilvl w:val="0"/>
          <w:numId w:val="1031"/>
        </w:numPr>
      </w:pPr>
      <w:r>
        <w:t xml:space="preserve">confidencialidade;</w:t>
      </w:r>
    </w:p>
    <w:p>
      <w:pPr>
        <w:pStyle w:val="Compact"/>
        <w:numPr>
          <w:ilvl w:val="0"/>
          <w:numId w:val="1031"/>
        </w:numPr>
      </w:pPr>
      <w:r>
        <w:t xml:space="preserve">proteção de dados;</w:t>
      </w:r>
    </w:p>
    <w:p>
      <w:pPr>
        <w:pStyle w:val="Compact"/>
        <w:numPr>
          <w:ilvl w:val="0"/>
          <w:numId w:val="1031"/>
        </w:numPr>
      </w:pPr>
      <w:r>
        <w:t xml:space="preserve">regras de uso;</w:t>
      </w:r>
    </w:p>
    <w:p>
      <w:pPr>
        <w:pStyle w:val="Compact"/>
        <w:numPr>
          <w:ilvl w:val="0"/>
          <w:numId w:val="1031"/>
        </w:numPr>
      </w:pPr>
      <w:r>
        <w:t xml:space="preserve">obrigações;</w:t>
      </w:r>
    </w:p>
    <w:p>
      <w:pPr>
        <w:pStyle w:val="Compact"/>
        <w:numPr>
          <w:ilvl w:val="0"/>
          <w:numId w:val="1031"/>
        </w:numPr>
      </w:pPr>
      <w:r>
        <w:t xml:space="preserve">ambiente simulado;</w:t>
      </w:r>
    </w:p>
    <w:p>
      <w:pPr>
        <w:pStyle w:val="Compact"/>
        <w:numPr>
          <w:ilvl w:val="0"/>
          <w:numId w:val="1031"/>
        </w:numPr>
      </w:pPr>
      <w:r>
        <w:t xml:space="preserve">acesso antecipado;</w:t>
      </w:r>
    </w:p>
    <w:p>
      <w:pPr>
        <w:pStyle w:val="Compact"/>
        <w:numPr>
          <w:ilvl w:val="0"/>
          <w:numId w:val="1031"/>
        </w:numPr>
      </w:pPr>
      <w:r>
        <w:t xml:space="preserve">preço fundador;</w:t>
      </w:r>
    </w:p>
    <w:p>
      <w:pPr>
        <w:pStyle w:val="Compact"/>
        <w:numPr>
          <w:ilvl w:val="0"/>
          <w:numId w:val="1031"/>
        </w:numPr>
      </w:pPr>
      <w:r>
        <w:t xml:space="preserve">prazo;</w:t>
      </w:r>
    </w:p>
    <w:p>
      <w:pPr>
        <w:pStyle w:val="Compact"/>
        <w:numPr>
          <w:ilvl w:val="0"/>
          <w:numId w:val="1031"/>
        </w:numPr>
      </w:pPr>
      <w:r>
        <w:t xml:space="preserve">encerramento.</w:t>
      </w:r>
    </w:p>
    <w:bookmarkEnd w:id="49"/>
    <w:bookmarkStart w:id="50" w:name="programa-fundador"/>
    <w:p>
      <w:pPr>
        <w:pStyle w:val="Heading3"/>
      </w:pPr>
      <w:r>
        <w:t xml:space="preserve">Programa fundador</w:t>
      </w:r>
    </w:p>
    <w:p>
      <w:pPr>
        <w:pStyle w:val="FirstParagraph"/>
      </w:pPr>
      <w:r>
        <w:t xml:space="preserve">Os primeiros participantes podem receber:</w:t>
      </w:r>
    </w:p>
    <w:p>
      <w:pPr>
        <w:pStyle w:val="Compact"/>
        <w:numPr>
          <w:ilvl w:val="0"/>
          <w:numId w:val="1032"/>
        </w:numPr>
      </w:pPr>
      <w:r>
        <w:t xml:space="preserve">preço especial;</w:t>
      </w:r>
    </w:p>
    <w:p>
      <w:pPr>
        <w:pStyle w:val="Compact"/>
        <w:numPr>
          <w:ilvl w:val="0"/>
          <w:numId w:val="1032"/>
        </w:numPr>
      </w:pPr>
      <w:r>
        <w:t xml:space="preserve">prioridade;</w:t>
      </w:r>
    </w:p>
    <w:p>
      <w:pPr>
        <w:pStyle w:val="Compact"/>
        <w:numPr>
          <w:ilvl w:val="0"/>
          <w:numId w:val="1032"/>
        </w:numPr>
      </w:pPr>
      <w:r>
        <w:t xml:space="preserve">suporte;</w:t>
      </w:r>
    </w:p>
    <w:p>
      <w:pPr>
        <w:pStyle w:val="Compact"/>
        <w:numPr>
          <w:ilvl w:val="0"/>
          <w:numId w:val="1032"/>
        </w:numPr>
      </w:pPr>
      <w:r>
        <w:t xml:space="preserve">isenção de implantação;</w:t>
      </w:r>
    </w:p>
    <w:p>
      <w:pPr>
        <w:pStyle w:val="Compact"/>
        <w:numPr>
          <w:ilvl w:val="0"/>
          <w:numId w:val="1032"/>
        </w:numPr>
      </w:pPr>
      <w:r>
        <w:t xml:space="preserve">consultas;</w:t>
      </w:r>
    </w:p>
    <w:p>
      <w:pPr>
        <w:pStyle w:val="Compact"/>
        <w:numPr>
          <w:ilvl w:val="0"/>
          <w:numId w:val="1032"/>
        </w:numPr>
      </w:pPr>
      <w:r>
        <w:t xml:space="preserve">participação consultiva;</w:t>
      </w:r>
    </w:p>
    <w:p>
      <w:pPr>
        <w:pStyle w:val="Compact"/>
        <w:numPr>
          <w:ilvl w:val="0"/>
          <w:numId w:val="1032"/>
        </w:numPr>
      </w:pPr>
      <w:r>
        <w:t xml:space="preserve">benefícios por indicação.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estratégia-de-marketing"/>
    <w:p>
      <w:pPr>
        <w:pStyle w:val="Heading2"/>
      </w:pPr>
      <w:r>
        <w:t xml:space="preserve">14. Estratégia de marketing</w:t>
      </w:r>
    </w:p>
    <w:p>
      <w:pPr>
        <w:pStyle w:val="FirstParagraph"/>
      </w:pPr>
      <w:r>
        <w:t xml:space="preserve">Não é necessário escolher entre ficar em silêncio e fazer um lançamento nacional imediato.</w:t>
      </w:r>
    </w:p>
    <w:p>
      <w:pPr>
        <w:pStyle w:val="BodyText"/>
      </w:pPr>
      <w:r>
        <w:t xml:space="preserve">A estratégia pode ser progressiva.</w:t>
      </w:r>
    </w:p>
    <w:bookmarkStart w:id="52" w:name="educação"/>
    <w:p>
      <w:pPr>
        <w:pStyle w:val="Heading3"/>
      </w:pPr>
      <w:r>
        <w:t xml:space="preserve">Educação</w:t>
      </w:r>
    </w:p>
    <w:p>
      <w:pPr>
        <w:pStyle w:val="FirstParagraph"/>
      </w:pPr>
      <w:r>
        <w:t xml:space="preserve">Produzir conteúdo sobre:</w:t>
      </w:r>
    </w:p>
    <w:p>
      <w:pPr>
        <w:pStyle w:val="Compact"/>
        <w:numPr>
          <w:ilvl w:val="0"/>
          <w:numId w:val="1033"/>
        </w:numPr>
      </w:pPr>
      <w:r>
        <w:t xml:space="preserve">impactos do IBS/CBS;</w:t>
      </w:r>
    </w:p>
    <w:p>
      <w:pPr>
        <w:pStyle w:val="Compact"/>
        <w:numPr>
          <w:ilvl w:val="0"/>
          <w:numId w:val="1033"/>
        </w:numPr>
      </w:pPr>
      <w:r>
        <w:t xml:space="preserve">relação entre fornecedor e adquirente;</w:t>
      </w:r>
    </w:p>
    <w:p>
      <w:pPr>
        <w:pStyle w:val="Compact"/>
        <w:numPr>
          <w:ilvl w:val="0"/>
          <w:numId w:val="1033"/>
        </w:numPr>
      </w:pPr>
      <w:r>
        <w:t xml:space="preserve">risco do crédito tributário;</w:t>
      </w:r>
    </w:p>
    <w:p>
      <w:pPr>
        <w:pStyle w:val="Compact"/>
        <w:numPr>
          <w:ilvl w:val="0"/>
          <w:numId w:val="1033"/>
        </w:numPr>
      </w:pPr>
      <w:r>
        <w:t xml:space="preserve">cadastro de fornecedores;</w:t>
      </w:r>
    </w:p>
    <w:p>
      <w:pPr>
        <w:pStyle w:val="Compact"/>
        <w:numPr>
          <w:ilvl w:val="0"/>
          <w:numId w:val="1033"/>
        </w:numPr>
      </w:pPr>
      <w:r>
        <w:t xml:space="preserve">governança fiscal;</w:t>
      </w:r>
    </w:p>
    <w:p>
      <w:pPr>
        <w:pStyle w:val="Compact"/>
        <w:numPr>
          <w:ilvl w:val="0"/>
          <w:numId w:val="1033"/>
        </w:numPr>
      </w:pPr>
      <w:r>
        <w:t xml:space="preserve">papel do contador.</w:t>
      </w:r>
    </w:p>
    <w:bookmarkEnd w:id="52"/>
    <w:bookmarkStart w:id="53" w:name="diagnóstico"/>
    <w:p>
      <w:pPr>
        <w:pStyle w:val="Heading3"/>
      </w:pPr>
      <w:r>
        <w:t xml:space="preserve">Diagnóstico</w:t>
      </w:r>
    </w:p>
    <w:p>
      <w:pPr>
        <w:pStyle w:val="FirstParagraph"/>
      </w:pPr>
      <w:r>
        <w:t xml:space="preserve">Criar um:</w:t>
      </w:r>
    </w:p>
    <w:p>
      <w:pPr>
        <w:pStyle w:val="BlockText"/>
      </w:pPr>
      <w:r>
        <w:t xml:space="preserve">Mapa de Prontidão para IBS e CBS.</w:t>
      </w:r>
    </w:p>
    <w:bookmarkEnd w:id="53"/>
    <w:bookmarkStart w:id="54" w:name="comunidade-fundadora"/>
    <w:p>
      <w:pPr>
        <w:pStyle w:val="Heading3"/>
      </w:pPr>
      <w:r>
        <w:t xml:space="preserve">Comunidade fundadora</w:t>
      </w:r>
    </w:p>
    <w:p>
      <w:pPr>
        <w:pStyle w:val="FirstParagraph"/>
      </w:pPr>
      <w:r>
        <w:t xml:space="preserve">Criar um:</w:t>
      </w:r>
    </w:p>
    <w:p>
      <w:pPr>
        <w:pStyle w:val="BlockText"/>
      </w:pPr>
      <w:r>
        <w:t xml:space="preserve">Programa Fundador da Rede de Confiança Tributária.</w:t>
      </w:r>
    </w:p>
    <w:bookmarkEnd w:id="54"/>
    <w:bookmarkStart w:id="55" w:name="laboratório-simulado"/>
    <w:p>
      <w:pPr>
        <w:pStyle w:val="Heading3"/>
      </w:pPr>
      <w:r>
        <w:t xml:space="preserve">Laboratório simulado</w:t>
      </w:r>
    </w:p>
    <w:p>
      <w:pPr>
        <w:pStyle w:val="FirstParagraph"/>
      </w:pPr>
      <w:r>
        <w:t xml:space="preserve">Testar com clientes:</w:t>
      </w:r>
    </w:p>
    <w:p>
      <w:pPr>
        <w:pStyle w:val="Compact"/>
        <w:numPr>
          <w:ilvl w:val="0"/>
          <w:numId w:val="1034"/>
        </w:numPr>
      </w:pPr>
      <w:r>
        <w:t xml:space="preserve">consultas;</w:t>
      </w:r>
    </w:p>
    <w:p>
      <w:pPr>
        <w:pStyle w:val="Compact"/>
        <w:numPr>
          <w:ilvl w:val="0"/>
          <w:numId w:val="1034"/>
        </w:numPr>
      </w:pPr>
      <w:r>
        <w:t xml:space="preserve">notificações;</w:t>
      </w:r>
    </w:p>
    <w:p>
      <w:pPr>
        <w:pStyle w:val="Compact"/>
        <w:numPr>
          <w:ilvl w:val="0"/>
          <w:numId w:val="1034"/>
        </w:numPr>
      </w:pPr>
      <w:r>
        <w:t xml:space="preserve">contestações;</w:t>
      </w:r>
    </w:p>
    <w:p>
      <w:pPr>
        <w:pStyle w:val="Compact"/>
        <w:numPr>
          <w:ilvl w:val="0"/>
          <w:numId w:val="1034"/>
        </w:numPr>
      </w:pPr>
      <w:r>
        <w:t xml:space="preserve">regularizações;</w:t>
      </w:r>
    </w:p>
    <w:p>
      <w:pPr>
        <w:pStyle w:val="Compact"/>
        <w:numPr>
          <w:ilvl w:val="0"/>
          <w:numId w:val="1034"/>
        </w:numPr>
      </w:pPr>
      <w:r>
        <w:t xml:space="preserve">convites;</w:t>
      </w:r>
    </w:p>
    <w:p>
      <w:pPr>
        <w:pStyle w:val="Compact"/>
        <w:numPr>
          <w:ilvl w:val="0"/>
          <w:numId w:val="1034"/>
        </w:numPr>
      </w:pPr>
      <w:r>
        <w:t xml:space="preserve">autorizações;</w:t>
      </w:r>
    </w:p>
    <w:p>
      <w:pPr>
        <w:pStyle w:val="Compact"/>
        <w:numPr>
          <w:ilvl w:val="0"/>
          <w:numId w:val="1034"/>
        </w:numPr>
      </w:pPr>
      <w:r>
        <w:t xml:space="preserve">relatórios.</w:t>
      </w:r>
    </w:p>
    <w:bookmarkEnd w:id="55"/>
    <w:bookmarkStart w:id="56" w:name="operação-real"/>
    <w:p>
      <w:pPr>
        <w:pStyle w:val="Heading3"/>
      </w:pPr>
      <w:r>
        <w:t xml:space="preserve">Operação real</w:t>
      </w:r>
    </w:p>
    <w:p>
      <w:pPr>
        <w:pStyle w:val="FirstParagraph"/>
      </w:pPr>
      <w:r>
        <w:t xml:space="preserve">Quando os dados e integrações estiverem disponíveis:</w:t>
      </w:r>
    </w:p>
    <w:p>
      <w:pPr>
        <w:pStyle w:val="Compact"/>
        <w:numPr>
          <w:ilvl w:val="0"/>
          <w:numId w:val="1035"/>
        </w:numPr>
      </w:pPr>
      <w:r>
        <w:t xml:space="preserve">iniciar com consultas limitadas;</w:t>
      </w:r>
    </w:p>
    <w:p>
      <w:pPr>
        <w:pStyle w:val="Compact"/>
        <w:numPr>
          <w:ilvl w:val="0"/>
          <w:numId w:val="1035"/>
        </w:numPr>
      </w:pPr>
      <w:r>
        <w:t xml:space="preserve">acompanhamento humano;</w:t>
      </w:r>
    </w:p>
    <w:p>
      <w:pPr>
        <w:pStyle w:val="Compact"/>
        <w:numPr>
          <w:ilvl w:val="0"/>
          <w:numId w:val="1035"/>
        </w:numPr>
      </w:pPr>
      <w:r>
        <w:t xml:space="preserve">trilha de auditoria;</w:t>
      </w:r>
    </w:p>
    <w:p>
      <w:pPr>
        <w:pStyle w:val="Compact"/>
        <w:numPr>
          <w:ilvl w:val="0"/>
          <w:numId w:val="1035"/>
        </w:numPr>
      </w:pPr>
      <w:r>
        <w:t xml:space="preserve">atualização rápida;</w:t>
      </w:r>
    </w:p>
    <w:p>
      <w:pPr>
        <w:pStyle w:val="Compact"/>
        <w:numPr>
          <w:ilvl w:val="0"/>
          <w:numId w:val="1035"/>
        </w:numPr>
      </w:pPr>
      <w:r>
        <w:t xml:space="preserve">sem score amplo no início.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principais-oportunidades"/>
    <w:p>
      <w:pPr>
        <w:pStyle w:val="Heading2"/>
      </w:pPr>
      <w:r>
        <w:t xml:space="preserve">15. Principais oportunidades</w:t>
      </w:r>
    </w:p>
    <w:p>
      <w:pPr>
        <w:pStyle w:val="FirstParagraph"/>
      </w:pPr>
      <w:r>
        <w:t xml:space="preserve">As maiores oportunidades identificadas são:</w:t>
      </w:r>
    </w:p>
    <w:p>
      <w:pPr>
        <w:pStyle w:val="Compact"/>
        <w:numPr>
          <w:ilvl w:val="0"/>
          <w:numId w:val="1036"/>
        </w:numPr>
      </w:pPr>
      <w:r>
        <w:t xml:space="preserve">criar uma categoria nova antes de grandes empresas;</w:t>
      </w:r>
    </w:p>
    <w:p>
      <w:pPr>
        <w:pStyle w:val="Compact"/>
        <w:numPr>
          <w:ilvl w:val="0"/>
          <w:numId w:val="1036"/>
        </w:numPr>
      </w:pPr>
      <w:r>
        <w:t xml:space="preserve">transformar autorização em selo de confiança;</w:t>
      </w:r>
    </w:p>
    <w:p>
      <w:pPr>
        <w:pStyle w:val="Compact"/>
        <w:numPr>
          <w:ilvl w:val="0"/>
          <w:numId w:val="1036"/>
        </w:numPr>
      </w:pPr>
      <w:r>
        <w:t xml:space="preserve">usar o agronegócio como primeira rede;</w:t>
      </w:r>
    </w:p>
    <w:p>
      <w:pPr>
        <w:pStyle w:val="Compact"/>
        <w:numPr>
          <w:ilvl w:val="0"/>
          <w:numId w:val="1036"/>
        </w:numPr>
      </w:pPr>
      <w:r>
        <w:t xml:space="preserve">aproveitar a carteira do escritório contábil;</w:t>
      </w:r>
    </w:p>
    <w:p>
      <w:pPr>
        <w:pStyle w:val="Compact"/>
        <w:numPr>
          <w:ilvl w:val="0"/>
          <w:numId w:val="1036"/>
        </w:numPr>
      </w:pPr>
      <w:r>
        <w:t xml:space="preserve">envolver contadores como distribuidores;</w:t>
      </w:r>
    </w:p>
    <w:p>
      <w:pPr>
        <w:pStyle w:val="Compact"/>
        <w:numPr>
          <w:ilvl w:val="0"/>
          <w:numId w:val="1036"/>
        </w:numPr>
      </w:pPr>
      <w:r>
        <w:t xml:space="preserve">gerar crescimento por convite e regularização;</w:t>
      </w:r>
    </w:p>
    <w:p>
      <w:pPr>
        <w:pStyle w:val="Compact"/>
        <w:numPr>
          <w:ilvl w:val="0"/>
          <w:numId w:val="1036"/>
        </w:numPr>
      </w:pPr>
      <w:r>
        <w:t xml:space="preserve">preservar operações comerciais;</w:t>
      </w:r>
    </w:p>
    <w:p>
      <w:pPr>
        <w:pStyle w:val="Compact"/>
        <w:numPr>
          <w:ilvl w:val="0"/>
          <w:numId w:val="1036"/>
        </w:numPr>
      </w:pPr>
      <w:r>
        <w:t xml:space="preserve">reduzir risco tributário;</w:t>
      </w:r>
    </w:p>
    <w:p>
      <w:pPr>
        <w:pStyle w:val="Compact"/>
        <w:numPr>
          <w:ilvl w:val="0"/>
          <w:numId w:val="1036"/>
        </w:numPr>
      </w:pPr>
      <w:r>
        <w:t xml:space="preserve">conectar compradores e fornecedores;</w:t>
      </w:r>
    </w:p>
    <w:p>
      <w:pPr>
        <w:pStyle w:val="Compact"/>
        <w:numPr>
          <w:ilvl w:val="0"/>
          <w:numId w:val="1036"/>
        </w:numPr>
      </w:pPr>
      <w:r>
        <w:t xml:space="preserve">criar histórico confiável de regularizações;</w:t>
      </w:r>
    </w:p>
    <w:p>
      <w:pPr>
        <w:pStyle w:val="Compact"/>
        <w:numPr>
          <w:ilvl w:val="0"/>
          <w:numId w:val="1036"/>
        </w:numPr>
      </w:pPr>
      <w:r>
        <w:t xml:space="preserve">integrar futuramente ERPs e associações;</w:t>
      </w:r>
    </w:p>
    <w:p>
      <w:pPr>
        <w:pStyle w:val="Compact"/>
        <w:numPr>
          <w:ilvl w:val="0"/>
          <w:numId w:val="1036"/>
        </w:numPr>
      </w:pPr>
      <w:r>
        <w:t xml:space="preserve">construir uma base de dados difícil de copiar.</w:t>
      </w:r>
    </w:p>
    <w:p>
      <w:pPr>
        <w:pStyle w:val="FirstParagraph"/>
      </w:pPr>
      <w:r>
        <w:t xml:space="preserve">O ativo principal poderá ser:</w:t>
      </w:r>
    </w:p>
    <w:p>
      <w:pPr>
        <w:pStyle w:val="BlockText"/>
      </w:pPr>
      <w:r>
        <w:t xml:space="preserve">a rede de empresas conectadas e o histórico de confirmações e regularizações.</w:t>
      </w:r>
    </w:p>
    <w:p>
      <w:r>
        <w:pict>
          <v:rect style="width:0;height:1.5pt" o:hralign="center" o:hrstd="t" o:hr="t"/>
        </w:pict>
      </w:r>
    </w:p>
    <w:bookmarkEnd w:id="58"/>
    <w:bookmarkStart w:id="65" w:name="principais-problemas-e-incertezas"/>
    <w:p>
      <w:pPr>
        <w:pStyle w:val="Heading2"/>
      </w:pPr>
      <w:r>
        <w:t xml:space="preserve">16. Principais problemas e incertezas</w:t>
      </w:r>
    </w:p>
    <w:p>
      <w:pPr>
        <w:pStyle w:val="FirstParagraph"/>
      </w:pPr>
      <w:r>
        <w:t xml:space="preserve">Os principais pontos ainda não resolvidos são:</w:t>
      </w:r>
    </w:p>
    <w:bookmarkStart w:id="59" w:name="acesso-técnico"/>
    <w:p>
      <w:pPr>
        <w:pStyle w:val="Heading3"/>
      </w:pPr>
      <w:r>
        <w:t xml:space="preserve">Acesso técnico</w:t>
      </w:r>
    </w:p>
    <w:p>
      <w:pPr>
        <w:pStyle w:val="Compact"/>
        <w:numPr>
          <w:ilvl w:val="0"/>
          <w:numId w:val="1037"/>
        </w:numPr>
      </w:pPr>
      <w:r>
        <w:t xml:space="preserve">quais APIs estarão efetivamente disponíveis;</w:t>
      </w:r>
    </w:p>
    <w:p>
      <w:pPr>
        <w:pStyle w:val="Compact"/>
        <w:numPr>
          <w:ilvl w:val="0"/>
          <w:numId w:val="1037"/>
        </w:numPr>
      </w:pPr>
      <w:r>
        <w:t xml:space="preserve">se representantes poderão acessar por API;</w:t>
      </w:r>
    </w:p>
    <w:p>
      <w:pPr>
        <w:pStyle w:val="Compact"/>
        <w:numPr>
          <w:ilvl w:val="0"/>
          <w:numId w:val="1037"/>
        </w:numPr>
      </w:pPr>
      <w:r>
        <w:t xml:space="preserve">se será necessário credenciamento;</w:t>
      </w:r>
    </w:p>
    <w:p>
      <w:pPr>
        <w:pStyle w:val="Compact"/>
        <w:numPr>
          <w:ilvl w:val="0"/>
          <w:numId w:val="1037"/>
        </w:numPr>
      </w:pPr>
      <w:r>
        <w:t xml:space="preserve">se haverá contrato com Serpro;</w:t>
      </w:r>
    </w:p>
    <w:p>
      <w:pPr>
        <w:pStyle w:val="Compact"/>
        <w:numPr>
          <w:ilvl w:val="0"/>
          <w:numId w:val="1037"/>
        </w:numPr>
      </w:pPr>
      <w:r>
        <w:t xml:space="preserve">se a integração será somente pelo portal;</w:t>
      </w:r>
    </w:p>
    <w:p>
      <w:pPr>
        <w:pStyle w:val="Compact"/>
        <w:numPr>
          <w:ilvl w:val="0"/>
          <w:numId w:val="1037"/>
        </w:numPr>
      </w:pPr>
      <w:r>
        <w:t xml:space="preserve">quais dados existirão para IBS e para CBS.</w:t>
      </w:r>
    </w:p>
    <w:bookmarkEnd w:id="59"/>
    <w:bookmarkStart w:id="60" w:name="uso-e-compartilhamento"/>
    <w:p>
      <w:pPr>
        <w:pStyle w:val="Heading3"/>
      </w:pPr>
      <w:r>
        <w:t xml:space="preserve">Uso e compartilhamento</w:t>
      </w:r>
    </w:p>
    <w:p>
      <w:pPr>
        <w:pStyle w:val="Compact"/>
        <w:numPr>
          <w:ilvl w:val="0"/>
          <w:numId w:val="1038"/>
        </w:numPr>
      </w:pPr>
      <w:r>
        <w:t xml:space="preserve">quais informações podem ser acessadas;</w:t>
      </w:r>
    </w:p>
    <w:p>
      <w:pPr>
        <w:pStyle w:val="Compact"/>
        <w:numPr>
          <w:ilvl w:val="0"/>
          <w:numId w:val="1038"/>
        </w:numPr>
      </w:pPr>
      <w:r>
        <w:t xml:space="preserve">quais podem ser armazenadas;</w:t>
      </w:r>
    </w:p>
    <w:p>
      <w:pPr>
        <w:pStyle w:val="Compact"/>
        <w:numPr>
          <w:ilvl w:val="0"/>
          <w:numId w:val="1038"/>
        </w:numPr>
      </w:pPr>
      <w:r>
        <w:t xml:space="preserve">quais podem ser compartilhadas;</w:t>
      </w:r>
    </w:p>
    <w:p>
      <w:pPr>
        <w:pStyle w:val="Compact"/>
        <w:numPr>
          <w:ilvl w:val="0"/>
          <w:numId w:val="1038"/>
        </w:numPr>
      </w:pPr>
      <w:r>
        <w:t xml:space="preserve">por quanto tempo;</w:t>
      </w:r>
    </w:p>
    <w:p>
      <w:pPr>
        <w:pStyle w:val="Compact"/>
        <w:numPr>
          <w:ilvl w:val="0"/>
          <w:numId w:val="1038"/>
        </w:numPr>
      </w:pPr>
      <w:r>
        <w:t xml:space="preserve">com quem;</w:t>
      </w:r>
    </w:p>
    <w:p>
      <w:pPr>
        <w:pStyle w:val="Compact"/>
        <w:numPr>
          <w:ilvl w:val="0"/>
          <w:numId w:val="1038"/>
        </w:numPr>
      </w:pPr>
      <w:r>
        <w:t xml:space="preserve">em qual nível de detalhe.</w:t>
      </w:r>
    </w:p>
    <w:bookmarkEnd w:id="60"/>
    <w:bookmarkStart w:id="61" w:name="sigilo-fiscal"/>
    <w:p>
      <w:pPr>
        <w:pStyle w:val="Heading3"/>
      </w:pPr>
      <w:r>
        <w:t xml:space="preserve">Sigilo fiscal</w:t>
      </w:r>
    </w:p>
    <w:p>
      <w:pPr>
        <w:pStyle w:val="Compact"/>
        <w:numPr>
          <w:ilvl w:val="0"/>
          <w:numId w:val="1039"/>
        </w:numPr>
      </w:pPr>
      <w:r>
        <w:t xml:space="preserve">como evitar exposição de informações protegidas;</w:t>
      </w:r>
    </w:p>
    <w:p>
      <w:pPr>
        <w:pStyle w:val="Compact"/>
        <w:numPr>
          <w:ilvl w:val="0"/>
          <w:numId w:val="1039"/>
        </w:numPr>
      </w:pPr>
      <w:r>
        <w:t xml:space="preserve">como limitar a resposta à operação pertinente;</w:t>
      </w:r>
    </w:p>
    <w:p>
      <w:pPr>
        <w:pStyle w:val="Compact"/>
        <w:numPr>
          <w:ilvl w:val="0"/>
          <w:numId w:val="1039"/>
        </w:numPr>
      </w:pPr>
      <w:r>
        <w:t xml:space="preserve">como documentar a autorização.</w:t>
      </w:r>
    </w:p>
    <w:bookmarkEnd w:id="61"/>
    <w:bookmarkStart w:id="62" w:name="lgpd"/>
    <w:p>
      <w:pPr>
        <w:pStyle w:val="Heading3"/>
      </w:pPr>
      <w:r>
        <w:t xml:space="preserve">LGPD</w:t>
      </w:r>
    </w:p>
    <w:p>
      <w:pPr>
        <w:pStyle w:val="Compact"/>
        <w:numPr>
          <w:ilvl w:val="0"/>
          <w:numId w:val="1040"/>
        </w:numPr>
      </w:pPr>
      <w:r>
        <w:t xml:space="preserve">bases legais;</w:t>
      </w:r>
    </w:p>
    <w:p>
      <w:pPr>
        <w:pStyle w:val="Compact"/>
        <w:numPr>
          <w:ilvl w:val="0"/>
          <w:numId w:val="1040"/>
        </w:numPr>
      </w:pPr>
      <w:r>
        <w:t xml:space="preserve">dados de representantes;</w:t>
      </w:r>
    </w:p>
    <w:p>
      <w:pPr>
        <w:pStyle w:val="Compact"/>
        <w:numPr>
          <w:ilvl w:val="0"/>
          <w:numId w:val="1040"/>
        </w:numPr>
      </w:pPr>
      <w:r>
        <w:t xml:space="preserve">dados de produtores rurais pessoas físicas;</w:t>
      </w:r>
    </w:p>
    <w:p>
      <w:pPr>
        <w:pStyle w:val="Compact"/>
        <w:numPr>
          <w:ilvl w:val="0"/>
          <w:numId w:val="1040"/>
        </w:numPr>
      </w:pPr>
      <w:r>
        <w:t xml:space="preserve">contatos;</w:t>
      </w:r>
    </w:p>
    <w:p>
      <w:pPr>
        <w:pStyle w:val="Compact"/>
        <w:numPr>
          <w:ilvl w:val="0"/>
          <w:numId w:val="1040"/>
        </w:numPr>
      </w:pPr>
      <w:r>
        <w:t xml:space="preserve">retenção;</w:t>
      </w:r>
    </w:p>
    <w:p>
      <w:pPr>
        <w:pStyle w:val="Compact"/>
        <w:numPr>
          <w:ilvl w:val="0"/>
          <w:numId w:val="1040"/>
        </w:numPr>
      </w:pPr>
      <w:r>
        <w:t xml:space="preserve">contestação;</w:t>
      </w:r>
    </w:p>
    <w:p>
      <w:pPr>
        <w:pStyle w:val="Compact"/>
        <w:numPr>
          <w:ilvl w:val="0"/>
          <w:numId w:val="1040"/>
        </w:numPr>
      </w:pPr>
      <w:r>
        <w:t xml:space="preserve">segurança.</w:t>
      </w:r>
    </w:p>
    <w:bookmarkEnd w:id="62"/>
    <w:bookmarkStart w:id="63" w:name="atualização"/>
    <w:p>
      <w:pPr>
        <w:pStyle w:val="Heading3"/>
      </w:pPr>
      <w:r>
        <w:t xml:space="preserve">Atualização</w:t>
      </w:r>
    </w:p>
    <w:p>
      <w:pPr>
        <w:pStyle w:val="Compact"/>
        <w:numPr>
          <w:ilvl w:val="0"/>
          <w:numId w:val="1041"/>
        </w:numPr>
      </w:pPr>
      <w:r>
        <w:t xml:space="preserve">como detectar pagamento posterior;</w:t>
      </w:r>
    </w:p>
    <w:p>
      <w:pPr>
        <w:pStyle w:val="Compact"/>
        <w:numPr>
          <w:ilvl w:val="0"/>
          <w:numId w:val="1041"/>
        </w:numPr>
      </w:pPr>
      <w:r>
        <w:t xml:space="preserve">como confirmar regularização;</w:t>
      </w:r>
    </w:p>
    <w:p>
      <w:pPr>
        <w:pStyle w:val="Compact"/>
        <w:numPr>
          <w:ilvl w:val="0"/>
          <w:numId w:val="1041"/>
        </w:numPr>
      </w:pPr>
      <w:r>
        <w:t xml:space="preserve">como expirar registros;</w:t>
      </w:r>
    </w:p>
    <w:p>
      <w:pPr>
        <w:pStyle w:val="Compact"/>
        <w:numPr>
          <w:ilvl w:val="0"/>
          <w:numId w:val="1041"/>
        </w:numPr>
      </w:pPr>
      <w:r>
        <w:t xml:space="preserve">como evitar informações desatualizadas.</w:t>
      </w:r>
    </w:p>
    <w:bookmarkEnd w:id="63"/>
    <w:bookmarkStart w:id="64" w:name="adoção"/>
    <w:p>
      <w:pPr>
        <w:pStyle w:val="Heading3"/>
      </w:pPr>
      <w:r>
        <w:t xml:space="preserve">Adoção</w:t>
      </w:r>
    </w:p>
    <w:p>
      <w:pPr>
        <w:pStyle w:val="Compact"/>
        <w:numPr>
          <w:ilvl w:val="0"/>
          <w:numId w:val="1042"/>
        </w:numPr>
      </w:pPr>
      <w:r>
        <w:t xml:space="preserve">empresas aceitarão conectar seus dados?</w:t>
      </w:r>
    </w:p>
    <w:p>
      <w:pPr>
        <w:pStyle w:val="Compact"/>
        <w:numPr>
          <w:ilvl w:val="0"/>
          <w:numId w:val="1042"/>
        </w:numPr>
      </w:pPr>
      <w:r>
        <w:t xml:space="preserve">fornecedores enxergarão benefício?</w:t>
      </w:r>
    </w:p>
    <w:p>
      <w:pPr>
        <w:pStyle w:val="Compact"/>
        <w:numPr>
          <w:ilvl w:val="0"/>
          <w:numId w:val="1042"/>
        </w:numPr>
      </w:pPr>
      <w:r>
        <w:t xml:space="preserve">o comprador exigirá o perfil conectado?</w:t>
      </w:r>
    </w:p>
    <w:p>
      <w:pPr>
        <w:pStyle w:val="Compact"/>
        <w:numPr>
          <w:ilvl w:val="0"/>
          <w:numId w:val="1042"/>
        </w:numPr>
      </w:pPr>
      <w:r>
        <w:t xml:space="preserve">o contador participará?</w:t>
      </w:r>
    </w:p>
    <w:p>
      <w:pPr>
        <w:pStyle w:val="Compact"/>
        <w:numPr>
          <w:ilvl w:val="0"/>
          <w:numId w:val="1042"/>
        </w:numPr>
      </w:pPr>
      <w:r>
        <w:t xml:space="preserve">qual será o preço?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posição-atual-do-projeto"/>
    <w:p>
      <w:pPr>
        <w:pStyle w:val="Heading2"/>
      </w:pPr>
      <w:r>
        <w:t xml:space="preserve">17. Posição atual do projeto</w:t>
      </w:r>
    </w:p>
    <w:p>
      <w:pPr>
        <w:pStyle w:val="FirstParagraph"/>
      </w:pPr>
      <w:r>
        <w:t xml:space="preserve">A ideia evoluiu de um cadastro colaborativo de inadimplência para um modelo mais sólido:</w:t>
      </w:r>
    </w:p>
    <w:p>
      <w:pPr>
        <w:pStyle w:val="BlockText"/>
      </w:pPr>
      <w:r>
        <w:t xml:space="preserve">uma rede privada e autorizada de verificação tributária por operação.</w:t>
      </w:r>
    </w:p>
    <w:p>
      <w:pPr>
        <w:pStyle w:val="FirstParagraph"/>
      </w:pPr>
      <w:r>
        <w:t xml:space="preserve">A plataforma não deve afirmar genericamente:</w:t>
      </w:r>
    </w:p>
    <w:p>
      <w:pPr>
        <w:pStyle w:val="BlockText"/>
      </w:pPr>
      <w:r>
        <w:t xml:space="preserve">esta empresa é inadimplente.</w:t>
      </w:r>
    </w:p>
    <w:p>
      <w:pPr>
        <w:pStyle w:val="FirstParagraph"/>
      </w:pPr>
      <w:r>
        <w:t xml:space="preserve">Ela deve informar:</w:t>
      </w:r>
    </w:p>
    <w:p>
      <w:pPr>
        <w:pStyle w:val="BlockText"/>
      </w:pPr>
      <w:r>
        <w:t xml:space="preserve">para esta operação, a extinção está confirmada, pendente, contestada ou regularizada.</w:t>
      </w:r>
    </w:p>
    <w:p>
      <w:pPr>
        <w:pStyle w:val="FirstParagraph"/>
      </w:pPr>
      <w:r>
        <w:t xml:space="preserve">A proposta mais promissora no momento é:</w:t>
      </w:r>
    </w:p>
    <w:p>
      <w:pPr>
        <w:pStyle w:val="BlockText"/>
      </w:pPr>
      <w:r>
        <w:t xml:space="preserve">cada empresa autoriza o acesso a dados específicos, a plataforma consulta fontes oficiais ou documentos autorizados, transforma esses dados em confirmações mínimas e compartilha apenas o que for necessário com a contraparte comercial legítima.</w:t>
      </w:r>
    </w:p>
    <w:p>
      <w:r>
        <w:pict>
          <v:rect style="width:0;height:1.5pt" o:hralign="center" o:hrstd="t" o:hr="t"/>
        </w:pict>
      </w:r>
    </w:p>
    <w:bookmarkEnd w:id="66"/>
    <w:bookmarkStart w:id="67" w:name="próximos-passos-recomendados"/>
    <w:p>
      <w:pPr>
        <w:pStyle w:val="Heading2"/>
      </w:pPr>
      <w:r>
        <w:t xml:space="preserve">18. Próximos passos recomendados</w:t>
      </w:r>
    </w:p>
    <w:p>
      <w:pPr>
        <w:pStyle w:val="FirstParagraph"/>
      </w:pPr>
      <w:r>
        <w:t xml:space="preserve">As próximas atividades prioritárias são:</w:t>
      </w:r>
    </w:p>
    <w:p>
      <w:pPr>
        <w:pStyle w:val="Compact"/>
        <w:numPr>
          <w:ilvl w:val="0"/>
          <w:numId w:val="1043"/>
        </w:numPr>
      </w:pPr>
      <w:r>
        <w:t xml:space="preserve">Mapear oficialmente todas as fontes de dados de IBS e CBS.</w:t>
      </w:r>
    </w:p>
    <w:p>
      <w:pPr>
        <w:pStyle w:val="Compact"/>
        <w:numPr>
          <w:ilvl w:val="0"/>
          <w:numId w:val="1043"/>
        </w:numPr>
      </w:pPr>
      <w:r>
        <w:t xml:space="preserve">Confirmar como funcionará o acesso por representante.</w:t>
      </w:r>
    </w:p>
    <w:p>
      <w:pPr>
        <w:pStyle w:val="Compact"/>
        <w:numPr>
          <w:ilvl w:val="0"/>
          <w:numId w:val="1043"/>
        </w:numPr>
      </w:pPr>
      <w:r>
        <w:t xml:space="preserve">Verificar quais serviços permitirão API.</w:t>
      </w:r>
    </w:p>
    <w:p>
      <w:pPr>
        <w:pStyle w:val="Compact"/>
        <w:numPr>
          <w:ilvl w:val="0"/>
          <w:numId w:val="1043"/>
        </w:numPr>
      </w:pPr>
      <w:r>
        <w:t xml:space="preserve">Identificar regras de sigilo e redistribuição.</w:t>
      </w:r>
    </w:p>
    <w:p>
      <w:pPr>
        <w:pStyle w:val="Compact"/>
        <w:numPr>
          <w:ilvl w:val="0"/>
          <w:numId w:val="1043"/>
        </w:numPr>
      </w:pPr>
      <w:r>
        <w:t xml:space="preserve">Construir o mapa jurídico e de LGPD.</w:t>
      </w:r>
    </w:p>
    <w:p>
      <w:pPr>
        <w:pStyle w:val="Compact"/>
        <w:numPr>
          <w:ilvl w:val="0"/>
          <w:numId w:val="1043"/>
        </w:numPr>
      </w:pPr>
      <w:r>
        <w:t xml:space="preserve">Desenhar o fluxo de autorização.</w:t>
      </w:r>
    </w:p>
    <w:p>
      <w:pPr>
        <w:pStyle w:val="Compact"/>
        <w:numPr>
          <w:ilvl w:val="0"/>
          <w:numId w:val="1043"/>
        </w:numPr>
      </w:pPr>
      <w:r>
        <w:t xml:space="preserve">Desenhar o ciclo consulta–notificação–contestação–regularização.</w:t>
      </w:r>
    </w:p>
    <w:p>
      <w:pPr>
        <w:pStyle w:val="Compact"/>
        <w:numPr>
          <w:ilvl w:val="0"/>
          <w:numId w:val="1043"/>
        </w:numPr>
      </w:pPr>
      <w:r>
        <w:t xml:space="preserve">Criar protótipo com dados fictícios.</w:t>
      </w:r>
    </w:p>
    <w:p>
      <w:pPr>
        <w:pStyle w:val="Compact"/>
        <w:numPr>
          <w:ilvl w:val="0"/>
          <w:numId w:val="1043"/>
        </w:numPr>
      </w:pPr>
      <w:r>
        <w:t xml:space="preserve">Entrevistar clientes do agronegócio.</w:t>
      </w:r>
    </w:p>
    <w:p>
      <w:pPr>
        <w:pStyle w:val="Compact"/>
        <w:numPr>
          <w:ilvl w:val="0"/>
          <w:numId w:val="1043"/>
        </w:numPr>
      </w:pPr>
      <w:r>
        <w:t xml:space="preserve">Medir interesse em autorização e participação.</w:t>
      </w:r>
    </w:p>
    <w:p>
      <w:pPr>
        <w:pStyle w:val="Compact"/>
        <w:numPr>
          <w:ilvl w:val="0"/>
          <w:numId w:val="1043"/>
        </w:numPr>
      </w:pPr>
      <w:r>
        <w:t xml:space="preserve">Criar o Programa Fundador.</w:t>
      </w:r>
    </w:p>
    <w:p>
      <w:pPr>
        <w:pStyle w:val="Compact"/>
        <w:numPr>
          <w:ilvl w:val="0"/>
          <w:numId w:val="1043"/>
        </w:numPr>
      </w:pPr>
      <w:r>
        <w:t xml:space="preserve">Evitar contato profundo com grandes ERPs até existir demanda organizada.</w:t>
      </w:r>
    </w:p>
    <w:p>
      <w:r>
        <w:pict>
          <v:rect style="width:0;height:1.5pt" o:hralign="center" o:hrstd="t" o:hr="t"/>
        </w:pict>
      </w:r>
    </w:p>
    <w:bookmarkEnd w:id="67"/>
    <w:bookmarkStart w:id="68" w:name="síntese-final"/>
    <w:p>
      <w:pPr>
        <w:pStyle w:val="Heading2"/>
      </w:pPr>
      <w:r>
        <w:t xml:space="preserve">Síntese final</w:t>
      </w:r>
    </w:p>
    <w:p>
      <w:pPr>
        <w:pStyle w:val="FirstParagraph"/>
      </w:pPr>
      <w:r>
        <w:t xml:space="preserve">O projeto não é um</w:t>
      </w:r>
      <w:r>
        <w:t xml:space="preserve"> </w:t>
      </w:r>
      <w:r>
        <w:t xml:space="preserve">“Serasa tributário”</w:t>
      </w:r>
      <w:r>
        <w:t xml:space="preserve">.</w:t>
      </w:r>
    </w:p>
    <w:p>
      <w:pPr>
        <w:pStyle w:val="BodyText"/>
      </w:pPr>
      <w:r>
        <w:t xml:space="preserve">É uma infraestrutura de confiança que pretende:</w:t>
      </w:r>
    </w:p>
    <w:p>
      <w:pPr>
        <w:pStyle w:val="Compact"/>
        <w:numPr>
          <w:ilvl w:val="0"/>
          <w:numId w:val="1044"/>
        </w:numPr>
      </w:pPr>
      <w:r>
        <w:t xml:space="preserve">verificar situações relacionadas ao IBS/CBS;</w:t>
      </w:r>
    </w:p>
    <w:p>
      <w:pPr>
        <w:pStyle w:val="Compact"/>
        <w:numPr>
          <w:ilvl w:val="0"/>
          <w:numId w:val="1044"/>
        </w:numPr>
      </w:pPr>
      <w:r>
        <w:t xml:space="preserve">permitir contestação;</w:t>
      </w:r>
    </w:p>
    <w:p>
      <w:pPr>
        <w:pStyle w:val="Compact"/>
        <w:numPr>
          <w:ilvl w:val="0"/>
          <w:numId w:val="1044"/>
        </w:numPr>
      </w:pPr>
      <w:r>
        <w:t xml:space="preserve">provocar regularização;</w:t>
      </w:r>
    </w:p>
    <w:p>
      <w:pPr>
        <w:pStyle w:val="Compact"/>
        <w:numPr>
          <w:ilvl w:val="0"/>
          <w:numId w:val="1044"/>
        </w:numPr>
      </w:pPr>
      <w:r>
        <w:t xml:space="preserve">preservar vendas;</w:t>
      </w:r>
    </w:p>
    <w:p>
      <w:pPr>
        <w:pStyle w:val="Compact"/>
        <w:numPr>
          <w:ilvl w:val="0"/>
          <w:numId w:val="1044"/>
        </w:numPr>
      </w:pPr>
      <w:r>
        <w:t xml:space="preserve">proteger compradores;</w:t>
      </w:r>
    </w:p>
    <w:p>
      <w:pPr>
        <w:pStyle w:val="Compact"/>
        <w:numPr>
          <w:ilvl w:val="0"/>
          <w:numId w:val="1044"/>
        </w:numPr>
      </w:pPr>
      <w:r>
        <w:t xml:space="preserve">fortalecer fornecedores confiáveis;</w:t>
      </w:r>
    </w:p>
    <w:p>
      <w:pPr>
        <w:pStyle w:val="Compact"/>
        <w:numPr>
          <w:ilvl w:val="0"/>
          <w:numId w:val="1044"/>
        </w:numPr>
      </w:pPr>
      <w:r>
        <w:t xml:space="preserve">conectar empresas, contadores e sistemas.</w:t>
      </w:r>
    </w:p>
    <w:p>
      <w:pPr>
        <w:pStyle w:val="FirstParagraph"/>
      </w:pPr>
      <w:r>
        <w:t xml:space="preserve">A principal oportunidade é usar a autorização dos próprios participantes como motor da rede.</w:t>
      </w:r>
    </w:p>
    <w:p>
      <w:pPr>
        <w:pStyle w:val="BodyText"/>
      </w:pPr>
      <w:r>
        <w:t xml:space="preserve">O principal risco é construir o produto sem confirmar previamente:</w:t>
      </w:r>
    </w:p>
    <w:p>
      <w:pPr>
        <w:pStyle w:val="Compact"/>
        <w:numPr>
          <w:ilvl w:val="0"/>
          <w:numId w:val="1045"/>
        </w:numPr>
      </w:pPr>
      <w:r>
        <w:t xml:space="preserve">acesso técnico;</w:t>
      </w:r>
    </w:p>
    <w:p>
      <w:pPr>
        <w:pStyle w:val="Compact"/>
        <w:numPr>
          <w:ilvl w:val="0"/>
          <w:numId w:val="1045"/>
        </w:numPr>
      </w:pPr>
      <w:r>
        <w:t xml:space="preserve">possibilidade jurídica de uso;</w:t>
      </w:r>
    </w:p>
    <w:p>
      <w:pPr>
        <w:pStyle w:val="Compact"/>
        <w:numPr>
          <w:ilvl w:val="0"/>
          <w:numId w:val="1045"/>
        </w:numPr>
      </w:pPr>
      <w:r>
        <w:t xml:space="preserve">limites de compartilhamento;</w:t>
      </w:r>
    </w:p>
    <w:p>
      <w:pPr>
        <w:pStyle w:val="Compact"/>
        <w:numPr>
          <w:ilvl w:val="0"/>
          <w:numId w:val="1045"/>
        </w:numPr>
      </w:pPr>
      <w:r>
        <w:t xml:space="preserve">atualização dos dados;</w:t>
      </w:r>
    </w:p>
    <w:p>
      <w:pPr>
        <w:pStyle w:val="Compact"/>
        <w:numPr>
          <w:ilvl w:val="0"/>
          <w:numId w:val="1045"/>
        </w:numPr>
      </w:pPr>
      <w:r>
        <w:t xml:space="preserve">responsabilidade da plataforma.</w:t>
      </w:r>
    </w:p>
    <w:p>
      <w:pPr>
        <w:pStyle w:val="FirstParagraph"/>
      </w:pPr>
      <w:r>
        <w:t xml:space="preserve">A ideia parece viável, mas sua viabilidade depende de uma combinação de tecnologia, autorização, LGPD, sigilo fiscal, integração e adesão comercial.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2026-07-18T14:59:56Z</dcterms:created>
  <dcterms:modified xsi:type="dcterms:W3CDTF">2026-07-18T14:59:56Z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