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Noto Sans CJK SC" w:hAnsi="Noto Sans CJK SC" w:eastAsia="Noto Sans CJK SC"/>
          <w:b/>
          <w:color w:val="143764"/>
          <w:sz w:val="48"/>
        </w:rPr>
        <w:t>自研 IAM 认证授权中心</w:t>
      </w:r>
    </w:p>
    <w:p>
      <w:pPr>
        <w:spacing w:after="120"/>
        <w:jc w:val="center"/>
      </w:pPr>
      <w:r>
        <w:rPr>
          <w:rFonts w:ascii="Noto Sans CJK SC" w:hAnsi="Noto Sans CJK SC" w:eastAsia="Noto Sans CJK SC"/>
          <w:b/>
          <w:sz w:val="36"/>
        </w:rPr>
        <w:t>综合整理版详细设计文档与开发计划（v4.1 外部系统接入增强版）</w:t>
      </w:r>
    </w:p>
    <w:p>
      <w:pPr>
        <w:spacing w:after="120"/>
        <w:jc w:val="center"/>
      </w:pPr>
      <w:r>
        <w:rPr>
          <w:rFonts w:ascii="Noto Sans CJK SC" w:hAnsi="Noto Sans CJK SC" w:eastAsia="Noto Sans CJK SC"/>
          <w:b/>
        </w:rPr>
        <w:t>版本：v4.1 综合版    日期：2026-05-26</w:t>
      </w:r>
    </w:p>
    <w:p>
      <w:pPr>
        <w:spacing w:after="120"/>
        <w:jc w:val="center"/>
      </w:pPr>
      <w:r>
        <w:rPr>
          <w:rFonts w:ascii="Noto Sans CJK SC" w:hAnsi="Noto Sans CJK SC" w:eastAsia="Noto Sans CJK SC"/>
          <w:b w:val="0"/>
        </w:rPr>
        <w:t>适用场景：SaaS 平台、多应用插件、支付中心、商城、仓储、物流、商户、消费者、私域商城、私有化部署。</w:t>
      </w:r>
    </w:p>
    <w:p/>
    <w:p>
      <w:pPr>
        <w:spacing w:after="120"/>
      </w:pPr>
      <w:r>
        <w:rPr>
          <w:rFonts w:ascii="Noto Sans CJK SC" w:hAnsi="Noto Sans CJK SC" w:eastAsia="Noto Sans CJK SC"/>
          <w:b/>
        </w:rPr>
        <w:t>核心结论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租户中心、应用中心已经由外部系统完成，IAM 不再维护其主数据，只保存引用快照、同步状态、认证上下文和授权绑定。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Realm 身份域不是应用客户端。Realm 表示账号空间和登录策略；Client 表示一个应用入口接入 IAM；二者是多对多关系。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Account 账号不是业务主体。一个账号可以映射多个 Subject，例如 wangwu 同时是商城商户和支付特约商户。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授权模型采用 RBAC + 数据权限 DataScope + 主体关系 Relation + 策略 Policy 的组合，不把复杂权限硬编码在业务系统。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type_code 进入统一类型配置中心，页面配置只负责展示和录入；IAM 内核只识别少量系统内置语义类型。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第一版按模块化单体落地，保留后续拆分服务的边界；认证协议采用 OAuth2/OIDC 风格的授权码 + PKCE + JWT + Refresh Token。</w:t>
      </w:r>
    </w:p>
    <w:p>
      <w:pPr>
        <w:pStyle w:val="ListBullet"/>
      </w:pPr>
      <w:r>
        <w:t>IAM 第一阶段采用模块化单体部署，模块拆分是领域代码模块，不是微服务拆分；对外通过 OpenAPI、SDK、Spring Boot Starter、Gateway Plugin 和 Web SDK 支撑支付、商城、仓储、物流快速接入。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120"/>
      </w:pPr>
      <w:r>
        <w:rPr>
          <w:rFonts w:ascii="Noto Sans CJK SC" w:hAnsi="Noto Sans CJK SC" w:eastAsia="Noto Sans CJK SC"/>
          <w:b w:val="0"/>
        </w:rPr>
        <w:t>0. 文档整合说明与查漏补缺清单</w:t>
      </w:r>
    </w:p>
    <w:p>
      <w:pPr>
        <w:spacing w:after="120"/>
      </w:pPr>
      <w:r>
        <w:rPr>
          <w:rFonts w:ascii="Noto Sans CJK SC" w:hAnsi="Noto Sans CJK SC" w:eastAsia="Noto Sans CJK SC"/>
          <w:b w:val="0"/>
        </w:rPr>
        <w:t>1. 背景、目标与范围</w:t>
      </w:r>
    </w:p>
    <w:p>
      <w:pPr>
        <w:spacing w:after="120"/>
      </w:pPr>
      <w:r>
        <w:rPr>
          <w:rFonts w:ascii="Noto Sans CJK SC" w:hAnsi="Noto Sans CJK SC" w:eastAsia="Noto Sans CJK SC"/>
          <w:b w:val="0"/>
        </w:rPr>
        <w:t>2. 系统边界与职责划分</w:t>
      </w:r>
    </w:p>
    <w:p>
      <w:pPr>
        <w:spacing w:after="120"/>
      </w:pPr>
      <w:r>
        <w:rPr>
          <w:rFonts w:ascii="Noto Sans CJK SC" w:hAnsi="Noto Sans CJK SC" w:eastAsia="Noto Sans CJK SC"/>
          <w:b w:val="0"/>
        </w:rPr>
        <w:t>3. 业务角色与典型场景</w:t>
      </w:r>
    </w:p>
    <w:p>
      <w:pPr>
        <w:spacing w:after="120"/>
      </w:pPr>
      <w:r>
        <w:rPr>
          <w:rFonts w:ascii="Noto Sans CJK SC" w:hAnsi="Noto Sans CJK SC" w:eastAsia="Noto Sans CJK SC"/>
          <w:b w:val="0"/>
        </w:rPr>
        <w:t>4. 核心概念与领域模型</w:t>
      </w:r>
    </w:p>
    <w:p>
      <w:pPr>
        <w:spacing w:after="120"/>
      </w:pPr>
      <w:r>
        <w:rPr>
          <w:rFonts w:ascii="Noto Sans CJK SC" w:hAnsi="Noto Sans CJK SC" w:eastAsia="Noto Sans CJK SC"/>
          <w:b w:val="0"/>
        </w:rPr>
        <w:t>5. 总体功能架构</w:t>
      </w:r>
    </w:p>
    <w:p>
      <w:pPr>
        <w:spacing w:after="120"/>
      </w:pPr>
      <w:r>
        <w:rPr>
          <w:rFonts w:ascii="Noto Sans CJK SC" w:hAnsi="Noto Sans CJK SC" w:eastAsia="Noto Sans CJK SC"/>
          <w:b w:val="0"/>
        </w:rPr>
        <w:t>6. Realm 与应用客户端 Client 设计</w:t>
      </w:r>
    </w:p>
    <w:p>
      <w:pPr>
        <w:spacing w:after="120"/>
      </w:pPr>
      <w:r>
        <w:rPr>
          <w:rFonts w:ascii="Noto Sans CJK SC" w:hAnsi="Noto Sans CJK SC" w:eastAsia="Noto Sans CJK SC"/>
          <w:b w:val="0"/>
        </w:rPr>
        <w:t>7. 认证、SSO 与 Token 设计</w:t>
      </w:r>
    </w:p>
    <w:p>
      <w:pPr>
        <w:spacing w:after="120"/>
      </w:pPr>
      <w:r>
        <w:rPr>
          <w:rFonts w:ascii="Noto Sans CJK SC" w:hAnsi="Noto Sans CJK SC" w:eastAsia="Noto Sans CJK SC"/>
          <w:b w:val="0"/>
        </w:rPr>
        <w:t>8. 账号、主体、关系与授权模型</w:t>
      </w:r>
    </w:p>
    <w:p>
      <w:pPr>
        <w:spacing w:after="120"/>
      </w:pPr>
      <w:r>
        <w:rPr>
          <w:rFonts w:ascii="Noto Sans CJK SC" w:hAnsi="Noto Sans CJK SC" w:eastAsia="Noto Sans CJK SC"/>
          <w:b w:val="0"/>
        </w:rPr>
        <w:t>9. 类型配置与页面配置设计</w:t>
      </w:r>
    </w:p>
    <w:p>
      <w:pPr>
        <w:spacing w:after="120"/>
      </w:pPr>
      <w:r>
        <w:rPr>
          <w:rFonts w:ascii="Noto Sans CJK SC" w:hAnsi="Noto Sans CJK SC" w:eastAsia="Noto Sans CJK SC"/>
          <w:b w:val="0"/>
        </w:rPr>
        <w:t>10. 外部租户中心与应用中心集成</w:t>
      </w:r>
    </w:p>
    <w:p>
      <w:pPr>
        <w:spacing w:after="120"/>
      </w:pPr>
      <w:r>
        <w:rPr>
          <w:rFonts w:ascii="Noto Sans CJK SC" w:hAnsi="Noto Sans CJK SC" w:eastAsia="Noto Sans CJK SC"/>
          <w:b w:val="0"/>
        </w:rPr>
        <w:t>11. 数据库总体设计</w:t>
      </w:r>
    </w:p>
    <w:p>
      <w:pPr>
        <w:spacing w:after="120"/>
      </w:pPr>
      <w:r>
        <w:rPr>
          <w:rFonts w:ascii="Noto Sans CJK SC" w:hAnsi="Noto Sans CJK SC" w:eastAsia="Noto Sans CJK SC"/>
          <w:b w:val="0"/>
        </w:rPr>
        <w:t>12. 核心数据库表设计</w:t>
      </w:r>
    </w:p>
    <w:p>
      <w:pPr>
        <w:spacing w:after="120"/>
      </w:pPr>
      <w:r>
        <w:rPr>
          <w:rFonts w:ascii="Noto Sans CJK SC" w:hAnsi="Noto Sans CJK SC" w:eastAsia="Noto Sans CJK SC"/>
          <w:b w:val="0"/>
        </w:rPr>
        <w:t>13. 核心流程与算法</w:t>
      </w:r>
    </w:p>
    <w:p>
      <w:pPr>
        <w:spacing w:after="120"/>
      </w:pPr>
      <w:r>
        <w:rPr>
          <w:rFonts w:ascii="Noto Sans CJK SC" w:hAnsi="Noto Sans CJK SC" w:eastAsia="Noto Sans CJK SC"/>
          <w:b w:val="0"/>
        </w:rPr>
        <w:t>14. API 接口设计</w:t>
      </w:r>
    </w:p>
    <w:p>
      <w:pPr>
        <w:spacing w:after="120"/>
      </w:pPr>
      <w:r>
        <w:rPr>
          <w:rFonts w:ascii="Noto Sans CJK SC" w:hAnsi="Noto Sans CJK SC" w:eastAsia="Noto Sans CJK SC"/>
          <w:b w:val="0"/>
        </w:rPr>
        <w:t>15. 外部系统接入中心与 SDK 接入体系</w:t>
      </w:r>
    </w:p>
    <w:p>
      <w:pPr>
        <w:spacing w:after="120"/>
      </w:pPr>
      <w:r>
        <w:rPr>
          <w:rFonts w:ascii="Noto Sans CJK SC" w:hAnsi="Noto Sans CJK SC" w:eastAsia="Noto Sans CJK SC"/>
          <w:b w:val="0"/>
        </w:rPr>
        <w:t>16. 技术架构与技术选型</w:t>
      </w:r>
    </w:p>
    <w:p>
      <w:pPr>
        <w:spacing w:after="120"/>
      </w:pPr>
      <w:r>
        <w:rPr>
          <w:rFonts w:ascii="Noto Sans CJK SC" w:hAnsi="Noto Sans CJK SC" w:eastAsia="Noto Sans CJK SC"/>
          <w:b w:val="0"/>
        </w:rPr>
        <w:t>17. 缓存、网关与安全设计</w:t>
      </w:r>
    </w:p>
    <w:p>
      <w:pPr>
        <w:spacing w:after="120"/>
      </w:pPr>
      <w:r>
        <w:rPr>
          <w:rFonts w:ascii="Noto Sans CJK SC" w:hAnsi="Noto Sans CJK SC" w:eastAsia="Noto Sans CJK SC"/>
          <w:b w:val="0"/>
        </w:rPr>
        <w:t>18. 开发计划与里程碑</w:t>
      </w:r>
    </w:p>
    <w:p>
      <w:pPr>
        <w:spacing w:after="120"/>
      </w:pPr>
      <w:r>
        <w:rPr>
          <w:rFonts w:ascii="Noto Sans CJK SC" w:hAnsi="Noto Sans CJK SC" w:eastAsia="Noto Sans CJK SC"/>
          <w:b w:val="0"/>
        </w:rPr>
        <w:t>19. 测试、验收、上线与回滚</w:t>
      </w:r>
    </w:p>
    <w:p>
      <w:pPr>
        <w:spacing w:after="120"/>
      </w:pPr>
      <w:r>
        <w:rPr>
          <w:rFonts w:ascii="Noto Sans CJK SC" w:hAnsi="Noto Sans CJK SC" w:eastAsia="Noto Sans CJK SC"/>
          <w:b w:val="0"/>
        </w:rPr>
        <w:t>20. 风险、治理与演进</w:t>
      </w:r>
    </w:p>
    <w:p>
      <w:pPr/>
      <w:r>
        <w:t>21. 附录：初始化配置与关键 DDL 摘要</w:t>
      </w:r>
    </w:p>
    <w:p>
      <w:pPr>
        <w:pStyle w:val="Heading1"/>
      </w:pPr>
      <w:r>
        <w:t>0. 文档整合说明与查漏补缺清单</w:t>
      </w:r>
    </w:p>
    <w:p>
      <w:pPr>
        <w:spacing w:after="120"/>
      </w:pPr>
      <w:r>
        <w:rPr>
          <w:rFonts w:ascii="Noto Sans CJK SC" w:hAnsi="Noto Sans CJK SC" w:eastAsia="Noto Sans CJK SC"/>
          <w:b w:val="0"/>
        </w:rPr>
        <w:t>本版基于前面多个版本进行统一整理。早期版本完整覆盖了 IAM 自研能力，但默认 IAM 内部维护租户中心和应用中心；后续版本修正了外部租户中心、外部应用中心的边界；v2.1 补充了 Realm 与 Client、技术选型；v3.0 重新整理了主线。本版在 v3.0 的结构基础上，补齐表设计、接口契约、开发任务、验收用例、同步一致性和上线治理，形成一份可进入研发评审的综合版。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来源版本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保留内容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修正或废弃内容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v1 完整 IAM 版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账号、主体、权限、数据范围、策略、类型配置、页面配置、审计等完整能力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租户中心、应用中心不再作为 IAM 主数据模块，改为外部引用与适配层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v2 外部中心版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外部租户中心 / 外部应用中心为 Source of Truth 的边界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补充 Client-Realm 多对多、Subject-Client 访问授权，不只保存 app_ref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v2.1 技术架构补丁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OAuth Client、技术选型、网关接入、部署建议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避免作为附录拼接，合并到认证、集成、网关、安全章节中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v3.0 重构版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整体文档主线、概念层次、非目标、开发阶段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补齐详细数据库字段、接口清单、错误码、同步模式、验收用例和回滚策略</w:t>
            </w:r>
          </w:p>
        </w:tc>
      </w:tr>
    </w:tbl>
    <w:p/>
    <w:p>
      <w:pPr>
        <w:pStyle w:val="Heading2"/>
      </w:pPr>
      <w:r>
        <w:t>0.1 本版补齐的关键缺口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明确“外部租户中心 / 外部应用中心”的主数据边界，并说明 IAM 只保留 tenant_ref、app_ref、app_instance_ref、entry_ref。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明确 Realm 与 Client 不是一对一关系；新增 iam_client_realm 与 iam_subject_client_access 的设计说明。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补充 “Client 允许哪些 Realm 登录” 与 “具体 Subject 是否能访问 Client” 两层校验，避免只靠角色判断。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补充外部主数据同步机制：事件推送、主动拉取、版本号、幂等键、缓存时效、禁用快速生效。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补充完整数据模型分组，明确每张表解决的业务问题、核心字段、约束和索引方向。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补充技术架构选型：后端、前端、数据库、缓存、MQ、网关、Token、安全、部署、监控。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补充研发计划：阶段目标、任务、数据表、接口、验收标准、风险和依赖。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补充测试、上线、回滚、运营治理，避免文档只停留在设计阶段。</w:t>
      </w:r>
    </w:p>
    <w:p>
      <w:r>
        <w:br w:type="page"/>
      </w:r>
    </w:p>
    <w:p>
      <w:pPr>
        <w:pStyle w:val="ListBullet"/>
      </w:pPr>
      <w:r>
        <w:t>补齐“部署形态”说明：第一阶段采用模块化单体，逻辑模块不是微服务部署单元；后续按接入层、审计、同步、策略等压力点渐进拆分。</w:t>
      </w:r>
    </w:p>
    <w:p>
      <w:pPr>
        <w:pStyle w:val="ListBullet"/>
      </w:pPr>
      <w:r>
        <w:t>补齐“外部系统接入中心”：支付、商城、仓储、物流等业务系统不直接重复实现账号和权限能力，而通过 IAM OpenAPI、SDK、Starter、网关插件和资源清单同步接入。</w:t>
      </w:r>
    </w:p>
    <w:p>
      <w:pPr>
        <w:pStyle w:val="ListBullet"/>
      </w:pPr>
      <w:r>
        <w:t>补齐“业务系统数据权限落地方式”：第一版由 SDK 返回 DataScope，业务服务显式拼接查询条件；第二版再考虑 MyBatis 数据权限插件，避免早期自动改写 SQL 带来的风险。</w:t>
      </w:r>
    </w:p>
    <w:p>
      <w:pPr>
        <w:pStyle w:val="ListBullet"/>
      </w:pPr>
      <w:r>
        <w:t>补齐“接入方安全治理”：client_secret 管理、密钥轮换、接口签名、限流、资源同步审计、SDK 缓存失效和降级策略。</w:t>
      </w:r>
    </w:p>
    <w:p>
      <w:pPr>
        <w:pStyle w:val="Heading1"/>
      </w:pPr>
      <w:r>
        <w:t>1. 背景、目标与范围</w:t>
      </w:r>
    </w:p>
    <w:p>
      <w:pPr>
        <w:pStyle w:val="Heading2"/>
      </w:pPr>
      <w:r>
        <w:t>1.1 业务背景</w:t>
      </w:r>
    </w:p>
    <w:p>
      <w:pPr>
        <w:spacing w:after="120"/>
      </w:pPr>
      <w:r>
        <w:rPr>
          <w:rFonts w:ascii="Noto Sans CJK SC" w:hAnsi="Noto Sans CJK SC" w:eastAsia="Noto Sans CJK SC"/>
          <w:b w:val="0"/>
        </w:rPr>
        <w:t>当前平台存在多个系统入口：SaaS 后台、支付中心后台、租户控制台、商城平台端、商家后台、支付服务商后台、支付商户后台、仓储系统、物流系统、消费者端、私域商城等。不同入口面向不同主体：平台内部员工、租户管理员、商城商户、支付服务商、支付商户、物流站点、仓储人员、消费者。</w:t>
      </w:r>
    </w:p>
    <w:p>
      <w:pPr>
        <w:spacing w:after="120"/>
      </w:pPr>
      <w:r>
        <w:rPr>
          <w:rFonts w:ascii="Noto Sans CJK SC" w:hAnsi="Noto Sans CJK SC" w:eastAsia="Noto Sans CJK SC"/>
          <w:b w:val="0"/>
        </w:rPr>
        <w:t>租户中心和应用中心已经由外部系统完成，因此自研 IAM 的价值不在于重复创建租户或应用，而在于提供统一认证、SSO、账号、主体、权限、数据范围、策略、审计，以及把外部租户与应用主数据纳入认证授权上下文。</w:t>
      </w:r>
    </w:p>
    <w:p>
      <w:pPr>
        <w:pStyle w:val="Heading2"/>
      </w:pPr>
      <w:r>
        <w:t>1.2 建设目标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统一登录：所有业务系统通过 IAM 登录中心完成登录，支持跨客户端单点登录和统一退出。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统一身份：用 Realm 隔离平台员工、租户管理员、商户、消费者、私域用户等身份空间。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统一主体：同一账号可以绑定多个业务主体，支持 wangwu 同时进入商家后台和支付商户后台。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统一授权：以 Role/Permission 为功能授权，以 DataScope 约束数据边界，以 SubjectRelation 表达管理/服务/归属关系，以 Policy 处理条件化访问。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统一接入：业务系统通过 OAuth2/OIDC 风格流程、Token 校验、菜单接口、鉴权接口、网关插件接入。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统一审计：登录、退出、Token、授权变更、主体关系变更、敏感操作、外部同步行为可追溯。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统一扩展：新应用由外部应用中心注册和开通，IAM 通过引用、客户端、资源与权限模板完成接入。</w:t>
      </w:r>
    </w:p>
    <w:p>
      <w:pPr>
        <w:pStyle w:val="Heading2"/>
      </w:pPr>
      <w:r>
        <w:t>1.3 非目标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IAM 不替代外部租户中心，不维护租户主数据、组织主档、套餐、续费、租户应用订阅主流程。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IAM 不替代外部应用中心，不维护应用市场、应用目录主档、应用版本、应用实例生命周期。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IAM 不直接管理商城、支付、仓储、物流业务实体详情，只保存业务主体引用 ID。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第一版不做完整低代码平台，页面配置只满足类型项、字段展示、表单校验、下拉数据源等基础能力。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第一版不强制接入 SAML、LDAP、企业微信等外部身份源，但保留扩展表和接口。</w:t>
      </w:r>
    </w:p>
    <w:p>
      <w:r>
        <w:br w:type="page"/>
      </w:r>
    </w:p>
    <w:p>
      <w:pPr>
        <w:pStyle w:val="Heading1"/>
      </w:pPr>
      <w:r>
        <w:t>2. 系统边界与职责划分</w:t>
      </w:r>
    </w:p>
    <w:p>
      <w:r>
        <w:drawing>
          <wp:inline xmlns:a="http://schemas.openxmlformats.org/drawingml/2006/main" xmlns:pic="http://schemas.openxmlformats.org/drawingml/2006/picture">
            <wp:extent cx="6217920" cy="34975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2.1 外部租户中心职责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租户主档：租户编码、名称、状态、类型、负责人、到期状态。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组织与成员：组织架构、岗位、租户成员、成员状态。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套餐与订阅：租户套餐、应用订阅、应用实例开通关系。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租户生命周期：创建、启用、禁用、到期、续费、注销。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向 IAM 提供查询接口、事件推送和状态变更通知。</w:t>
      </w:r>
    </w:p>
    <w:p>
      <w:pPr>
        <w:pStyle w:val="Heading2"/>
      </w:pPr>
      <w:r>
        <w:t>2.2 外部应用中心职责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应用目录：应用编码、名称、分类、版本、状态。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应用入口：SaaS 后台、支付中心后台、商城平台端、商家后台、支付商户后台、消费者端等入口。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应用实例：某租户开通的某应用实例、实例状态、入口状态。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应用生命周期：上架、下架、发布、升级、停用。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向 IAM 同步应用、入口、实例、资源模板和状态变更。</w:t>
      </w:r>
    </w:p>
    <w:p>
      <w:pPr>
        <w:pStyle w:val="Heading2"/>
      </w:pPr>
      <w:r>
        <w:t>2.3 IAM 职责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维护 Realm、Account、Credential、Session、OAuth Client、Token、Subject、Role、Permission、DataScope、Policy、Audit。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引用外部 tenant/app/app_instance/entry，不对其主数据进行创建和生命周期管理。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根据外部引用状态、账号状态、主体状态、客户端授权、角色权限、数据范围和策略规则做综合鉴权。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向业务系统返回登录上下文、菜单树、按钮权限、接口鉴权结果和数据过滤条件。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接收外部系统事件，刷新引用快照、缓存和授权上下文。</w:t>
      </w:r>
    </w:p>
    <w:p>
      <w:pPr>
        <w:pStyle w:val="CodeBlock"/>
        <w:spacing w:after="120"/>
        <w:ind w:left="216" w:right="216"/>
        <w:shd w:fill="F3F6F9"/>
      </w:pPr>
      <w:r>
        <w:rPr>
          <w:rFonts w:ascii="Noto Sans Mono CJK SC" w:hAnsi="Noto Sans Mono CJK SC" w:eastAsia="Noto Sans Mono CJK SC"/>
          <w:sz w:val="17"/>
        </w:rPr>
        <w:t>职责边界公式：</w:t>
        <w:br/>
        <w:t>IAM 可判断“谁能登录、能进入哪个入口、有什么权限、能看哪些数据”。</w:t>
        <w:br/>
        <w:t>业务系统负责“业务数据是否存在、业务状态是否允许操作、如何按数据范围执行查询”。</w:t>
      </w:r>
    </w:p>
    <w:p>
      <w:r>
        <w:br w:type="page"/>
      </w:r>
    </w:p>
    <w:p>
      <w:pPr>
        <w:pStyle w:val="Heading1"/>
      </w:pPr>
      <w:r>
        <w:t>3. 业务角色与典型场景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人员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账号域 Realm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主体 Subject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可访问客户端 Client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核心说明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zhangsan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PLATFORM_STAFF_REALM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PLATFORM_STAFF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saas_admin_web, pay_center_admin_web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平台内部员工；一个登录态可进入 SaaS 后台与支付中心后台，但两个 Client 的 Token 和角色不同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lisi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TENANT_ADMIN_REALM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TENANT_ADMIN, PAY_PROVIDER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tenant_console_web, mall_platform_web, pay_provider_web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租户管理员；管理自己的商城、支付、仓储等应用实例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wangwu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MERCHANT_REALM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MALL_MERCHANT, PAY_MERCHANT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merchant_console_web, pay_merchant_web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同一账号多主体；商城和支付是不同业务身份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wangmazi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MERCHANT_REALM / PRIVATE_REALM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MALL_MERCHANT / PRIVATE_MALL_OWNER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merchant_console_web, private_mall_admin_web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私域商城或私有化场景下的商户主体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libai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CONSUMER_REALM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CONSUMER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consumer_h5, consumer_app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消费者；只能访问本人数据</w:t>
            </w:r>
          </w:p>
        </w:tc>
      </w:tr>
    </w:tbl>
    <w:p/>
    <w:p>
      <w:pPr>
        <w:pStyle w:val="Heading2"/>
      </w:pPr>
      <w:r>
        <w:t>3.1 平台管理员跨客户端 SSO</w:t>
      </w:r>
    </w:p>
    <w:p>
      <w:pPr>
        <w:spacing w:after="120"/>
      </w:pPr>
      <w:r>
        <w:rPr>
          <w:rFonts w:ascii="Noto Sans CJK SC" w:hAnsi="Noto Sans CJK SC" w:eastAsia="Noto Sans CJK SC"/>
          <w:b w:val="0"/>
        </w:rPr>
        <w:t>zhangsan 登录 SaaS 后台后，IAM 创建 PLATFORM_STAFF_REALM 的全局 SSO Session。访问支付中心后台时，支付中心后台作为 pay_center_admin_web Client 跳转 IAM；IAM 复用已有会话，并校验 pay_center_admin_web 是否允许 PLATFORM_STAFF_REALM 登录、zhangsan 的 Subject 是否具有访问该 Client 的授权，校验通过后签发支付中心后台 Token。</w:t>
      </w:r>
    </w:p>
    <w:p>
      <w:pPr>
        <w:pStyle w:val="Heading2"/>
      </w:pPr>
      <w:r>
        <w:t>3.2 租户管理员管理多应用</w:t>
      </w:r>
    </w:p>
    <w:p>
      <w:pPr>
        <w:spacing w:after="120"/>
      </w:pPr>
      <w:r>
        <w:rPr>
          <w:rFonts w:ascii="Noto Sans CJK SC" w:hAnsi="Noto Sans CJK SC" w:eastAsia="Noto Sans CJK SC"/>
          <w:b w:val="0"/>
        </w:rPr>
        <w:t>lisi 的租户、应用实例和入口来自外部租户中心与应用中心。IAM 在登录时装配 tenant_ref、app_instance_ref 和 entry_ref，并根据 lisi 的主体角色、数据范围和主体关系决定他可进入商城平台端、支付服务商后台或仓储后台。</w:t>
      </w:r>
    </w:p>
    <w:p>
      <w:pPr>
        <w:pStyle w:val="Heading2"/>
      </w:pPr>
      <w:r>
        <w:t>3.3 商户一账号多主体</w:t>
      </w:r>
    </w:p>
    <w:p>
      <w:pPr>
        <w:spacing w:after="120"/>
      </w:pPr>
      <w:r>
        <w:rPr>
          <w:rFonts w:ascii="Noto Sans CJK SC" w:hAnsi="Noto Sans CJK SC" w:eastAsia="Noto Sans CJK SC"/>
          <w:b w:val="0"/>
        </w:rPr>
        <w:t>wangwu 使用同一 Account 登录。进入 merchant_console_web 时，IAM 选择 MALL_MERCHANT 主体，数据范围是 CURRENT_MERCHANT；进入 pay_merchant_web 时，IAM 选择 PAY_MERCHANT 主体，数据范围是 CURRENT_PAY_MERCHANT。</w:t>
      </w:r>
    </w:p>
    <w:p>
      <w:pPr>
        <w:pStyle w:val="CodeBlock"/>
        <w:spacing w:after="120"/>
        <w:ind w:left="216" w:right="216"/>
        <w:shd w:fill="F3F6F9"/>
      </w:pPr>
      <w:r>
        <w:rPr>
          <w:rFonts w:ascii="Noto Sans Mono CJK SC" w:hAnsi="Noto Sans Mono CJK SC" w:eastAsia="Noto Sans Mono CJK SC"/>
          <w:sz w:val="17"/>
        </w:rPr>
        <w:t>wangwu Account</w:t>
        <w:br/>
        <w:t>├─ Subject A: MALL_MERCHANT  -&gt; merchant_console_web  -&gt; merchant_id = external_mall_merchant_id</w:t>
        <w:br/>
        <w:t>└─ Subject B: PAY_MERCHANT   -&gt; pay_merchant_web      -&gt; pay_merchant_id = external_pay_merchant_id</w:t>
      </w:r>
    </w:p>
    <w:p>
      <w:r>
        <w:br w:type="page"/>
      </w:r>
    </w:p>
    <w:p>
      <w:pPr>
        <w:pStyle w:val="Heading1"/>
      </w:pPr>
      <w:r>
        <w:t>4. 核心概念与领域模型</w:t>
      </w:r>
    </w:p>
    <w:p>
      <w:r>
        <w:drawing>
          <wp:inline xmlns:a="http://schemas.openxmlformats.org/drawingml/2006/main" xmlns:pic="http://schemas.openxmlformats.org/drawingml/2006/picture">
            <wp:extent cx="6217920" cy="33032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03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4.1 概念定义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概念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定义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是否 IAM 主数据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关键点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Realm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身份域 / 用户池 / 登录策略边界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决定账号空间、唯一性规则、登录策略、MFA、注册策略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Account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登录账号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代表谁能登录；不代表业务身份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Credential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账号凭证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密码、TOTP、短信、邮箱、第三方绑定等凭证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Client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应用客户端 / 应用入口接入方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代表某个入口接入 IAM，如 saas_admin_web，不等于 Realm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Subject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业务主体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账号在业务场景中的身份，如 MALL_MERCHANT、PAY_MERCHANT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TenantRef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外部租户引用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否，引用快照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来自外部租户中心，IAM 不创建租户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AppRef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外部应用引用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否，引用快照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来自外部应用中心，IAM 不创建应用目录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AppInstanceRef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外部应用实例引用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否，引用快照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来自外部应用中心/订阅关系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EntryRef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外部入口引用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否，引用快照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一个应用可以有多个入口；入口通常对应 IAM Client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Role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角色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权限集合，可按平台/租户/应用实例/商户维度定义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Permission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权限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菜单、按钮、接口、字段或操作的授权点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DataScope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数据范围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控制能看哪些数据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Policy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策略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处理登录策略、MFA、关系校验、条件化访问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AuditLog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审计日志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记录安全和管理行为</w:t>
            </w:r>
          </w:p>
        </w:tc>
      </w:tr>
    </w:tbl>
    <w:p/>
    <w:p>
      <w:pPr>
        <w:pStyle w:val="Heading2"/>
      </w:pPr>
      <w:r>
        <w:t>4.2 核心设计原则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主数据不重复：外部租户中心与应用中心是 Source of Truth，IAM 只保存引用与授权所需快照。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Realm 不等于 Client：Realm 管账号空间和登录策略，Client 管应用入口接入和协议配置。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账号不等于主体：Account 是登录凭证，Subject 是业务身份，一账号可多主体。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权限不只靠角色：角色、数据范围、主体关系和策略规则需要共同参与授权。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类型配置化但语义分层：type_code 可配置，系统内置 type_code 由 IAM 内核识别，不允许改变安全语义。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业务系统负责最终业务校验：IAM 返回数据范围和授权结果，业务系统按范围查询并校验业务状态。</w:t>
      </w:r>
    </w:p>
    <w:p>
      <w:r>
        <w:br w:type="page"/>
      </w:r>
    </w:p>
    <w:p>
      <w:pPr>
        <w:pStyle w:val="Heading1"/>
      </w:pPr>
      <w:r>
        <w:t>5. 总体功能架构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模块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职责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第一版范围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后续增强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Realm 与登录策略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身份域、登录页、密码策略、MFA 策略、唯一性规则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平台员工域、租户管理员域、商户域、消费者域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私有化独立域、外部 IdP 域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账号与凭证中心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账号、密码、手机号、邮箱、第三方绑定、设备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账号密码、短信/邮箱预留、设备记录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账号合并、企业微信/钉钉、LDAP/SAML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OAuth Client 与 SSO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客户端注册、授权码、Token、全局会话、统一登出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授权码 + PKCE、JWT、Refresh Token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OIDC Discovery、JWK 轮换、单点登出回调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外部引用适配层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租户、应用、实例、入口引用快照和状态同步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tenant_ref/app_ref/app_instance_ref/entry_ref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多源冲突处理、回放、补偿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主体与关系中心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Subject、SubjectRelation、SubjectClientAccess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平台/租户/商户/消费者主体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主体继承、关系链深度查询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权限中心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资源、权限、角色、授权、菜单、接口鉴权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RBAC、菜单/API/按钮权限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字段权限、审批权限、权限模拟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数据范围中心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数据权限类型和条件生成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全平台、当前租户、当前商户、支付商户、本人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组织树、区域、复杂自定义规则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策略中心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登录、访问、MFA、关系、数据策略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基础策略 + handler 扩展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表达式引擎、策略模拟器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审计与安全中心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登录日志、授权日志、敏感操作、Token 行为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关键行为审计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风控、告警、报表、SIEM 对接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类型与页面配置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type_code、字段配置、下拉数据源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基础类型与页面字段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更完整的低代码配置</w:t>
            </w:r>
          </w:p>
        </w:tc>
      </w:tr>
    </w:tbl>
    <w:p/>
    <w:p>
      <w:r>
        <w:br w:type="page"/>
      </w:r>
    </w:p>
    <w:p>
      <w:pPr>
        <w:pStyle w:val="Heading1"/>
      </w:pPr>
      <w:r>
        <w:t>6. Realm 与应用客户端 Client 设计</w:t>
      </w:r>
    </w:p>
    <w:p>
      <w:pPr>
        <w:pStyle w:val="Heading2"/>
      </w:pPr>
      <w:r>
        <w:t>6.1 核心结论</w:t>
      </w:r>
    </w:p>
    <w:p>
      <w:pPr>
        <w:spacing w:after="120"/>
      </w:pPr>
      <w:r>
        <w:rPr>
          <w:rFonts w:ascii="Noto Sans CJK SC" w:hAnsi="Noto Sans CJK SC" w:eastAsia="Noto Sans CJK SC"/>
          <w:b w:val="0"/>
        </w:rPr>
        <w:t>一个身份域不对应一个应用客户端。身份域表示一类账号的身份空间与认证策略；应用客户端表示一个应用入口接入 IAM 的协议配置。一个 Realm 可以允许多个 Client 登录，一个 Client 也可以允许多个 Realm 登录。</w:t>
      </w:r>
    </w:p>
    <w:p>
      <w:pPr>
        <w:pStyle w:val="CodeBlock"/>
        <w:spacing w:after="120"/>
        <w:ind w:left="216" w:right="216"/>
        <w:shd w:fill="F3F6F9"/>
      </w:pPr>
      <w:r>
        <w:rPr>
          <w:rFonts w:ascii="Noto Sans Mono CJK SC" w:hAnsi="Noto Sans Mono CJK SC" w:eastAsia="Noto Sans Mono CJK SC"/>
          <w:sz w:val="17"/>
        </w:rPr>
        <w:t>示例：</w:t>
        <w:br/>
        <w:t>PLATFORM_STAFF_REALM 平台内部员工域</w:t>
        <w:br/>
        <w:t>├─ Client: saas_admin_web             SaaS 后台管理端</w:t>
        <w:br/>
        <w:t>└─ Client: pay_center_admin_web       支付中心后台管理端</w:t>
        <w:br/>
        <w:br/>
        <w:t>这不是两个 Realm，而是同一个 Realm 下的两个 Client。</w:t>
      </w:r>
    </w:p>
    <w:p>
      <w:pPr>
        <w:pStyle w:val="Heading2"/>
      </w:pPr>
      <w:r>
        <w:t>6.2 两层入口控制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控制层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解决的问题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推荐表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示例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Client-Realm 允许关系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这个客户端允许哪些身份域登录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iam_client_realm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pay_center_admin_web 允许 PLATFORM_STAFF_REALM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Subject-Client 访问授权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这个具体主体是否能进入客户端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iam_subject_client_access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zhangsan 的 PLATFORM_STAFF 主体可进入 pay_center_admin_web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Role/Permission 功能授权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进入后能做什么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iam_subject_role / iam_role_permission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拥有 pay:channel:manage 权限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DataScope 数据边界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能看哪些数据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iam_data_scope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全平台 / 当前租户 / 当前商户</w:t>
            </w:r>
          </w:p>
        </w:tc>
      </w:tr>
    </w:tbl>
    <w:p/>
    <w:p>
      <w:pPr>
        <w:pStyle w:val="Heading2"/>
      </w:pPr>
      <w:r>
        <w:t>6.3 平台管理员示例</w:t>
      </w:r>
    </w:p>
    <w:p>
      <w:pPr>
        <w:pStyle w:val="CodeBlock"/>
        <w:spacing w:after="120"/>
        <w:ind w:left="216" w:right="216"/>
        <w:shd w:fill="F3F6F9"/>
      </w:pPr>
      <w:r>
        <w:rPr>
          <w:rFonts w:ascii="Noto Sans Mono CJK SC" w:hAnsi="Noto Sans Mono CJK SC" w:eastAsia="Noto Sans Mono CJK SC"/>
          <w:sz w:val="17"/>
        </w:rPr>
        <w:t>PLATFORM_STAFF_REALM</w:t>
        <w:br/>
        <w:t>└─ zhangsan Account</w:t>
        <w:br/>
        <w:t xml:space="preserve">   └─ PLATFORM_STAFF Subject</w:t>
        <w:br/>
        <w:t xml:space="preserve">      ├─ Client: saas_admin_web</w:t>
        <w:br/>
        <w:t xml:space="preserve">      │  └─ Role: SAAS_PLATFORM_ADMIN</w:t>
        <w:br/>
        <w:t xml:space="preserve">      └─ Client: pay_center_admin_web</w:t>
        <w:br/>
        <w:t xml:space="preserve">         └─ Role: PAY_CENTER_ADMIN</w:t>
      </w:r>
    </w:p>
    <w:p>
      <w:r>
        <w:br w:type="page"/>
      </w:r>
    </w:p>
    <w:p>
      <w:pPr>
        <w:pStyle w:val="Heading1"/>
      </w:pPr>
      <w:r>
        <w:t>7. 认证、SSO 与 Token 设计</w:t>
      </w:r>
    </w:p>
    <w:p>
      <w:r>
        <w:drawing>
          <wp:inline xmlns:a="http://schemas.openxmlformats.org/drawingml/2006/main" xmlns:pic="http://schemas.openxmlformats.org/drawingml/2006/picture">
            <wp:extent cx="6217920" cy="34975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7.1 登录模式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模式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适用对象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第一版建议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账号密码登录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平台员工、租户管理员、商户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必须支持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强制 HTTPS，密码 Argon2id/bcrypt 存储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短信验证码登录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商户、消费者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可第一版预留，第二阶段完善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需限频、防刷、验证码存 Redis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邮箱验证码登录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平台员工、租户管理员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预留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适合找回密码和二次验证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扫码登录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内部员工/消费者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后续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企业微信、微信、支付宝可通过身份绑定扩展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MFA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平台员工、敏感操作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平台员工第一版建议支持 TOTP 或短信 MFA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支付中心后台建议强制 MFA</w:t>
            </w:r>
          </w:p>
        </w:tc>
      </w:tr>
    </w:tbl>
    <w:p/>
    <w:p>
      <w:pPr>
        <w:pStyle w:val="Heading2"/>
      </w:pPr>
      <w:r>
        <w:t>7.2 授权码流程</w:t>
      </w:r>
    </w:p>
    <w:p>
      <w:pPr>
        <w:pStyle w:val="CodeBlock"/>
        <w:spacing w:after="120"/>
        <w:ind w:left="216" w:right="216"/>
        <w:shd w:fill="F3F6F9"/>
      </w:pPr>
      <w:r>
        <w:rPr>
          <w:rFonts w:ascii="Noto Sans Mono CJK SC" w:hAnsi="Noto Sans Mono CJK SC" w:eastAsia="Noto Sans Mono CJK SC"/>
          <w:sz w:val="17"/>
        </w:rPr>
        <w:t>1. 用户访问业务客户端，如 saas_admin_web。</w:t>
        <w:br/>
        <w:t>2. 客户端发现未登录，跳转 IAM /oauth2/authorize?client_id=saas_admin_web&amp;redirect_uri=...&amp;code_challenge=...</w:t>
        <w:br/>
        <w:t>3. IAM 校验 client_id、redirect_uri、scope、PKCE 参数。</w:t>
        <w:br/>
        <w:t>4. IAM 判断是否存在有效 SSO Session。</w:t>
        <w:br/>
        <w:t>5. 若无会话，展示对应 Realm 登录页；登录成功后创建 SSO Session。</w:t>
        <w:br/>
        <w:t>6. IAM 校验 client_realm、subject_client_access、外部 tenant/app/instance/entry 状态。</w:t>
        <w:br/>
        <w:t>7. IAM 返回授权码 code。</w:t>
        <w:br/>
        <w:t>8. 客户端使用 code + code_verifier 换取 Access Token / Refresh Token。</w:t>
        <w:br/>
        <w:t>9. 业务系统携带 Access Token 请求接口，网关或服务端做 Token 校验和权限判断。</w:t>
      </w:r>
    </w:p>
    <w:p>
      <w:pPr>
        <w:pStyle w:val="Heading2"/>
      </w:pPr>
      <w:r>
        <w:t>7.3 Token 内容建议</w:t>
      </w:r>
    </w:p>
    <w:p>
      <w:pPr>
        <w:spacing w:after="120"/>
      </w:pPr>
      <w:r>
        <w:rPr>
          <w:rFonts w:ascii="Noto Sans CJK SC" w:hAnsi="Noto Sans CJK SC" w:eastAsia="Noto Sans CJK SC"/>
          <w:b w:val="0"/>
        </w:rPr>
        <w:t>Access Token 建议使用短有效期 JWT，只放最小必要上下文，不把全部权限列表塞入 Token。权限明细通过缓存或 IAM 鉴权接口获取，避免权限变更后 Token 仍携带旧权限。</w:t>
      </w:r>
    </w:p>
    <w:p>
      <w:pPr>
        <w:pStyle w:val="CodeBlock"/>
        <w:spacing w:after="120"/>
        <w:ind w:left="216" w:right="216"/>
        <w:shd w:fill="F3F6F9"/>
      </w:pPr>
      <w:r>
        <w:rPr>
          <w:rFonts w:ascii="Noto Sans Mono CJK SC" w:hAnsi="Noto Sans Mono CJK SC" w:eastAsia="Noto Sans Mono CJK SC"/>
          <w:sz w:val="17"/>
        </w:rPr>
        <w:t>{</w:t>
        <w:br/>
        <w:t xml:space="preserve">  "sub": "acc_zhangsan",</w:t>
        <w:br/>
        <w:t xml:space="preserve">  "realm": "PLATFORM_STAFF_REALM",</w:t>
        <w:br/>
        <w:t xml:space="preserve">  "subject_id": "sub_zhangsan_platform",</w:t>
        <w:br/>
        <w:t xml:space="preserve">  "subject_type": "PLATFORM_STAFF",</w:t>
        <w:br/>
        <w:t xml:space="preserve">  "client_id": "pay_center_admin_web",</w:t>
        <w:br/>
        <w:t xml:space="preserve">  "tenant_ref_id": null,</w:t>
        <w:br/>
        <w:t xml:space="preserve">  "app_ref_id": "pay_center",</w:t>
        <w:br/>
        <w:t xml:space="preserve">  "entry_ref_id": "pay_center_admin",</w:t>
        <w:br/>
        <w:t xml:space="preserve">  "scope": "openid profile iam.access",</w:t>
        <w:br/>
        <w:t xml:space="preserve">  "iat": 1710000000,</w:t>
        <w:br/>
        <w:t xml:space="preserve">  "exp": 1710001800,</w:t>
        <w:br/>
        <w:t xml:space="preserve">  "jti": "token_unique_id"</w:t>
        <w:br/>
        <w:t>}</w:t>
      </w:r>
    </w:p>
    <w:p>
      <w:pPr>
        <w:pStyle w:val="Heading2"/>
      </w:pPr>
      <w:r>
        <w:t>7.4 Token 生命周期与吊销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对象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建议有效期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存储方式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吊销策略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Authorization Code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1-5 分钟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Redis + DB 可选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一次性使用，使用后立即失效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Access Token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15-30 分钟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JWT 无状态；jti 可进黑名单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账号禁用、客户端禁用、权限重大变更时加入黑名单或强制刷新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Refresh Token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7-30 天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落库，只存 Hash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旋转刷新；旧 Token 立即失效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SSO Session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2-8 小时，可滑动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Redis + DB 审计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统一登出、踢下线、设备退出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权限缓存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1-10 分钟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Redis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权限变更、角色变更、主体关系变更时主动失效</w:t>
            </w:r>
          </w:p>
        </w:tc>
      </w:tr>
    </w:tbl>
    <w:p/>
    <w:p>
      <w:r>
        <w:br w:type="page"/>
      </w:r>
    </w:p>
    <w:p>
      <w:pPr>
        <w:pStyle w:val="Heading1"/>
      </w:pPr>
      <w:r>
        <w:t>8. 账号、主体、关系与授权模型</w:t>
      </w:r>
    </w:p>
    <w:p>
      <w:pPr>
        <w:pStyle w:val="Heading2"/>
      </w:pPr>
      <w:r>
        <w:t>8.1 Account 与 Subject</w:t>
      </w:r>
    </w:p>
    <w:p>
      <w:pPr>
        <w:spacing w:after="120"/>
      </w:pPr>
      <w:r>
        <w:rPr>
          <w:rFonts w:ascii="Noto Sans CJK SC" w:hAnsi="Noto Sans CJK SC" w:eastAsia="Noto Sans CJK SC"/>
          <w:b w:val="0"/>
        </w:rPr>
        <w:t>Account 表示“谁能登录”；Subject 表示“以什么业务身份进入”。不要把商户、支付商户、消费者、租户管理员等业务身份都塞进账号表。否则同一账号在多个业务系统中的身份会互相污染。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账号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主体一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主体二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进入客户端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数据范围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wangwu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MALL_MERCHANT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PAY_MERCHANT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merchant_console_web / pay_merchant_web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CURRENT_MERCHANT / CURRENT_PAY_MERCHANT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lisi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TENANT_ADMIN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PAY_PROVIDER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tenant_console_web / pay_provider_web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CURRENT_TENANT / CURRENT_PROVIDER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zhangsan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PLATFORM_STAFF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可选 PAY_CENTER_STAFF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saas_admin_web / pay_center_admin_web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ALL_PLATFORM 或按角色限制</w:t>
            </w:r>
          </w:p>
        </w:tc>
      </w:tr>
    </w:tbl>
    <w:p/>
    <w:p>
      <w:pPr>
        <w:pStyle w:val="Heading2"/>
      </w:pPr>
      <w:r>
        <w:t>8.2 主体关系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关系类型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含义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示例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鉴权作用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MANAGE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管理关系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lisi MANAGE wangwu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判断 lisi 是否可管理 wangwu 商户资料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OWN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拥有关系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merchant OWN shop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判断商户是否可操作店铺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BELONG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归属关系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user BELONG tenant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判断成员是否属于租户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SERVICE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服务关系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pay_provider SERVICE pay_merchant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判断服务商是否可管理特约支付商户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AGENT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代理关系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平台客服 AGENT 租户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判断代运营/代客操作是否允许</w:t>
            </w:r>
          </w:p>
        </w:tc>
      </w:tr>
    </w:tbl>
    <w:p/>
    <w:p>
      <w:pPr>
        <w:pStyle w:val="Heading2"/>
      </w:pPr>
      <w:r>
        <w:t>8.3 授权决策模型</w:t>
      </w:r>
    </w:p>
    <w:p>
      <w:pPr>
        <w:pStyle w:val="CodeBlock"/>
        <w:spacing w:after="120"/>
        <w:ind w:left="216" w:right="216"/>
        <w:shd w:fill="F3F6F9"/>
      </w:pPr>
      <w:r>
        <w:rPr>
          <w:rFonts w:ascii="Noto Sans Mono CJK SC" w:hAnsi="Noto Sans Mono CJK SC" w:eastAsia="Noto Sans Mono CJK SC"/>
          <w:sz w:val="17"/>
        </w:rPr>
        <w:t>Allowed = AccountStatusOK</w:t>
        <w:br/>
        <w:t xml:space="preserve">  AND RealmPolicyOK</w:t>
        <w:br/>
        <w:t xml:space="preserve">  AND ClientStatusOK</w:t>
        <w:br/>
        <w:t xml:space="preserve">  AND ClientRealmAllowed</w:t>
        <w:br/>
        <w:t xml:space="preserve">  AND SubjectStatusOK</w:t>
        <w:br/>
        <w:t xml:space="preserve">  AND SubjectClientAccessOK</w:t>
        <w:br/>
        <w:t xml:space="preserve">  AND ExternalTenantStatusOK</w:t>
        <w:br/>
        <w:t xml:space="preserve">  AND ExternalAppInstanceStatusOK</w:t>
        <w:br/>
        <w:t xml:space="preserve">  AND HasPermission(subject, permission_code)</w:t>
        <w:br/>
        <w:t xml:space="preserve">  AND RelationPolicyOK(subject, target)</w:t>
        <w:br/>
        <w:t xml:space="preserve">  AND DataScopeOK(subject, target_data)</w:t>
        <w:br/>
        <w:t xml:space="preserve">  AND PolicyRulesOK(context)</w:t>
      </w:r>
    </w:p>
    <w:p>
      <w:pPr>
        <w:pStyle w:val="Heading2"/>
      </w:pPr>
      <w:r>
        <w:t>8.4 数据范围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scope_type_code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含义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转换示例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适用主体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ALL_PLATFORM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全平台数据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不加 tenant 过滤，或仅加平台可监管范围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平台超级管理员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CURRENT_TENANT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当前租户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where tenant_id = :tenantRefId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租户管理员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CURRENT_APP_INSTANCE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当前应用实例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where app_instance_id = :appInstanceRefId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应用管理员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CURRENT_MERCHANT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当前商户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where merchant_id = :subject_ref_id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商城商户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CURRENT_PAY_MERCHANT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当前支付商户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where pay_merchant_id = :subject_ref_id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支付商户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SELF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本人数据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where account_id = :accountId or user_id = :subject_ref_id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消费者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CUSTOM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自定义条件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由 condition_json / handler 生成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复杂运营场景</w:t>
            </w:r>
          </w:p>
        </w:tc>
      </w:tr>
    </w:tbl>
    <w:p/>
    <w:p>
      <w:r>
        <w:br w:type="page"/>
      </w:r>
    </w:p>
    <w:p>
      <w:pPr>
        <w:pStyle w:val="Heading1"/>
      </w:pPr>
      <w:r>
        <w:t>9. 类型配置与页面配置设计</w:t>
      </w:r>
    </w:p>
    <w:p>
      <w:pPr>
        <w:spacing w:after="120"/>
      </w:pPr>
      <w:r>
        <w:rPr>
          <w:rFonts w:ascii="Noto Sans CJK SC" w:hAnsi="Noto Sans CJK SC" w:eastAsia="Noto Sans CJK SC"/>
          <w:b w:val="0"/>
        </w:rPr>
        <w:t>type 不应该在业务表中硬编码成不可维护枚举，也不应该完全只存在前端页面配置。正确方式是：业务表保存 type_code；类型配置中心定义 type_code；页面配置引用类型配置；IAM 内核识别其中少量系统内置 type_code 的安全语义。</w:t>
      </w:r>
    </w:p>
    <w:p>
      <w:pPr>
        <w:pStyle w:val="CodeBlock"/>
        <w:spacing w:after="120"/>
        <w:ind w:left="216" w:right="216"/>
        <w:shd w:fill="F3F6F9"/>
      </w:pPr>
      <w:r>
        <w:rPr>
          <w:rFonts w:ascii="Noto Sans Mono CJK SC" w:hAnsi="Noto Sans Mono CJK SC" w:eastAsia="Noto Sans Mono CJK SC"/>
          <w:sz w:val="17"/>
        </w:rPr>
        <w:t>业务表.type_code  -&gt;  iam_type_item</w:t>
        <w:br/>
        <w:t xml:space="preserve">                  -&gt; 页面下拉展示 / 字段校验</w:t>
        <w:br/>
        <w:t xml:space="preserve">                  -&gt; IAM 内核 handler_code</w:t>
        <w:br/>
        <w:t xml:space="preserve">                  -&gt; 策略表达式 / 权限判断</w:t>
      </w:r>
    </w:p>
    <w:p>
      <w:pPr>
        <w:pStyle w:val="Heading2"/>
      </w:pPr>
      <w:r>
        <w:t>9.1 类型分层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类型类别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是否配置化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是否允许删除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IAM 是否识别语义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示例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RESOURCE_TYPE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MENU, API, BUTTON, PAGE, FIELD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DATA_SCOPE_TYPE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ALL_PLATFORM, CURRENT_TENANT, CURRENT_MERCHANT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RELATION_TYPE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部分允许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MANAGE, OWN, BELONG, SERVICE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APP_ENTRY_TYPE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PLATFORM, TENANT_ADMIN, MERCHANT, CONSUMER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SUBJECT_TYPE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部分允许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PLATFORM_STAFF, TENANT_ADMIN, MALL_MERCHANT, PAY_MERCHANT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TENANT_TYPE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允许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通常否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普通 SaaS 租户、私有化租户、合作伙伴租户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APP_CATEGORY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允许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通常否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商城、支付、仓储、物流</w:t>
            </w:r>
          </w:p>
        </w:tc>
      </w:tr>
    </w:tbl>
    <w:p/>
    <w:p>
      <w:pPr>
        <w:pStyle w:val="Heading2"/>
      </w:pPr>
      <w:r>
        <w:t>9.2 页面配置边界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页面配置负责显示字段、字段名称、下拉数据源、是否必填、是否可搜索、是否只读、排序、表单布局。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页面配置不负责安全语义判断，例如不能只因为页面配置了“支付商户类型”就绕过 IAM 对 PAY_MERCHANT 的内核识别。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页面字段的数据源可以指向 iam_type_item.category_code，例如 SUBJECT_TYPE、ROLE_TYPE、DATA_SCOPE_TYPE。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系统内置类型允许修改名称、图标、排序，但不允许删除或改变 handler_code。</w:t>
      </w:r>
    </w:p>
    <w:p>
      <w:r>
        <w:br w:type="page"/>
      </w:r>
    </w:p>
    <w:p>
      <w:pPr>
        <w:pStyle w:val="Heading1"/>
      </w:pPr>
      <w:r>
        <w:t>10. 外部租户中心与应用中心集成</w:t>
      </w:r>
    </w:p>
    <w:p>
      <w:pPr>
        <w:pStyle w:val="Heading2"/>
      </w:pPr>
      <w:r>
        <w:t>10.1 引用模型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引用表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来源系统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用途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关键字段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iam_tenant_ref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外部租户中心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租户上下文、数据范围、状态判断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source_system, external_tenant_id, tenant_code, tenant_name, status, sync_version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iam_org_ref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外部租户中心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组织数据范围、成员归属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external_org_id, parent_external_org_id, tenant_ref_id, path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iam_member_ref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外部租户中心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租户成员状态、账号绑定辅助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external_member_id, tenant_ref_id, account_id, status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iam_app_ref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外部应用中心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应用上下文、资源归属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external_app_id, app_code, app_name, status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iam_app_instance_ref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外部应用中心/订阅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租户应用实例边界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tenant_ref_id, app_ref_id, external_instance_id, status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iam_app_entry_ref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外部应用中心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入口与 Client 绑定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app_ref_id, entry_code, entry_type_code, entry_url, status</w:t>
            </w:r>
          </w:p>
        </w:tc>
      </w:tr>
    </w:tbl>
    <w:p/>
    <w:p>
      <w:pPr>
        <w:pStyle w:val="Heading2"/>
      </w:pPr>
      <w:r>
        <w:t>10.2 同步模式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模式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适用场景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优点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注意事项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事件推送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租户禁用、应用实例停用、入口下线等状态变更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实时性好，禁用可快速生效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需要幂等键、重试、死信队列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定时拉取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全量/增量对账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简单可靠，可修复漏消息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不能只依赖定时拉取处理安全禁用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登录时查询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登录和换 Token 时关键状态校验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避免缓存过期导致误放行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外部系统不可用时要有降级策略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管理操作时查询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授权、角色分配、主体绑定时校验外部对象存在性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保证授权对象有效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需要接口性能和超时控制</w:t>
            </w:r>
          </w:p>
        </w:tc>
      </w:tr>
    </w:tbl>
    <w:p/>
    <w:p>
      <w:pPr>
        <w:pStyle w:val="Heading2"/>
      </w:pPr>
      <w:r>
        <w:t>10.3 一致性策略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所有外部事件必须带 source_system、external_id、event_id、event_time、version。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IAM 同步表必须保存 sync_version、last_synced_at、last_event_id，防止旧事件覆盖新状态。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租户禁用、应用实例停用、入口下线、成员禁用属于安全事件，应触发权限缓存和会话缓存失效。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外部系统不可用时，登录可以按策略使用最近可信快照，但高风险后台如支付中心应选择失败关闭。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每日执行对账任务，比较外部主数据与 IAM 引用快照，产出差异报告并自动修复可修复项。</w:t>
      </w:r>
    </w:p>
    <w:p>
      <w:r>
        <w:br w:type="page"/>
      </w:r>
    </w:p>
    <w:p>
      <w:pPr>
        <w:pStyle w:val="Heading1"/>
      </w:pPr>
      <w:r>
        <w:t>11. 数据库总体设计</w:t>
      </w:r>
    </w:p>
    <w:p>
      <w:pPr>
        <w:pStyle w:val="Heading2"/>
      </w:pPr>
      <w:r>
        <w:t>11.1 设计约定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主键建议使用 Snowflake ID、ULID 或 UUID，避免多环境合并冲突。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所有业务表建议包含 created_at、updated_at、created_by、updated_by、deleted、version、remark。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状态字段统一使用 status，例如 NORMAL、DISABLED、LOCKED、ACTIVE、REVOKED、EXPIRED。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类型字段统一使用 xxx_type_code，不直接使用 type，避免与数据库关键字和页面配置混淆。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外部引用字段统一命名为 xxx_ref_id 或 external_xxx_id，并保存 source_system。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敏感凭证只保存 Hash，不保存明文 Token、密码、密钥。</w:t>
      </w:r>
    </w:p>
    <w:p>
      <w:pPr>
        <w:pStyle w:val="Heading2"/>
      </w:pPr>
      <w:r>
        <w:t>11.2 表分组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分组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核心表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类型与页面配置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iam_type_category, iam_type_item, iam_page_config, iam_page_field_config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支撑 type_code、页面字段、下拉数据源和系统内置类型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身份与账号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iam_realm, iam_account, iam_account_credential, iam_account_identity, iam_account_device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支撑账号、凭证、设备、身份域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外部引用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iam_external_system, iam_tenant_ref, iam_org_ref, iam_member_ref, iam_app_ref, iam_app_instance_ref, iam_app_entry_ref, iam_sync_event_log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支撑外部主数据引用与同步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客户端与会话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iam_oauth_client, iam_client_realm, iam_sso_session, iam_oauth_code, iam_token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支撑 OAuth/OIDC、SSO、Token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主体与关系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iam_subject, iam_subject_relation, iam_subject_client_access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支撑业务身份、关系权限、入口访问授权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权限与策略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iam_resource, iam_permission, iam_role, iam_role_permission, iam_subject_role, iam_data_scope, iam_policy, iam_policy_rule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支撑 RBAC、数据权限、策略权限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审计与安全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iam_login_log, iam_audit_log, iam_security_event_log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支撑可追溯与安全运营</w:t>
            </w:r>
          </w:p>
        </w:tc>
      </w:tr>
    </w:tbl>
    <w:p/>
    <w:p>
      <w:r>
        <w:br w:type="page"/>
      </w:r>
    </w:p>
    <w:p>
      <w:pPr>
        <w:pStyle w:val="Heading1"/>
      </w:pPr>
      <w:r>
        <w:t>12. 核心数据库表设计</w:t>
      </w:r>
    </w:p>
    <w:p>
      <w:pPr>
        <w:pStyle w:val="Heading2"/>
      </w:pPr>
      <w:r>
        <w:t>12.1 iam_type_category：类型分类表</w:t>
      </w:r>
    </w:p>
    <w:p>
      <w:pPr>
        <w:spacing w:after="120"/>
      </w:pPr>
      <w:r>
        <w:rPr>
          <w:rFonts w:ascii="Noto Sans CJK SC" w:hAnsi="Noto Sans CJK SC" w:eastAsia="Noto Sans CJK SC"/>
          <w:b w:val="0"/>
        </w:rPr>
        <w:t>用途：定义系统中有哪些类型分类，例如 SUBJECT_TYPE、RESOURCE_TYPE、DATA_SCOPE_TYPE。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字段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类型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必填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说明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主键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category_code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varchar(100)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类型分类编码，唯一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category_name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varchar(100)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类型分类名称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description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varchar(500)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说明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system_builtin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是否系统内置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editable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是否允许编辑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status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varchar(32)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NORMAL / DISABLED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created_at / updated_at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datetime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创建/更新时间</w:t>
            </w:r>
          </w:p>
        </w:tc>
      </w:tr>
    </w:tbl>
    <w:p/>
    <w:p>
      <w:pPr>
        <w:spacing w:after="120"/>
      </w:pPr>
      <w:r>
        <w:rPr>
          <w:rFonts w:ascii="Noto Sans CJK SC" w:hAnsi="Noto Sans CJK SC" w:eastAsia="Noto Sans CJK SC"/>
          <w:b w:val="0"/>
        </w:rPr>
        <w:t>推荐索引 / 约束：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uk_category_code(category_code)</w:t>
      </w:r>
    </w:p>
    <w:p>
      <w:pPr>
        <w:pStyle w:val="Heading2"/>
      </w:pPr>
      <w:r>
        <w:t>12.2 iam_type_item：类型项表</w:t>
      </w:r>
    </w:p>
    <w:p>
      <w:pPr>
        <w:spacing w:after="120"/>
      </w:pPr>
      <w:r>
        <w:rPr>
          <w:rFonts w:ascii="Noto Sans CJK SC" w:hAnsi="Noto Sans CJK SC" w:eastAsia="Noto Sans CJK SC"/>
          <w:b w:val="0"/>
        </w:rPr>
        <w:t>用途：定义具体 type_code，并标记是否系统内置、是否允许删除、对应 handler。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字段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类型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必填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说明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主键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category_code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varchar(100)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类型分类编码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type_code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varchar(100)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类型编码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type_name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varchar(100)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显示名称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parent_code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varchar(100)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父级编码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sort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排序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system_builtin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是否系统内置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editable / deletable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是否可编辑/删除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handler_code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varchar(100)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IAM 内核处理器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config_json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json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扩展配置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status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varchar(32)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NORMAL / DISABLED</w:t>
            </w:r>
          </w:p>
        </w:tc>
      </w:tr>
    </w:tbl>
    <w:p/>
    <w:p>
      <w:pPr>
        <w:spacing w:after="120"/>
      </w:pPr>
      <w:r>
        <w:rPr>
          <w:rFonts w:ascii="Noto Sans CJK SC" w:hAnsi="Noto Sans CJK SC" w:eastAsia="Noto Sans CJK SC"/>
          <w:b w:val="0"/>
        </w:rPr>
        <w:t>推荐索引 / 约束：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uk_category_type(category_code, type_code)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idx_type_handler(handler_code)</w:t>
      </w:r>
    </w:p>
    <w:p>
      <w:pPr>
        <w:pStyle w:val="Heading2"/>
      </w:pPr>
      <w:r>
        <w:t>12.3 iam_page_config / iam_page_field_config：页面配置表</w:t>
      </w:r>
    </w:p>
    <w:p>
      <w:pPr>
        <w:spacing w:after="120"/>
      </w:pPr>
      <w:r>
        <w:rPr>
          <w:rFonts w:ascii="Noto Sans CJK SC" w:hAnsi="Noto Sans CJK SC" w:eastAsia="Noto Sans CJK SC"/>
          <w:b w:val="0"/>
        </w:rPr>
        <w:t>用途：支撑管理端的基础动态页面与字段配置。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字段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类型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必填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说明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主键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page_code / field_code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varchar(100)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页面或字段编码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page_name / field_name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varchar(100)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页面或字段名称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field_type_code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varchar(100)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字段类型，如 INPUT、SELECT、DATE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data_source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varchar(255)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数据源，如 SUBJECT_TYPE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required / readonly / visible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表单与展示控制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searchable / sortable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列表控制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config_json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json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扩展配置</w:t>
            </w:r>
          </w:p>
        </w:tc>
      </w:tr>
    </w:tbl>
    <w:p/>
    <w:p>
      <w:pPr>
        <w:spacing w:after="120"/>
      </w:pPr>
      <w:r>
        <w:rPr>
          <w:rFonts w:ascii="Noto Sans CJK SC" w:hAnsi="Noto Sans CJK SC" w:eastAsia="Noto Sans CJK SC"/>
          <w:b w:val="0"/>
        </w:rPr>
        <w:t>推荐索引 / 约束：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uk_page_code(app_ref_id, page_code)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uk_page_field(page_id, field_code)</w:t>
      </w:r>
    </w:p>
    <w:p>
      <w:pPr>
        <w:pStyle w:val="Heading2"/>
      </w:pPr>
      <w:r>
        <w:t>12.4 iam_realm：身份域表</w:t>
      </w:r>
    </w:p>
    <w:p>
      <w:pPr>
        <w:spacing w:after="120"/>
      </w:pPr>
      <w:r>
        <w:rPr>
          <w:rFonts w:ascii="Noto Sans CJK SC" w:hAnsi="Noto Sans CJK SC" w:eastAsia="Noto Sans CJK SC"/>
          <w:b w:val="0"/>
        </w:rPr>
        <w:t>用途：维护账号空间和登录策略边界。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字段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类型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必填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说明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主键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realm_code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varchar(100)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身份域编码，唯一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realm_name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varchar(100)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身份域名称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realm_type_code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varchar(100)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身份域类型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login_url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varchar(500)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独立登录页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register_enabled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是否允许注册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sso_enabled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是否支持 SSO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password_policy_json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json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密码策略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mfa_policy_json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json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MFA 策略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unique_rule_json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json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账号唯一性规则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status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varchar(32)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NORMAL / DISABLED</w:t>
            </w:r>
          </w:p>
        </w:tc>
      </w:tr>
    </w:tbl>
    <w:p/>
    <w:p>
      <w:pPr>
        <w:spacing w:after="120"/>
      </w:pPr>
      <w:r>
        <w:rPr>
          <w:rFonts w:ascii="Noto Sans CJK SC" w:hAnsi="Noto Sans CJK SC" w:eastAsia="Noto Sans CJK SC"/>
          <w:b w:val="0"/>
        </w:rPr>
        <w:t>推荐索引 / 约束：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uk_realm_code(realm_code)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idx_realm_type(realm_type_code)</w:t>
      </w:r>
    </w:p>
    <w:p>
      <w:pPr>
        <w:pStyle w:val="Heading2"/>
      </w:pPr>
      <w:r>
        <w:t>12.5 iam_account：账号表</w:t>
      </w:r>
    </w:p>
    <w:p>
      <w:pPr>
        <w:spacing w:after="120"/>
      </w:pPr>
      <w:r>
        <w:rPr>
          <w:rFonts w:ascii="Noto Sans CJK SC" w:hAnsi="Noto Sans CJK SC" w:eastAsia="Noto Sans CJK SC"/>
          <w:b w:val="0"/>
        </w:rPr>
        <w:t>用途：维护登录账号，不直接承载具体业务身份。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字段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类型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必填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说明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账号 ID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realm_id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所属身份域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username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varchar(100)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用户名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mobile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varchar(32)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手机号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email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varchar(128)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邮箱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nickname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varchar(100)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昵称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avatar_url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varchar(500)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头像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status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varchar(32)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PENDING/NORMAL/LOCKED/DISABLED/CANCELLED/RISK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locked_until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datetime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锁定截止时间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last_login_at / last_login_ip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datetime/varchar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最近登录信息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risk_level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varchar(32)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LOW/MEDIUM/HIGH</w:t>
            </w:r>
          </w:p>
        </w:tc>
      </w:tr>
    </w:tbl>
    <w:p/>
    <w:p>
      <w:pPr>
        <w:spacing w:after="120"/>
      </w:pPr>
      <w:r>
        <w:rPr>
          <w:rFonts w:ascii="Noto Sans CJK SC" w:hAnsi="Noto Sans CJK SC" w:eastAsia="Noto Sans CJK SC"/>
          <w:b w:val="0"/>
        </w:rPr>
        <w:t>推荐索引 / 约束：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uk_realm_username(realm_id, username)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uk_realm_mobile(realm_id, mobile)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uk_realm_email(realm_id, email)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idx_account_status(status)</w:t>
      </w:r>
    </w:p>
    <w:p>
      <w:pPr>
        <w:pStyle w:val="Heading2"/>
      </w:pPr>
      <w:r>
        <w:t>12.6 iam_account_credential / iam_account_identity / iam_account_device</w:t>
      </w:r>
    </w:p>
    <w:p>
      <w:pPr>
        <w:spacing w:after="120"/>
      </w:pPr>
      <w:r>
        <w:rPr>
          <w:rFonts w:ascii="Noto Sans CJK SC" w:hAnsi="Noto Sans CJK SC" w:eastAsia="Noto Sans CJK SC"/>
          <w:b w:val="0"/>
        </w:rPr>
        <w:t>用途：凭证、第三方身份绑定和设备信息。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字段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类型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必填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说明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主键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account_id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账号 ID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credential_type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varchar(32)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PASSWORD/TOTP/SMS/EMAIL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secret_hash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varchar(255)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密码 Hash 或密钥 Hash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algorithm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argon2id/bcrypt/pbkdf2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provider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WECHAT/ALIPAY/WEWORK/DINGTALK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union_id / open_id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varchar(128)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第三方标识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device_id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varchar(128)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设备标识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trusted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是否可信设备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status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varchar(32)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NORMAL / DISABLED</w:t>
            </w:r>
          </w:p>
        </w:tc>
      </w:tr>
    </w:tbl>
    <w:p/>
    <w:p>
      <w:pPr>
        <w:spacing w:after="120"/>
      </w:pPr>
      <w:r>
        <w:rPr>
          <w:rFonts w:ascii="Noto Sans CJK SC" w:hAnsi="Noto Sans CJK SC" w:eastAsia="Noto Sans CJK SC"/>
          <w:b w:val="0"/>
        </w:rPr>
        <w:t>推荐索引 / 约束：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idx_credential_account(account_id)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uk_provider_union(provider, union_id)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idx_device_account(account_id)</w:t>
      </w:r>
    </w:p>
    <w:p>
      <w:pPr>
        <w:pStyle w:val="Heading2"/>
      </w:pPr>
      <w:r>
        <w:t>12.7 iam_external_system：外部系统登记表</w:t>
      </w:r>
    </w:p>
    <w:p>
      <w:pPr>
        <w:spacing w:after="120"/>
      </w:pPr>
      <w:r>
        <w:rPr>
          <w:rFonts w:ascii="Noto Sans CJK SC" w:hAnsi="Noto Sans CJK SC" w:eastAsia="Noto Sans CJK SC"/>
          <w:b w:val="0"/>
        </w:rPr>
        <w:t>用途：登记外部租户中心、应用中心以及后续其他主数据系统。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字段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类型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必填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说明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主键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system_code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varchar(100)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外部系统编码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system_name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varchar(100)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系统名称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system_type_code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varchar(100)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TENANT_CENTER / APP_CENTER / BUSINESS_SYSTEM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base_url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varchar(500)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接口地址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auth_config_json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json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对接认证配置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status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varchar(32)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NORMAL / DISABLED</w:t>
            </w:r>
          </w:p>
        </w:tc>
      </w:tr>
    </w:tbl>
    <w:p/>
    <w:p>
      <w:pPr>
        <w:spacing w:after="120"/>
      </w:pPr>
      <w:r>
        <w:rPr>
          <w:rFonts w:ascii="Noto Sans CJK SC" w:hAnsi="Noto Sans CJK SC" w:eastAsia="Noto Sans CJK SC"/>
          <w:b w:val="0"/>
        </w:rPr>
        <w:t>推荐索引 / 约束：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uk_system_code(system_code)</w:t>
      </w:r>
    </w:p>
    <w:p>
      <w:pPr>
        <w:pStyle w:val="Heading2"/>
      </w:pPr>
      <w:r>
        <w:t>12.8 iam_tenant_ref / iam_org_ref / iam_member_ref</w:t>
      </w:r>
    </w:p>
    <w:p>
      <w:pPr>
        <w:spacing w:after="120"/>
      </w:pPr>
      <w:r>
        <w:rPr>
          <w:rFonts w:ascii="Noto Sans CJK SC" w:hAnsi="Noto Sans CJK SC" w:eastAsia="Noto Sans CJK SC"/>
          <w:b w:val="0"/>
        </w:rPr>
        <w:t>用途：保存外部租户中心引用快照，用于登录上下文、数据范围和状态校验。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字段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类型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必填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说明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主键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source_system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varchar(100)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来源系统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external_tenant_id / external_org_id / external_member_id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varchar(128)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外部 ID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tenant_code / org_code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varchar(100)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外部编码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tenant_name / org_name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varchar(200)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外部名称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parent_external_org_id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varchar(128)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外部父组织 ID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account_id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成员绑定账号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status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varchar(32)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NORMAL / DISABLED / EXPIRED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sync_version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bigint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同步版本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last_synced_at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datetime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最后同步时间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snapshot_json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json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外部快照</w:t>
            </w:r>
          </w:p>
        </w:tc>
      </w:tr>
    </w:tbl>
    <w:p/>
    <w:p>
      <w:pPr>
        <w:spacing w:after="120"/>
      </w:pPr>
      <w:r>
        <w:rPr>
          <w:rFonts w:ascii="Noto Sans CJK SC" w:hAnsi="Noto Sans CJK SC" w:eastAsia="Noto Sans CJK SC"/>
          <w:b w:val="0"/>
        </w:rPr>
        <w:t>推荐索引 / 约束：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uk_tenant_ref(source_system, external_tenant_id)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uk_org_ref(source_system, external_org_id)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uk_member_ref(source_system, external_member_id)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idx_tenant_status(status)</w:t>
      </w:r>
    </w:p>
    <w:p>
      <w:pPr>
        <w:pStyle w:val="Heading2"/>
      </w:pPr>
      <w:r>
        <w:t>12.9 iam_app_ref / iam_app_instance_ref / iam_app_entry_ref</w:t>
      </w:r>
    </w:p>
    <w:p>
      <w:pPr>
        <w:spacing w:after="120"/>
      </w:pPr>
      <w:r>
        <w:rPr>
          <w:rFonts w:ascii="Noto Sans CJK SC" w:hAnsi="Noto Sans CJK SC" w:eastAsia="Noto Sans CJK SC"/>
          <w:b w:val="0"/>
        </w:rPr>
        <w:t>用途：保存外部应用中心引用快照，用于 Client 绑定、入口判断和应用实例状态校验。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字段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类型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必填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说明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主键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source_system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varchar(100)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来源系统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external_app_id / external_instance_id / external_entry_id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varchar(128)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外部 ID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app_code / instance_code / entry_code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varchar(100)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外部编码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app_name / instance_name / entry_name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varchar(200)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名称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tenant_ref_id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实例所属租户引用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app_ref_id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所属应用引用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entry_type_code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varchar(100)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入口类型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entry_url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varchar(500)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入口地址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status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varchar(32)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NORMAL / DISABLED / OFFLINE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sync_version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bigint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同步版本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last_synced_at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datetime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最后同步时间</w:t>
            </w:r>
          </w:p>
        </w:tc>
      </w:tr>
    </w:tbl>
    <w:p/>
    <w:p>
      <w:pPr>
        <w:spacing w:after="120"/>
      </w:pPr>
      <w:r>
        <w:rPr>
          <w:rFonts w:ascii="Noto Sans CJK SC" w:hAnsi="Noto Sans CJK SC" w:eastAsia="Noto Sans CJK SC"/>
          <w:b w:val="0"/>
        </w:rPr>
        <w:t>推荐索引 / 约束：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uk_app_ref(source_system, external_app_id)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uk_instance_ref(source_system, external_instance_id)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uk_entry_ref(source_system, external_entry_id)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idx_instance_tenant(tenant_ref_id)</w:t>
      </w:r>
    </w:p>
    <w:p>
      <w:pPr>
        <w:pStyle w:val="Heading2"/>
      </w:pPr>
      <w:r>
        <w:t>12.10 iam_oauth_client：应用客户端表</w:t>
      </w:r>
    </w:p>
    <w:p>
      <w:pPr>
        <w:spacing w:after="120"/>
      </w:pPr>
      <w:r>
        <w:rPr>
          <w:rFonts w:ascii="Noto Sans CJK SC" w:hAnsi="Noto Sans CJK SC" w:eastAsia="Noto Sans CJK SC"/>
          <w:b w:val="0"/>
        </w:rPr>
        <w:t>用途：每个业务入口接入 IAM 的客户端配置。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字段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类型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必填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说明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主键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client_id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varchar(100)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客户端 ID，唯一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client_secret_hash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varchar(255)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客户端密钥 Hash，公共客户端可为空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client_name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varchar(100)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客户端名称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app_ref_id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外部应用引用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entry_ref_id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外部入口引用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redirect_uris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json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允许回调地址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post_logout_redirect_uris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json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退出回调地址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grant_types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json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authorization_code / refresh_token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scopes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json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允许 Scope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pkce_required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是否要求 PKCE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access_token_ttl / refresh_token_ttl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Token 有效期秒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sso_enabled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是否参与 SSO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status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varchar(32)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NORMAL / DISABLED</w:t>
            </w:r>
          </w:p>
        </w:tc>
      </w:tr>
    </w:tbl>
    <w:p/>
    <w:p>
      <w:pPr>
        <w:spacing w:after="120"/>
      </w:pPr>
      <w:r>
        <w:rPr>
          <w:rFonts w:ascii="Noto Sans CJK SC" w:hAnsi="Noto Sans CJK SC" w:eastAsia="Noto Sans CJK SC"/>
          <w:b w:val="0"/>
        </w:rPr>
        <w:t>推荐索引 / 约束：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uk_client_id(client_id)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idx_client_entry(entry_ref_id)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idx_client_status(status)</w:t>
      </w:r>
    </w:p>
    <w:p>
      <w:pPr>
        <w:pStyle w:val="Heading2"/>
      </w:pPr>
      <w:r>
        <w:t>12.11 iam_client_realm：客户端身份域关系表</w:t>
      </w:r>
    </w:p>
    <w:p>
      <w:pPr>
        <w:spacing w:after="120"/>
      </w:pPr>
      <w:r>
        <w:rPr>
          <w:rFonts w:ascii="Noto Sans CJK SC" w:hAnsi="Noto Sans CJK SC" w:eastAsia="Noto Sans CJK SC"/>
          <w:b w:val="0"/>
        </w:rPr>
        <w:t>用途：定义某 Client 允许哪些 Realm 登录。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字段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类型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必填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说明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主键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client_id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客户端表主键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realm_id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身份域 ID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login_enabled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是否允许登录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default_subject_type_code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varchar(100)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默认主体类型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login_policy_json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json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该 Client 下的附加登录策略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status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varchar(32)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NORMAL / DISABLED</w:t>
            </w:r>
          </w:p>
        </w:tc>
      </w:tr>
    </w:tbl>
    <w:p/>
    <w:p>
      <w:pPr>
        <w:spacing w:after="120"/>
      </w:pPr>
      <w:r>
        <w:rPr>
          <w:rFonts w:ascii="Noto Sans CJK SC" w:hAnsi="Noto Sans CJK SC" w:eastAsia="Noto Sans CJK SC"/>
          <w:b w:val="0"/>
        </w:rPr>
        <w:t>推荐索引 / 约束：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uk_client_realm(client_id, realm_id)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idx_client_realm_realm(realm_id)</w:t>
      </w:r>
    </w:p>
    <w:p>
      <w:pPr>
        <w:pStyle w:val="Heading2"/>
      </w:pPr>
      <w:r>
        <w:t>12.12 iam_sso_session / iam_oauth_code / iam_token</w:t>
      </w:r>
    </w:p>
    <w:p>
      <w:pPr>
        <w:spacing w:after="120"/>
      </w:pPr>
      <w:r>
        <w:rPr>
          <w:rFonts w:ascii="Noto Sans CJK SC" w:hAnsi="Noto Sans CJK SC" w:eastAsia="Noto Sans CJK SC"/>
          <w:b w:val="0"/>
        </w:rPr>
        <w:t>用途：会话、授权码、Token 记录与吊销。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字段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类型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必填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说明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主键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session_key / code / token_hash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varchar(255)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会话键、授权码或 Token Hash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account_id / realm_id / client_id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关联账号、身份域、客户端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subject_id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当前主体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tenant_ref_id / app_instance_ref_id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上下文引用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jti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varchar(128)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JWT ID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status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varchar(32)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ACTIVE / USED / REVOKED / EXPIRED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issued_at / expired_at / revoked_at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datetime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生命周期时间</w:t>
            </w:r>
          </w:p>
        </w:tc>
      </w:tr>
    </w:tbl>
    <w:p/>
    <w:p>
      <w:pPr>
        <w:spacing w:after="120"/>
      </w:pPr>
      <w:r>
        <w:rPr>
          <w:rFonts w:ascii="Noto Sans CJK SC" w:hAnsi="Noto Sans CJK SC" w:eastAsia="Noto Sans CJK SC"/>
          <w:b w:val="0"/>
        </w:rPr>
        <w:t>推荐索引 / 约束：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idx_sso_account(account_id)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uk_oauth_code(code)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idx_token_account(account_id)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idx_token_jti(jti)</w:t>
      </w:r>
    </w:p>
    <w:p>
      <w:pPr>
        <w:pStyle w:val="Heading2"/>
      </w:pPr>
      <w:r>
        <w:t>12.13 iam_subject：主体表</w:t>
      </w:r>
    </w:p>
    <w:p>
      <w:pPr>
        <w:spacing w:after="120"/>
      </w:pPr>
      <w:r>
        <w:rPr>
          <w:rFonts w:ascii="Noto Sans CJK SC" w:hAnsi="Noto Sans CJK SC" w:eastAsia="Noto Sans CJK SC"/>
          <w:b w:val="0"/>
        </w:rPr>
        <w:t>用途：维护账号在某个业务场景下的身份。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字段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类型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必填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说明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主键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account_id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账号 ID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tenant_ref_id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租户引用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app_ref_id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应用引用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app_instance_ref_id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应用实例引用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subject_type_code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varchar(100)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主体类型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subject_ref_id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varchar(128)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业务系统主体 ID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display_name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varchar(100)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显示名称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status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varchar(32)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NORMAL / DISABLED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config_json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json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扩展配置</w:t>
            </w:r>
          </w:p>
        </w:tc>
      </w:tr>
    </w:tbl>
    <w:p/>
    <w:p>
      <w:pPr>
        <w:spacing w:after="120"/>
      </w:pPr>
      <w:r>
        <w:rPr>
          <w:rFonts w:ascii="Noto Sans CJK SC" w:hAnsi="Noto Sans CJK SC" w:eastAsia="Noto Sans CJK SC"/>
          <w:b w:val="0"/>
        </w:rPr>
        <w:t>推荐索引 / 约束：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idx_subject_account(account_id)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idx_subject_tenant(tenant_ref_id)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idx_subject_type(subject_type_code)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uk_subject_ref(subject_type_code, subject_ref_id)</w:t>
      </w:r>
    </w:p>
    <w:p>
      <w:pPr>
        <w:pStyle w:val="Heading2"/>
      </w:pPr>
      <w:r>
        <w:t>12.14 iam_subject_relation：主体关系表</w:t>
      </w:r>
    </w:p>
    <w:p>
      <w:pPr>
        <w:spacing w:after="120"/>
      </w:pPr>
      <w:r>
        <w:rPr>
          <w:rFonts w:ascii="Noto Sans CJK SC" w:hAnsi="Noto Sans CJK SC" w:eastAsia="Noto Sans CJK SC"/>
          <w:b w:val="0"/>
        </w:rPr>
        <w:t>用途：表达谁管理谁、谁拥有谁、谁服务谁。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字段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类型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必填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说明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主键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tenant_ref_id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租户上下文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app_ref_id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应用上下文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relation_type_code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varchar(100)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MANAGE/OWN/BELONG/SERVICE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source_subject_id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关系源主体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target_subject_id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关系目标主体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effective_at / expired_at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datetime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有效期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status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varchar(32)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ACTIVE / DISABLED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config_json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json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扩展配置</w:t>
            </w:r>
          </w:p>
        </w:tc>
      </w:tr>
    </w:tbl>
    <w:p/>
    <w:p>
      <w:pPr>
        <w:spacing w:after="120"/>
      </w:pPr>
      <w:r>
        <w:rPr>
          <w:rFonts w:ascii="Noto Sans CJK SC" w:hAnsi="Noto Sans CJK SC" w:eastAsia="Noto Sans CJK SC"/>
          <w:b w:val="0"/>
        </w:rPr>
        <w:t>推荐索引 / 约束：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idx_relation_source(source_subject_id)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idx_relation_target(target_subject_id)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idx_relation_type(relation_type_code)</w:t>
      </w:r>
    </w:p>
    <w:p>
      <w:pPr>
        <w:pStyle w:val="Heading2"/>
      </w:pPr>
      <w:r>
        <w:t>12.15 iam_subject_client_access：主体客户端访问表</w:t>
      </w:r>
    </w:p>
    <w:p>
      <w:pPr>
        <w:spacing w:after="120"/>
      </w:pPr>
      <w:r>
        <w:rPr>
          <w:rFonts w:ascii="Noto Sans CJK SC" w:hAnsi="Noto Sans CJK SC" w:eastAsia="Noto Sans CJK SC"/>
          <w:b w:val="0"/>
        </w:rPr>
        <w:t>用途：控制某个具体主体是否可以进入某个客户端。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字段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类型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必填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说明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主键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subject_id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主体 ID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client_id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客户端 ID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tenant_ref_id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租户上下文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app_ref_id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应用上下文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app_instance_ref_id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应用实例上下文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grant_type_code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varchar(100)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授权来源，如 DIRECT/ROLE/TEMPLATE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granted_by / granted_at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varchar/datetime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授权人和授权时间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expired_at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datetime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过期时间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status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varchar(32)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ACTIVE / DISABLED</w:t>
            </w:r>
          </w:p>
        </w:tc>
      </w:tr>
    </w:tbl>
    <w:p/>
    <w:p>
      <w:pPr>
        <w:spacing w:after="120"/>
      </w:pPr>
      <w:r>
        <w:rPr>
          <w:rFonts w:ascii="Noto Sans CJK SC" w:hAnsi="Noto Sans CJK SC" w:eastAsia="Noto Sans CJK SC"/>
          <w:b w:val="0"/>
        </w:rPr>
        <w:t>推荐索引 / 约束：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uk_subject_client(subject_id, client_id, app_instance_ref_id)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idx_client_access_client(client_id)</w:t>
      </w:r>
    </w:p>
    <w:p>
      <w:pPr>
        <w:pStyle w:val="Heading2"/>
      </w:pPr>
      <w:r>
        <w:t>12.16 iam_resource / iam_permission</w:t>
      </w:r>
    </w:p>
    <w:p>
      <w:pPr>
        <w:spacing w:after="120"/>
      </w:pPr>
      <w:r>
        <w:rPr>
          <w:rFonts w:ascii="Noto Sans CJK SC" w:hAnsi="Noto Sans CJK SC" w:eastAsia="Noto Sans CJK SC"/>
          <w:b w:val="0"/>
        </w:rPr>
        <w:t>用途：资源和权限定义。资源包括菜单、API、按钮、页面、字段；权限是对资源的动作授权。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字段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类型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必填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说明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主键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app_ref_id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外部应用引用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parent_id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父资源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resource_type_code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varchar(100)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MENU/API/BUTTON/PAGE/FIELD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code / permission_code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varchar(150)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资源或权限编码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name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varchar(100)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名称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path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varchar(500)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路由或接口路径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method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varchar(20)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GET/POST/PUT/DELETE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action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VIEW/CREATE/UPDATE/DELETE/AUDIT/EXPORT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visible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是否可见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status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varchar(32)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NORMAL / DISABLED</w:t>
            </w:r>
          </w:p>
        </w:tc>
      </w:tr>
    </w:tbl>
    <w:p/>
    <w:p>
      <w:pPr>
        <w:spacing w:after="120"/>
      </w:pPr>
      <w:r>
        <w:rPr>
          <w:rFonts w:ascii="Noto Sans CJK SC" w:hAnsi="Noto Sans CJK SC" w:eastAsia="Noto Sans CJK SC"/>
          <w:b w:val="0"/>
        </w:rPr>
        <w:t>推荐索引 / 约束：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uk_app_resource_code(app_ref_id, code)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uk_permission_code(permission_code)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idx_resource_type(resource_type_code)</w:t>
      </w:r>
    </w:p>
    <w:p>
      <w:pPr>
        <w:pStyle w:val="Heading2"/>
      </w:pPr>
      <w:r>
        <w:t>12.17 iam_role / iam_role_permission / iam_subject_role</w:t>
      </w:r>
    </w:p>
    <w:p>
      <w:pPr>
        <w:spacing w:after="120"/>
      </w:pPr>
      <w:r>
        <w:rPr>
          <w:rFonts w:ascii="Noto Sans CJK SC" w:hAnsi="Noto Sans CJK SC" w:eastAsia="Noto Sans CJK SC"/>
          <w:b w:val="0"/>
        </w:rPr>
        <w:t>用途：角色、角色权限、主体角色授权。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字段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类型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必填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说明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主键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tenant_ref_id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租户上下文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app_ref_id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应用上下文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app_instance_ref_id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实例上下文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role_type_code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varchar(100)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PLATFORM/TENANT/APP/MERCHANT/CONSUMER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code / name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varchar(100)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角色编码和名称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built_in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是否内置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permission_id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权限 ID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subject_id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主体 ID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effect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varchar(32)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ALLOW/DENY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granted_by / granted_at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varchar/datetime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授权信息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expired_at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datetime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过期时间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status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varchar(32)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NORMAL/ACTIVE/DISABLED</w:t>
            </w:r>
          </w:p>
        </w:tc>
      </w:tr>
    </w:tbl>
    <w:p/>
    <w:p>
      <w:pPr>
        <w:spacing w:after="120"/>
      </w:pPr>
      <w:r>
        <w:rPr>
          <w:rFonts w:ascii="Noto Sans CJK SC" w:hAnsi="Noto Sans CJK SC" w:eastAsia="Noto Sans CJK SC"/>
          <w:b w:val="0"/>
        </w:rPr>
        <w:t>推荐索引 / 约束：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uk_role_scope_code(tenant_ref_id, app_ref_id, app_instance_ref_id, code)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uk_role_permission(role_id, permission_id)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uk_subject_role(subject_id, role_id)</w:t>
      </w:r>
    </w:p>
    <w:p>
      <w:pPr>
        <w:pStyle w:val="Heading2"/>
      </w:pPr>
      <w:r>
        <w:t>12.18 iam_data_scope / iam_policy / iam_policy_rule</w:t>
      </w:r>
    </w:p>
    <w:p>
      <w:pPr>
        <w:spacing w:after="120"/>
      </w:pPr>
      <w:r>
        <w:rPr>
          <w:rFonts w:ascii="Noto Sans CJK SC" w:hAnsi="Noto Sans CJK SC" w:eastAsia="Noto Sans CJK SC"/>
          <w:b w:val="0"/>
        </w:rPr>
        <w:t>用途：数据权限和策略规则。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字段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类型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必填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说明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主键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role_id / subject_id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作用于角色或主体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scope_type_code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varchar(100)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数据范围类型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scope_value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varchar(255)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范围值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condition_json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json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条件配置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policy_type_code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varchar(100)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LOGIN/ACCESS/DATA/MFA/RELATION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effect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varchar(32)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ALLOW/DENY/MFA_REQUIRED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priority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优先级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condition_expr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text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条件表达式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handler_code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varchar(100)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处理器编码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status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varchar(32)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NORMAL / DISABLED</w:t>
            </w:r>
          </w:p>
        </w:tc>
      </w:tr>
    </w:tbl>
    <w:p/>
    <w:p>
      <w:pPr>
        <w:spacing w:after="120"/>
      </w:pPr>
      <w:r>
        <w:rPr>
          <w:rFonts w:ascii="Noto Sans CJK SC" w:hAnsi="Noto Sans CJK SC" w:eastAsia="Noto Sans CJK SC"/>
          <w:b w:val="0"/>
        </w:rPr>
        <w:t>推荐索引 / 约束：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idx_data_scope_role(role_id)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idx_data_scope_subject(subject_id)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idx_policy_type(policy_type_code)</w:t>
      </w:r>
    </w:p>
    <w:p>
      <w:pPr>
        <w:pStyle w:val="Heading2"/>
      </w:pPr>
      <w:r>
        <w:t>12.19 iam_sync_event_log / iam_login_log / iam_audit_log / iam_security_event_log</w:t>
      </w:r>
    </w:p>
    <w:p>
      <w:pPr>
        <w:spacing w:after="120"/>
      </w:pPr>
      <w:r>
        <w:rPr>
          <w:rFonts w:ascii="Noto Sans CJK SC" w:hAnsi="Noto Sans CJK SC" w:eastAsia="Noto Sans CJK SC"/>
          <w:b w:val="0"/>
        </w:rPr>
        <w:t>用途：同步、登录、管理操作和安全事件日志。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字段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类型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必填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说明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主键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event_id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varchar(128)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外部事件 ID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source_system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varchar(100)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来源系统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event_type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varchar(100)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事件类型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account_id / operator_account_id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账号 ID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subject_id / operator_subject_id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主体 ID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client_id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客户端 ID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tenant_ref_id / app_ref_id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上下文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action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varchar(100)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操作动作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resource_type / resource_id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资源信息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before_json / after_json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json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变更前后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success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是否成功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fail_reason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varchar(500)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失败原因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ip / user_agent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varchar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请求信息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created_at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datetime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发生时间</w:t>
            </w:r>
          </w:p>
        </w:tc>
      </w:tr>
    </w:tbl>
    <w:p/>
    <w:p>
      <w:pPr>
        <w:spacing w:after="120"/>
      </w:pPr>
      <w:r>
        <w:rPr>
          <w:rFonts w:ascii="Noto Sans CJK SC" w:hAnsi="Noto Sans CJK SC" w:eastAsia="Noto Sans CJK SC"/>
          <w:b w:val="0"/>
        </w:rPr>
        <w:t>推荐索引 / 约束：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idx_login_account(account_id)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idx_audit_operator(operator_account_id)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idx_sync_event(source_system, event_id)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idx_security_created(created_at)</w:t>
      </w:r>
    </w:p>
    <w:p>
      <w:r>
        <w:br w:type="page"/>
      </w:r>
    </w:p>
    <w:p>
      <w:pPr>
        <w:pStyle w:val="Heading2"/>
      </w:pPr>
      <w:r>
        <w:t>12.20 接入中心与 SDK 相关表</w:t>
      </w:r>
    </w:p>
    <w:p>
      <w:pPr/>
      <w:r>
        <w:t>为支撑支付、商城、仓储、物流等外部业务系统快速接入 IAM，需要在数据库层补充接入配置、资源同步和 SDK 运行参数相关表。此类表不承载业务主数据，只记录接入方配置、同步状态、审计与缓存策略。</w:t>
      </w:r>
    </w:p>
    <w:p>
      <w:pPr>
        <w:pStyle w:val="Heading3"/>
      </w:pPr>
      <w:r>
        <w:t>12.20.1 iam_client_sdk_config：客户端 SDK 配置表</w:t>
      </w:r>
    </w:p>
    <w:p>
      <w:pPr/>
      <w:r>
        <w:t>用途：记录某个 OAuth Client 在接入 IAM SDK / Starter / Gateway Plugin 时的运行参数。</w:t>
      </w:r>
    </w:p>
    <w:p>
      <w:pPr>
        <w:pStyle w:val="ListBullet"/>
      </w:pPr>
      <w:r>
        <w:t>id：主键。</w:t>
      </w:r>
    </w:p>
    <w:p>
      <w:pPr>
        <w:pStyle w:val="ListBullet"/>
      </w:pPr>
      <w:r>
        <w:t>client_id：对应 iam_oauth_client.client_id。</w:t>
      </w:r>
    </w:p>
    <w:p>
      <w:pPr>
        <w:pStyle w:val="ListBullet"/>
      </w:pPr>
      <w:r>
        <w:t>sdk_enabled：是否启用 SDK 接入。</w:t>
      </w:r>
    </w:p>
    <w:p>
      <w:pPr>
        <w:pStyle w:val="ListBullet"/>
      </w:pPr>
      <w:r>
        <w:t>gateway_auth_enabled：是否启用网关鉴权插件。</w:t>
      </w:r>
    </w:p>
    <w:p>
      <w:pPr>
        <w:pStyle w:val="ListBullet"/>
      </w:pPr>
      <w:r>
        <w:t>local_cache_enabled：是否允许业务系统本地缓存权限与数据范围。</w:t>
      </w:r>
    </w:p>
    <w:p>
      <w:pPr>
        <w:pStyle w:val="ListBullet"/>
      </w:pPr>
      <w:r>
        <w:t>permission_cache_ttl：权限缓存有效期，建议 30 秒到 5 分钟。</w:t>
      </w:r>
    </w:p>
    <w:p>
      <w:pPr>
        <w:pStyle w:val="ListBullet"/>
      </w:pPr>
      <w:r>
        <w:t>data_scope_cache_ttl：数据范围缓存有效期，建议 30 秒到 5 分钟。</w:t>
      </w:r>
    </w:p>
    <w:p>
      <w:pPr>
        <w:pStyle w:val="ListBullet"/>
      </w:pPr>
      <w:r>
        <w:t>audit_enabled：是否启用审计上报。</w:t>
      </w:r>
    </w:p>
    <w:p>
      <w:pPr>
        <w:pStyle w:val="ListBullet"/>
      </w:pPr>
      <w:r>
        <w:t>resource_sync_enabled：是否允许资源清单自动同步。</w:t>
      </w:r>
    </w:p>
    <w:p>
      <w:pPr>
        <w:pStyle w:val="ListBullet"/>
      </w:pPr>
      <w:r>
        <w:t>status / created_at / updated_at：状态与审计字段。</w:t>
      </w:r>
    </w:p>
    <w:p>
      <w:pPr>
        <w:pStyle w:val="Heading3"/>
      </w:pPr>
      <w:r>
        <w:t>12.20.2 iam_resource_sync_record：资源同步记录表</w:t>
      </w:r>
    </w:p>
    <w:p>
      <w:pPr/>
      <w:r>
        <w:t>用途：记录业务系统通过 Manifest 或 OpenAPI 同步菜单、按钮、接口、字段权限资源的批次结果，便于回溯漏配、误配和版本差异。</w:t>
      </w:r>
    </w:p>
    <w:p>
      <w:pPr>
        <w:pStyle w:val="ListBullet"/>
      </w:pPr>
      <w:r>
        <w:t>id：主键。</w:t>
      </w:r>
    </w:p>
    <w:p>
      <w:pPr>
        <w:pStyle w:val="ListBullet"/>
      </w:pPr>
      <w:r>
        <w:t>client_id：发起同步的客户端。</w:t>
      </w:r>
    </w:p>
    <w:p>
      <w:pPr>
        <w:pStyle w:val="ListBullet"/>
      </w:pPr>
      <w:r>
        <w:t>app_ref_id：外部应用引用。</w:t>
      </w:r>
    </w:p>
    <w:p>
      <w:pPr>
        <w:pStyle w:val="ListBullet"/>
      </w:pPr>
      <w:r>
        <w:t>sync_batch_no：同步批次号。</w:t>
      </w:r>
    </w:p>
    <w:p>
      <w:pPr>
        <w:pStyle w:val="ListBullet"/>
      </w:pPr>
      <w:r>
        <w:t>resource_count / success_count / fail_count：同步数量统计。</w:t>
      </w:r>
    </w:p>
    <w:p>
      <w:pPr>
        <w:pStyle w:val="ListBullet"/>
      </w:pPr>
      <w:r>
        <w:t>sync_status：PENDING / SUCCESS / PARTIAL_SUCCESS / FAILED。</w:t>
      </w:r>
    </w:p>
    <w:p>
      <w:pPr>
        <w:pStyle w:val="ListBullet"/>
      </w:pPr>
      <w:r>
        <w:t>error_message：失败原因。</w:t>
      </w:r>
    </w:p>
    <w:p>
      <w:pPr>
        <w:pStyle w:val="ListBullet"/>
      </w:pPr>
      <w:r>
        <w:t>created_at：同步时间。</w:t>
      </w:r>
    </w:p>
    <w:p>
      <w:pPr>
        <w:pStyle w:val="Heading3"/>
      </w:pPr>
      <w:r>
        <w:t>12.20.3 iam_sdk_audit_buffer：SDK 审计缓冲表（可选）</w:t>
      </w:r>
    </w:p>
    <w:p>
      <w:pPr/>
      <w:r>
        <w:t>用途：当审计采用异步批量上报时，可作为 IAM 侧落库缓冲或排障表。若直接使用 MQ / 日志系统，可不建此表。</w:t>
      </w:r>
    </w:p>
    <w:p>
      <w:pPr>
        <w:pStyle w:val="ListBullet"/>
      </w:pPr>
      <w:r>
        <w:t>client_id：接入方客户端。</w:t>
      </w:r>
    </w:p>
    <w:p>
      <w:pPr>
        <w:pStyle w:val="ListBullet"/>
      </w:pPr>
      <w:r>
        <w:t>trace_id：请求链路 ID。</w:t>
      </w:r>
    </w:p>
    <w:p>
      <w:pPr>
        <w:pStyle w:val="ListBullet"/>
      </w:pPr>
      <w:r>
        <w:t>operator_account_id / operator_subject_id：操作者上下文。</w:t>
      </w:r>
    </w:p>
    <w:p>
      <w:pPr>
        <w:pStyle w:val="ListBullet"/>
      </w:pPr>
      <w:r>
        <w:t>action / resource_type / resource_id：操作内容。</w:t>
      </w:r>
    </w:p>
    <w:p>
      <w:pPr>
        <w:pStyle w:val="ListBullet"/>
      </w:pPr>
      <w:r>
        <w:t>request_summary / result_summary：请求与结果摘要。</w:t>
      </w:r>
    </w:p>
    <w:p>
      <w:pPr>
        <w:pStyle w:val="ListBullet"/>
      </w:pPr>
      <w:r>
        <w:t>created_at：产生时间。</w:t>
      </w:r>
    </w:p>
    <w:p>
      <w:pPr>
        <w:pStyle w:val="Heading1"/>
      </w:pPr>
      <w:r>
        <w:t>13. 核心流程与算法</w:t>
      </w:r>
    </w:p>
    <w:p>
      <w:pPr>
        <w:pStyle w:val="Heading2"/>
      </w:pPr>
      <w:r>
        <w:t>13.1 登录上下文装配流程</w:t>
      </w:r>
    </w:p>
    <w:p>
      <w:pPr>
        <w:pStyle w:val="CodeBlock"/>
        <w:spacing w:after="120"/>
        <w:ind w:left="216" w:right="216"/>
        <w:shd w:fill="F3F6F9"/>
      </w:pPr>
      <w:r>
        <w:rPr>
          <w:rFonts w:ascii="Noto Sans Mono CJK SC" w:hAnsi="Noto Sans Mono CJK SC" w:eastAsia="Noto Sans Mono CJK SC"/>
          <w:sz w:val="17"/>
        </w:rPr>
        <w:t>输入：client_id、redirect_uri、realm_hint、login_hint、tenant_hint、app_instance_hint。</w:t>
        <w:br/>
        <w:t>输出：account_id、realm_id、subject_id、client_id、tenant_ref_id、app_ref_id、app_instance_ref_id、entry_ref_id。</w:t>
        <w:br/>
        <w:br/>
        <w:t>步骤：</w:t>
        <w:br/>
        <w:t>1. 校验 client_id、redirect_uri、client 状态和 PKCE。</w:t>
        <w:br/>
        <w:t>2. 根据 client_realm 配置判断允许登录的 Realm。</w:t>
        <w:br/>
        <w:t>3. 若没有 SSO Session，进入 Realm 登录策略；若已有会话，校验会话状态和账号状态。</w:t>
        <w:br/>
        <w:t>4. 查询可用 Subject 列表，根据 Client、Entry、Tenant、AppInstance 匹配默认 Subject。</w:t>
        <w:br/>
        <w:t>5. 校验 subject_client_access。</w:t>
        <w:br/>
        <w:t>6. 校验外部 tenant_ref、app_ref、app_instance_ref、entry_ref 状态。</w:t>
        <w:br/>
        <w:t>7. 生成授权码，后续换 Token。</w:t>
      </w:r>
    </w:p>
    <w:p>
      <w:pPr>
        <w:pStyle w:val="Heading2"/>
      </w:pPr>
      <w:r>
        <w:t>13.2 API 鉴权流程</w:t>
      </w:r>
    </w:p>
    <w:p>
      <w:pPr>
        <w:pStyle w:val="CodeBlock"/>
        <w:spacing w:after="120"/>
        <w:ind w:left="216" w:right="216"/>
        <w:shd w:fill="F3F6F9"/>
      </w:pPr>
      <w:r>
        <w:rPr>
          <w:rFonts w:ascii="Noto Sans Mono CJK SC" w:hAnsi="Noto Sans Mono CJK SC" w:eastAsia="Noto Sans Mono CJK SC"/>
          <w:sz w:val="17"/>
        </w:rPr>
        <w:t>1. 网关或业务服务解析 Access Token，校验签名、过期时间、issuer、audience、jti。</w:t>
        <w:br/>
        <w:t>2. 根据 client_id、subject_id、permission_code 定位权限上下文。</w:t>
        <w:br/>
        <w:t>3. 检查账号、Realm、Client、Subject、外部引用状态。</w:t>
        <w:br/>
        <w:t>4. 检查 Role -&gt; Permission 是否授权。</w:t>
        <w:br/>
        <w:t>5. 检查 Policy，例如是否需要 MFA、是否在允许 IP/时间段。</w:t>
        <w:br/>
        <w:t>6. 检查 Relation，例如服务商是否服务该支付商户。</w:t>
        <w:br/>
        <w:t>7. 计算 DataScope，返回业务系统可执行的数据过滤条件。</w:t>
        <w:br/>
        <w:t>8. 记录审计上下文，业务系统按 dataScope 查询数据。</w:t>
      </w:r>
    </w:p>
    <w:p>
      <w:pPr>
        <w:pStyle w:val="Heading2"/>
      </w:pPr>
      <w:r>
        <w:t>13.3 菜单与按钮加载流程</w:t>
      </w:r>
    </w:p>
    <w:p>
      <w:pPr>
        <w:pStyle w:val="CodeBlock"/>
        <w:spacing w:after="120"/>
        <w:ind w:left="216" w:right="216"/>
        <w:shd w:fill="F3F6F9"/>
      </w:pPr>
      <w:r>
        <w:rPr>
          <w:rFonts w:ascii="Noto Sans Mono CJK SC" w:hAnsi="Noto Sans Mono CJK SC" w:eastAsia="Noto Sans Mono CJK SC"/>
          <w:sz w:val="17"/>
        </w:rPr>
        <w:t>1. 前端进入 Client 后调用 /iam/menus/current。</w:t>
        <w:br/>
        <w:t>2. IAM 根据 subject_id、client_id、app_ref_id、app_instance_ref_id 加载角色。</w:t>
        <w:br/>
        <w:t>3. 取角色拥有的 MENU/PAGE/BUTTON 类型资源。</w:t>
        <w:br/>
        <w:t>4. 结合 Entry、DataScope、Policy 过滤不可访问菜单。</w:t>
        <w:br/>
        <w:t>5. 返回菜单树、页面按钮权限、前端路由元数据。</w:t>
        <w:br/>
        <w:t>6. 后端 API 仍需二次鉴权，不能只依赖前端隐藏菜单。</w:t>
      </w:r>
    </w:p>
    <w:p>
      <w:pPr>
        <w:pStyle w:val="Heading2"/>
      </w:pPr>
      <w:r>
        <w:t>13.4 外部状态变更流程</w:t>
      </w:r>
    </w:p>
    <w:p>
      <w:pPr>
        <w:pStyle w:val="CodeBlock"/>
        <w:spacing w:after="120"/>
        <w:ind w:left="216" w:right="216"/>
        <w:shd w:fill="F3F6F9"/>
      </w:pPr>
      <w:r>
        <w:rPr>
          <w:rFonts w:ascii="Noto Sans Mono CJK SC" w:hAnsi="Noto Sans Mono CJK SC" w:eastAsia="Noto Sans Mono CJK SC"/>
          <w:sz w:val="17"/>
        </w:rPr>
        <w:t>以应用实例停用为例：</w:t>
        <w:br/>
        <w:t>1. 外部应用中心发送 APP_INSTANCE_DISABLED 事件。</w:t>
        <w:br/>
        <w:t>2. IAM 校验签名、event_id 幂等、sync_version。</w:t>
        <w:br/>
        <w:t>3. 更新 iam_app_instance_ref.status = DISABLED。</w:t>
        <w:br/>
        <w:t>4. 失效相关 client/subject/permission 缓存。</w:t>
        <w:br/>
        <w:t>5. 可选：吊销该实例下活跃 Token 或要求下次请求重新鉴权。</w:t>
        <w:br/>
        <w:t>6. 记录 sync_event_log 和 security_event_log。</w:t>
      </w:r>
    </w:p>
    <w:p>
      <w:r>
        <w:br w:type="page"/>
      </w:r>
    </w:p>
    <w:p>
      <w:pPr>
        <w:pStyle w:val="Heading1"/>
      </w:pPr>
      <w:r>
        <w:t>14. API 接口设计</w:t>
      </w:r>
    </w:p>
    <w:p>
      <w:pPr>
        <w:pStyle w:val="Heading2"/>
      </w:pPr>
      <w:r>
        <w:t>14.1 认证与 Token 接口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接口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方法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备注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/oauth2/authorize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授权码入口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支持 PKCE、realm_hint、tenant_hint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/oauth2/token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授权码换 Token、刷新 Token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client_secret 或 PKCE 校验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/oauth2/revoke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吊销 Token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Refresh Token 必须落库吊销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/oauth2/introspect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Token 自省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内部服务或网关使用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/auth/login/password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账号密码登录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通常由 authorize 页面提交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/auth/logout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退出当前会话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支持单客户端退出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/auth/sso/logout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统一登出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可通知已登录客户端</w:t>
            </w:r>
          </w:p>
        </w:tc>
      </w:tr>
    </w:tbl>
    <w:p/>
    <w:p>
      <w:pPr>
        <w:pStyle w:val="Heading2"/>
      </w:pPr>
      <w:r>
        <w:t>14.2 账号与主体接口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接口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方法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/accounts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GET/POST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账号查询与创建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/accounts/{id}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GET/PUT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账号详情与编辑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/accounts/{id}/disable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禁用账号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/accounts/{id}/reset-password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重置密码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/subjects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GET/POST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主体查询与创建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/subjects/{id}/roles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GET/POST/DELETE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主体角色查询、授权、回收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/subjects/{id}/clients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GET/POST/DELETE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主体客户端访问授权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/subjects/{id}/relations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GET/POST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主体关系查询与创建</w:t>
            </w:r>
          </w:p>
        </w:tc>
      </w:tr>
    </w:tbl>
    <w:p/>
    <w:p>
      <w:pPr>
        <w:pStyle w:val="Heading2"/>
      </w:pPr>
      <w:r>
        <w:t>14.3 权限与鉴权接口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接口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方法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/resources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GET/POST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资源查询与注册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/permissions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GET/POST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权限查询与注册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/roles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GET/POST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角色查询与创建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/roles/{id}/permissions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POST/DELETE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角色权限维护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/menus/current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当前登录上下文菜单树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/access/check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单次鉴权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/access/batch-check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批量鉴权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/datascope/resolve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解析数据范围条件</w:t>
            </w:r>
          </w:p>
        </w:tc>
      </w:tr>
    </w:tbl>
    <w:p/>
    <w:p>
      <w:pPr>
        <w:pStyle w:val="Heading2"/>
      </w:pPr>
      <w:r>
        <w:t>14.4 外部集成接口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接口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方法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/integration/tenant/events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接收租户中心事件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/integration/app/events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接收应用中心事件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/integration/sync/tenant/{id}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主动同步单个租户引用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/integration/sync/app/{id}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主动同步单个应用引用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/integration/reconcile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触发对账任务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/integration/status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查看外部系统同步状态</w:t>
            </w:r>
          </w:p>
        </w:tc>
      </w:tr>
    </w:tbl>
    <w:p/>
    <w:p>
      <w:pPr>
        <w:pStyle w:val="Heading2"/>
      </w:pPr>
      <w:r>
        <w:t>14.5 鉴权接口示例</w:t>
      </w:r>
    </w:p>
    <w:p>
      <w:pPr>
        <w:pStyle w:val="CodeBlock"/>
        <w:spacing w:after="120"/>
        <w:ind w:left="216" w:right="216"/>
        <w:shd w:fill="F3F6F9"/>
      </w:pPr>
      <w:r>
        <w:rPr>
          <w:rFonts w:ascii="Noto Sans Mono CJK SC" w:hAnsi="Noto Sans Mono CJK SC" w:eastAsia="Noto Sans Mono CJK SC"/>
          <w:sz w:val="17"/>
        </w:rPr>
        <w:t>请求：</w:t>
        <w:br/>
        <w:t>{</w:t>
        <w:br/>
        <w:t xml:space="preserve">  "clientId": "pay_merchant_web",</w:t>
        <w:br/>
        <w:t xml:space="preserve">  "accountId": "acc_wangwu",</w:t>
        <w:br/>
        <w:t xml:space="preserve">  "subjectId": "sub_wangwu_pay_merchant",</w:t>
        <w:br/>
        <w:t xml:space="preserve">  "tenantRefId": "tenant_lisi",</w:t>
        <w:br/>
        <w:t xml:space="preserve">  "appInstanceRefId": "pay_instance_lisi",</w:t>
        <w:br/>
        <w:t xml:space="preserve">  "permissionCode": "pay_merchant:transaction:view",</w:t>
        <w:br/>
        <w:t xml:space="preserve">  "target": {"payMerchantId": "pm_wangwu"}</w:t>
        <w:br/>
        <w:t>}</w:t>
        <w:br/>
        <w:br/>
        <w:t>返回：</w:t>
        <w:br/>
        <w:t>{</w:t>
        <w:br/>
        <w:t xml:space="preserve">  "allowed": true,</w:t>
        <w:br/>
        <w:t xml:space="preserve">  "decisionId": "dec_20260526_0001",</w:t>
        <w:br/>
        <w:t xml:space="preserve">  "dataScope": {</w:t>
        <w:br/>
        <w:t xml:space="preserve">    "type": "CURRENT_PAY_MERCHANT",</w:t>
        <w:br/>
        <w:t xml:space="preserve">    "conditions": {"pay_merchant_id": "pm_wangwu"}</w:t>
        <w:br/>
        <w:t xml:space="preserve">  },</w:t>
        <w:br/>
        <w:t xml:space="preserve">  "obligations": ["audit:transaction_view"]</w:t>
        <w:br/>
        <w:t>}</w:t>
      </w:r>
    </w:p>
    <w:p>
      <w:pPr>
        <w:pStyle w:val="Heading2"/>
      </w:pPr>
      <w:r>
        <w:t>14.6 错误码建议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错误码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含义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处理建议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IAM-401-001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未登录或 Token 无效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跳转登录或刷新 Token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IAM-401-002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SSO Session 已过期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重新登录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IAM-403-001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Client 不允许当前 Realm 登录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检查 iam_client_realm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IAM-403-002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Subject 未授权访问 Client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检查 iam_subject_client_access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IAM-403-003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缺少权限 Permission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检查角色授权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IAM-403-004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数据范围不允许访问目标数据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检查 DataScope 或目标归属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IAM-409-001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外部引用版本冲突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忽略旧事件或重新拉取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IAM-503-001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外部主数据系统不可用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按降级策略失败关闭或使用缓存</w:t>
            </w:r>
          </w:p>
        </w:tc>
      </w:tr>
    </w:tbl>
    <w:p/>
    <w:p>
      <w:r>
        <w:br w:type="page"/>
      </w:r>
    </w:p>
    <w:p>
      <w:pPr>
        <w:pStyle w:val="Heading2"/>
      </w:pPr>
      <w:r>
        <w:t>14.7 外部系统接入 OpenAPI</w:t>
      </w:r>
    </w:p>
    <w:p>
      <w:pPr/>
      <w:r>
        <w:t>外部业务系统通常不直接访问 IAM 内部管理接口，而是通过接入专用 OpenAPI 完成资源同步、权限校验、数据范围获取和审计上报。</w:t>
      </w:r>
    </w:p>
    <w:p>
      <w:pPr>
        <w:pStyle w:val="ListBullet"/>
      </w:pPr>
      <w:r>
        <w:t>POST /openapi/access/check：单次权限校验。</w:t>
      </w:r>
    </w:p>
    <w:p>
      <w:pPr>
        <w:pStyle w:val="ListBullet"/>
      </w:pPr>
      <w:r>
        <w:t>POST /openapi/access/batch-check：批量权限校验，用于按钮、菜单、批量接口检查。</w:t>
      </w:r>
    </w:p>
    <w:p>
      <w:pPr>
        <w:pStyle w:val="ListBullet"/>
      </w:pPr>
      <w:r>
        <w:t>GET /openapi/context/current：获取当前登录上下文。</w:t>
      </w:r>
    </w:p>
    <w:p>
      <w:pPr>
        <w:pStyle w:val="ListBullet"/>
      </w:pPr>
      <w:r>
        <w:t>GET /openapi/subjects/current：获取当前账号在当前客户端下的主体身份。</w:t>
      </w:r>
    </w:p>
    <w:p>
      <w:pPr>
        <w:pStyle w:val="ListBullet"/>
      </w:pPr>
      <w:r>
        <w:t>GET /openapi/subjects/{subjectId}/menus：获取菜单树。</w:t>
      </w:r>
    </w:p>
    <w:p>
      <w:pPr>
        <w:pStyle w:val="ListBullet"/>
      </w:pPr>
      <w:r>
        <w:t>GET /openapi/subjects/{subjectId}/permissions：获取权限码集合。</w:t>
      </w:r>
    </w:p>
    <w:p>
      <w:pPr>
        <w:pStyle w:val="ListBullet"/>
      </w:pPr>
      <w:r>
        <w:t>GET /openapi/subjects/{subjectId}/data-scopes：获取数据范围。</w:t>
      </w:r>
    </w:p>
    <w:p>
      <w:pPr>
        <w:pStyle w:val="ListBullet"/>
      </w:pPr>
      <w:r>
        <w:t>POST /openapi/resources/sync：同步业务系统资源清单。</w:t>
      </w:r>
    </w:p>
    <w:p>
      <w:pPr>
        <w:pStyle w:val="ListBullet"/>
      </w:pPr>
      <w:r>
        <w:t>POST /openapi/audit/logs：上报审计日志。</w:t>
      </w:r>
    </w:p>
    <w:p>
      <w:pPr>
        <w:pStyle w:val="Heading2"/>
      </w:pPr>
      <w:r>
        <w:t>14.8 接入方资源清单 Manifest 示例</w:t>
      </w:r>
    </w:p>
    <w:p>
      <w:pPr/>
      <w:r>
        <w:t>支付、商城等业务系统可维护资源清单，并在发布或启动时同步到 IAM，避免在 IAM 管理后台手工重复录入。</w:t>
      </w:r>
    </w:p>
    <w:p>
      <w:pPr/>
      <w:r>
        <w:rPr>
          <w:rFonts w:ascii="Courier New" w:hAnsi="Courier New"/>
          <w:sz w:val="17"/>
        </w:rPr>
        <w:t>appCode: pay-center</w:t>
        <w:br/>
        <w:t>resources:</w:t>
        <w:br/>
        <w:t xml:space="preserve">  - code: pay:transaction:view</w:t>
        <w:br/>
        <w:t xml:space="preserve">    name: 交易查询</w:t>
        <w:br/>
        <w:t xml:space="preserve">    type: API</w:t>
        <w:br/>
        <w:t xml:space="preserve">    path: /api/pay/transactions</w:t>
        <w:br/>
        <w:t xml:space="preserve">    method: GET</w:t>
        <w:br/>
        <w:t xml:space="preserve">  - code: pay:refund:create</w:t>
        <w:br/>
        <w:t xml:space="preserve">    name: 创建退款</w:t>
        <w:br/>
        <w:t xml:space="preserve">    type: API</w:t>
        <w:br/>
        <w:t xml:space="preserve">    path: /api/pay/refunds</w:t>
        <w:br/>
        <w:t xml:space="preserve">    method: POST</w:t>
        <w:br/>
        <w:t xml:space="preserve">  - code: pay:merchant:manage</w:t>
        <w:br/>
        <w:t xml:space="preserve">    name: 特约商户管理</w:t>
        <w:br/>
        <w:t xml:space="preserve">    type: MENU</w:t>
        <w:br/>
        <w:t xml:space="preserve">    path: /merchant</w:t>
      </w:r>
    </w:p>
    <w:p>
      <w:pPr>
        <w:pStyle w:val="Heading1"/>
      </w:pPr>
      <w:r>
        <w:t>15. 外部系统接入中心与 SDK 接入体系</w:t>
      </w:r>
    </w:p>
    <w:p>
      <w:pPr>
        <w:pStyle w:val="Heading2"/>
      </w:pPr>
      <w:r>
        <w:t>15.1 设计定位</w:t>
      </w:r>
    </w:p>
    <w:p>
      <w:pPr/>
      <w:r>
        <w:t>外部系统接入中心是 AuthSphere IAM 的核心组成部分。它的目标不是让支付、商城、仓储、物流等系统各自重复实现登录、账号、角色、权限、菜单和审计，而是由 IAM 提供统一接入能力，业务系统只保留自己的业务主数据和业务规则。</w:t>
      </w:r>
    </w:p>
    <w:p>
      <w:pPr/>
      <w:r>
        <w:t>因此，IAM 的最终交付形态不只是一个管理后台，而是 IAM Server + OpenAPI + SDK + Spring Boot Starter + Gateway Plugin + Web SDK + Integration Center 的组合。</w:t>
      </w:r>
    </w:p>
    <w:p>
      <w:pPr>
        <w:pStyle w:val="Heading2"/>
      </w:pPr>
      <w:r>
        <w:t>15.2 部署形态：模块化单体优先</w:t>
      </w:r>
    </w:p>
    <w:p>
      <w:pPr/>
      <w:r>
        <w:t>工程模块可以拆得清晰，但第一阶段不建议拆成多个微服务。认证、账号、主体、权限、Token、策略、审计之间存在强关联和安全一致性要求，过早微服务化会增加分布式事务、链路排障、权限实时生效和运维复杂度。</w:t>
      </w:r>
    </w:p>
    <w:p>
      <w:pPr>
        <w:pStyle w:val="ListBullet"/>
      </w:pPr>
      <w:r>
        <w:t>第一阶段：AuthSphere IAM Server 单体部署，内部按领域模块划分。</w:t>
      </w:r>
    </w:p>
    <w:p>
      <w:pPr>
        <w:pStyle w:val="ListBullet"/>
      </w:pPr>
      <w:r>
        <w:t>第二阶段：优先拆出审计 Worker、外部同步 Worker、网关鉴权插件或接入层。</w:t>
      </w:r>
    </w:p>
    <w:p>
      <w:pPr>
        <w:pStyle w:val="ListBullet"/>
      </w:pPr>
      <w:r>
        <w:t>第三阶段：当并发、团队规模或边界稳定后，再拆认证、权限、策略、审计等独立服务。</w:t>
      </w:r>
    </w:p>
    <w:p>
      <w:pPr/>
      <w:r>
        <w:t>所以文档中的 auth、account、subject、permission、policy、session、audit、integration 首先是代码模块和领域边界，不是第一版的服务部署单元。</w:t>
      </w:r>
    </w:p>
    <w:p>
      <w:pPr>
        <w:pStyle w:val="Heading2"/>
      </w:pPr>
      <w:r>
        <w:t>15.3 接入中心功能清单</w:t>
      </w:r>
    </w:p>
    <w:p>
      <w:pPr>
        <w:pStyle w:val="ListBullet"/>
      </w:pPr>
      <w:r>
        <w:t>OAuth Client 管理：client_id、client_secret、回调地址、登出回调、Token 有效期。</w:t>
      </w:r>
    </w:p>
    <w:p>
      <w:pPr>
        <w:pStyle w:val="ListBullet"/>
      </w:pPr>
      <w:r>
        <w:t>客户端允许身份域配置：通过 iam_client_realm 控制某个客户端允许哪些 Realm 登录。</w:t>
      </w:r>
    </w:p>
    <w:p>
      <w:pPr>
        <w:pStyle w:val="ListBullet"/>
      </w:pPr>
      <w:r>
        <w:t>主体客户端访问授权：通过 iam_subject_client_access 控制某个主体是否可进入某个系统入口。</w:t>
      </w:r>
    </w:p>
    <w:p>
      <w:pPr>
        <w:pStyle w:val="ListBullet"/>
      </w:pPr>
      <w:r>
        <w:t>SDK 接入配置：配置是否启用权限缓存、数据范围缓存、审计上报、资源自动同步。</w:t>
      </w:r>
    </w:p>
    <w:p>
      <w:pPr>
        <w:pStyle w:val="ListBullet"/>
      </w:pPr>
      <w:r>
        <w:t>资源注册与同步：菜单、按钮、接口、字段、权限编码可通过 Manifest 或 OpenAPI 自动同步。</w:t>
      </w:r>
    </w:p>
    <w:p>
      <w:pPr>
        <w:pStyle w:val="ListBullet"/>
      </w:pPr>
      <w:r>
        <w:t>网关插件配置：统一 Token 校验、上下文透传、基础路由权限拦截。</w:t>
      </w:r>
    </w:p>
    <w:p>
      <w:pPr>
        <w:pStyle w:val="ListBullet"/>
      </w:pPr>
      <w:r>
        <w:t>审计接入：业务系统通过 SDK 或 OpenAPI 上报关键操作日志。</w:t>
      </w:r>
    </w:p>
    <w:p>
      <w:pPr>
        <w:pStyle w:val="ListBullet"/>
      </w:pPr>
      <w:r>
        <w:t>安全治理：接入方密钥轮换、签名校验、限流、防重放、接入方审计。</w:t>
      </w:r>
    </w:p>
    <w:p>
      <w:pPr>
        <w:pStyle w:val="Heading2"/>
      </w:pPr>
      <w:r>
        <w:t>15.4 对外接入组件</w:t>
      </w:r>
    </w:p>
    <w:p>
      <w:pPr/>
      <w:r>
        <w:t>建议至少提供以下接入组件，使业务系统接入成本可控。</w:t>
      </w:r>
    </w:p>
    <w:p>
      <w:pPr>
        <w:pStyle w:val="ListBullet"/>
      </w:pPr>
      <w:r>
        <w:t>authsphere-java-sdk：提供 Token 校验、JWK 公钥缓存、权限校验、数据范围获取、审计上报客户端。</w:t>
      </w:r>
    </w:p>
    <w:p>
      <w:pPr>
        <w:pStyle w:val="ListBullet"/>
      </w:pPr>
      <w:r>
        <w:t>authsphere-spring-boot-starter：适配 Spring Boot / Spring Security，自动注入过滤器、上下文、注解和拦截器。</w:t>
      </w:r>
    </w:p>
    <w:p>
      <w:pPr>
        <w:pStyle w:val="ListBullet"/>
      </w:pPr>
      <w:r>
        <w:t>authsphere-gateway-plugin：适配 Spring Cloud Gateway、Kong、APISIX 或自研网关，作为第一道鉴权入口。</w:t>
      </w:r>
    </w:p>
    <w:p>
      <w:pPr>
        <w:pStyle w:val="ListBullet"/>
      </w:pPr>
      <w:r>
        <w:t>authsphere-web-sdk：前端登录跳转、回调处理、Token 刷新、菜单按钮权限加载和统一退出。</w:t>
      </w:r>
    </w:p>
    <w:p>
      <w:pPr>
        <w:pStyle w:val="ListBullet"/>
      </w:pPr>
      <w:r>
        <w:t>authsphere-openapi-spec：提供标准 OpenAPI 文档和客户端生成基础。</w:t>
      </w:r>
    </w:p>
    <w:p>
      <w:pPr>
        <w:pStyle w:val="Heading2"/>
      </w:pPr>
      <w:r>
        <w:t>15.5 Spring Boot Starter 使用示例</w:t>
      </w:r>
    </w:p>
    <w:p>
      <w:pPr/>
      <w:r>
        <w:t>支付系统、商城系统等 Java 后端可直接引入 Starter。</w:t>
      </w:r>
    </w:p>
    <w:p>
      <w:pPr/>
      <w:r>
        <w:rPr>
          <w:rFonts w:ascii="Courier New" w:hAnsi="Courier New"/>
          <w:sz w:val="17"/>
        </w:rPr>
        <w:t>&lt;dependency&gt;</w:t>
        <w:br/>
        <w:t xml:space="preserve">  &lt;groupId&gt;com.company.authsphere&lt;/groupId&gt;</w:t>
        <w:br/>
        <w:t xml:space="preserve">  &lt;artifactId&gt;authsphere-spring-boot-starter&lt;/artifactId&gt;</w:t>
        <w:br/>
        <w:t>&lt;/dependency&gt;</w:t>
      </w:r>
    </w:p>
    <w:p>
      <w:pPr/>
      <w:r>
        <w:rPr>
          <w:rFonts w:ascii="Courier New" w:hAnsi="Courier New"/>
          <w:sz w:val="17"/>
        </w:rPr>
        <w:t>authsphere:</w:t>
        <w:br/>
        <w:t xml:space="preserve">  enabled: true</w:t>
        <w:br/>
        <w:t xml:space="preserve">  iam-server-url: https://iam.example.com</w:t>
        <w:br/>
        <w:t xml:space="preserve">  client-id: pay_center_admin_web</w:t>
        <w:br/>
        <w:t xml:space="preserve">  client-secret: ${PAY_CENTER_CLIENT_SECRET}</w:t>
        <w:br/>
        <w:t xml:space="preserve">  app-code: pay-center</w:t>
        <w:br/>
        <w:t xml:space="preserve">  enable-permission-check: true</w:t>
        <w:br/>
        <w:t xml:space="preserve">  enable-data-scope: true</w:t>
        <w:br/>
        <w:t xml:space="preserve">  enable-audit: true</w:t>
      </w:r>
    </w:p>
    <w:p>
      <w:pPr/>
      <w:r>
        <w:t>业务代码中可通过注解和上下文对象使用权限与数据范围。</w:t>
      </w:r>
    </w:p>
    <w:p>
      <w:pPr/>
      <w:r>
        <w:rPr>
          <w:rFonts w:ascii="Courier New" w:hAnsi="Courier New"/>
          <w:sz w:val="17"/>
        </w:rPr>
        <w:t>@RequirePermission("pay:transaction:view")</w:t>
        <w:br/>
        <w:t>@GetMapping("/transactions")</w:t>
        <w:br/>
        <w:t>public Page&lt;TransactionVO&gt; list(TransactionQuery query) {</w:t>
        <w:br/>
        <w:t xml:space="preserve">    LoginContext ctx = AuthSphereContext.getContext();</w:t>
        <w:br/>
        <w:t xml:space="preserve">    DataScope scope = ctx.getDataScope();</w:t>
        <w:br/>
        <w:t xml:space="preserve">    return transactionService.query(query, scope);</w:t>
        <w:br/>
        <w:t>}</w:t>
      </w:r>
    </w:p>
    <w:p>
      <w:pPr>
        <w:pStyle w:val="Heading2"/>
      </w:pPr>
      <w:r>
        <w:t>15.6 支付系统接入样例</w:t>
      </w:r>
    </w:p>
    <w:p>
      <w:pPr/>
      <w:r>
        <w:t>支付系统继续负责支付渠道、交易、退款、结算、服务商资料和特约商户业务规则；IAM 负责账号认证、SSO、主体身份、角色权限、数据权限、策略判断和审计追踪。</w:t>
      </w:r>
    </w:p>
    <w:p>
      <w:pPr>
        <w:pStyle w:val="ListBullet"/>
      </w:pPr>
      <w:r>
        <w:t>lisi 在 IAM 中是 Account，在支付系统中通过 Subject 映射为 PAY_PROVIDER，subject_ref_id 指向支付系统 provider_id。</w:t>
      </w:r>
    </w:p>
    <w:p>
      <w:pPr>
        <w:pStyle w:val="ListBullet"/>
      </w:pPr>
      <w:r>
        <w:t>wangwu 在 IAM 中是 Account，在支付系统中通过 Subject 映射为 PAY_MERCHANT，subject_ref_id 指向支付系统 pay_merchant_id。</w:t>
      </w:r>
    </w:p>
    <w:p>
      <w:pPr>
        <w:pStyle w:val="ListBullet"/>
      </w:pPr>
      <w:r>
        <w:t>支付系统接口使用 @RequirePermission("pay:transaction:view") 做权限声明。</w:t>
      </w:r>
    </w:p>
    <w:p>
      <w:pPr>
        <w:pStyle w:val="ListBullet"/>
      </w:pPr>
      <w:r>
        <w:t>IAM 返回 CURRENT_PAY_MERCHANT 数据范围后，支付系统按 pay_merchant_id 过滤交易、退款和结算数据。</w:t>
      </w:r>
    </w:p>
    <w:p>
      <w:pPr>
        <w:pStyle w:val="Heading2"/>
      </w:pPr>
      <w:r>
        <w:t>15.7 运行时请求处理流程</w:t>
      </w:r>
    </w:p>
    <w:p>
      <w:pPr>
        <w:pStyle w:val="ListBullet"/>
      </w:pPr>
      <w:r>
        <w:t>用户访问支付系统接口。</w:t>
      </w:r>
    </w:p>
    <w:p>
      <w:pPr>
        <w:pStyle w:val="ListBullet"/>
      </w:pPr>
      <w:r>
        <w:t>网关插件校验 Access Token、client_id、账号状态和基础接口访问。</w:t>
      </w:r>
    </w:p>
    <w:p>
      <w:pPr>
        <w:pStyle w:val="ListBullet"/>
      </w:pPr>
      <w:r>
        <w:t>网关将 account_id、realm_code、subject_id、client_id、tenant_ref_id、trace_id 等上下文透传给支付系统。</w:t>
      </w:r>
    </w:p>
    <w:p>
      <w:pPr>
        <w:pStyle w:val="ListBullet"/>
      </w:pPr>
      <w:r>
        <w:t>支付系统 Starter 构建 LoginContext，并按注解或拦截器校验业务权限。</w:t>
      </w:r>
    </w:p>
    <w:p>
      <w:pPr>
        <w:pStyle w:val="ListBullet"/>
      </w:pPr>
      <w:r>
        <w:t>SDK 获取 DataScope，业务服务显式拼接查询条件。</w:t>
      </w:r>
    </w:p>
    <w:p>
      <w:pPr>
        <w:pStyle w:val="ListBullet"/>
      </w:pPr>
      <w:r>
        <w:t>支付系统执行业务查询或操作，并异步上报审计日志。</w:t>
      </w:r>
    </w:p>
    <w:p>
      <w:pPr>
        <w:pStyle w:val="Heading2"/>
      </w:pPr>
      <w:r>
        <w:t>15.8 数据权限落地策略</w:t>
      </w:r>
    </w:p>
    <w:p>
      <w:pPr/>
      <w:r>
        <w:t>数据权限不要第一版就完全依赖自动 SQL 改写。推荐分阶段实现。</w:t>
      </w:r>
    </w:p>
    <w:p>
      <w:pPr>
        <w:pStyle w:val="ListBullet"/>
      </w:pPr>
      <w:r>
        <w:t>第一版：SDK 返回 DataScope，由业务服务显式拼接查询条件，逻辑清晰、可审计、可控。</w:t>
      </w:r>
    </w:p>
    <w:p>
      <w:pPr>
        <w:pStyle w:val="ListBullet"/>
      </w:pPr>
      <w:r>
        <w:t>第二版：为标准单表或简单分页查询提供 MyBatis 数据权限插件。</w:t>
      </w:r>
    </w:p>
    <w:p>
      <w:pPr>
        <w:pStyle w:val="ListBullet"/>
      </w:pPr>
      <w:r>
        <w:t>复杂报表、跨库查询、聚合查询仍建议业务服务显式处理数据范围。</w:t>
      </w:r>
    </w:p>
    <w:p>
      <w:pPr>
        <w:pStyle w:val="Heading2"/>
      </w:pPr>
      <w:r>
        <w:t>15.9 SDK 缓存、降级与失效</w:t>
      </w:r>
    </w:p>
    <w:p>
      <w:pPr>
        <w:pStyle w:val="ListBullet"/>
      </w:pPr>
      <w:r>
        <w:t>JWK 公钥可本地缓存，按 kid 自动刷新。</w:t>
      </w:r>
    </w:p>
    <w:p>
      <w:pPr>
        <w:pStyle w:val="ListBullet"/>
      </w:pPr>
      <w:r>
        <w:t>权限集合和数据范围可短 TTL 缓存，建议 30 秒到 5 分钟。</w:t>
      </w:r>
    </w:p>
    <w:p>
      <w:pPr>
        <w:pStyle w:val="ListBullet"/>
      </w:pPr>
      <w:r>
        <w:t>账号禁用、角色变更、主体关系变更、租户或应用实例禁用时，IAM 通过 MQ / Webhook 推送缓存失效事件。</w:t>
      </w:r>
    </w:p>
    <w:p>
      <w:pPr>
        <w:pStyle w:val="ListBullet"/>
      </w:pPr>
      <w:r>
        <w:t>鉴权接口不可用时，后台管理端建议 fail-closed；非敏感读接口可按业务风险选择短时间降级，但必须记录安全事件。</w:t>
      </w:r>
    </w:p>
    <w:p>
      <w:pPr>
        <w:pStyle w:val="Heading2"/>
      </w:pPr>
      <w:r>
        <w:t>15.10 接入方安全要求</w:t>
      </w:r>
    </w:p>
    <w:p>
      <w:pPr>
        <w:pStyle w:val="ListBullet"/>
      </w:pPr>
      <w:r>
        <w:t>client_secret 必须加密存储，避免写入代码仓库。</w:t>
      </w:r>
    </w:p>
    <w:p>
      <w:pPr>
        <w:pStyle w:val="ListBullet"/>
      </w:pPr>
      <w:r>
        <w:t>接入方调用 OpenAPI 应支持签名、防重放、时间戳和 nonce。</w:t>
      </w:r>
    </w:p>
    <w:p>
      <w:pPr>
        <w:pStyle w:val="ListBullet"/>
      </w:pPr>
      <w:r>
        <w:t>资源同步、审计上报等接口需要限流和幂等。</w:t>
      </w:r>
    </w:p>
    <w:p>
      <w:pPr>
        <w:pStyle w:val="ListBullet"/>
      </w:pPr>
      <w:r>
        <w:t>支持密钥轮换，允许新旧密钥短时间并行。</w:t>
      </w:r>
    </w:p>
    <w:p>
      <w:pPr>
        <w:pStyle w:val="ListBullet"/>
      </w:pPr>
      <w:r>
        <w:t>接入方所有关键调用必须记录 trace_id，便于跨系统排障。</w:t>
      </w:r>
    </w:p>
    <w:p>
      <w:pPr>
        <w:pStyle w:val="Heading1"/>
      </w:pPr>
      <w:r>
        <w:t>16. 技术架构与技术选型</w:t>
      </w:r>
    </w:p>
    <w:p>
      <w:pPr>
        <w:pStyle w:val="Heading2"/>
      </w:pPr>
      <w:r>
        <w:t>16.1 架构形态</w:t>
      </w:r>
    </w:p>
    <w:p>
      <w:pPr/>
      <w:r>
        <w:t>本项目的“模块拆分”应被理解为领域模块拆分和代码组织拆分。第一版部署形态为一个 IAM Server，对外提供统一认证授权能力；Admin 管理后台、SDK、Starter、网关插件、Web SDK 作为配套工程交付。</w:t>
      </w:r>
    </w:p>
    <w:p>
      <w:pPr>
        <w:pStyle w:val="ListBullet"/>
      </w:pPr>
      <w:r>
        <w:t>部署单元：authsphere-server、authsphere-admin、authsphere-sdk、authsphere-spring-boot-starter、authsphere-gateway-plugin、authsphere-web-sdk。</w:t>
      </w:r>
    </w:p>
    <w:p>
      <w:pPr>
        <w:pStyle w:val="ListBullet"/>
      </w:pPr>
      <w:r>
        <w:t>运行依赖：关系型数据库、Redis、MQ、日志/审计存储、外部租户中心、外部应用中心。</w:t>
      </w:r>
    </w:p>
    <w:p>
      <w:pPr>
        <w:pStyle w:val="ListBullet"/>
      </w:pPr>
      <w:r>
        <w:t>水平扩展：authsphere-server 无状态部署，SSO Session、Token 黑名单、验证码和缓存放入 Redis。</w:t>
      </w:r>
    </w:p>
    <w:p>
      <w:pPr>
        <w:pStyle w:val="ListBullet"/>
      </w:pPr>
      <w:r>
        <w:t>异步处理：审计日志、资源同步、外部状态同步、缓存失效事件通过 MQ 解耦。</w:t>
      </w:r>
    </w:p>
    <w:p>
      <w:pPr>
        <w:spacing w:after="120"/>
      </w:pPr>
      <w:r>
        <w:rPr>
          <w:rFonts w:ascii="Noto Sans CJK SC" w:hAnsi="Noto Sans CJK SC" w:eastAsia="Noto Sans CJK SC"/>
          <w:b w:val="0"/>
        </w:rPr>
        <w:t>第一版建议采用“模块化单体 + 清晰模块边界 + 可水平扩容”的架构。IAM 是安全核心系统，过早拆微服务会增加分布式事务、链路排查、部署运维和一致性复杂度。待并发、团队规模或业务边界稳定后，可将审计、策略、外部同步等模块拆出。</w:t>
      </w:r>
    </w:p>
    <w:p>
      <w:pPr>
        <w:pStyle w:val="Heading2"/>
      </w:pPr>
      <w:r>
        <w:t>16.2 推荐技术栈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层面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推荐选型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原因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后端语言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Java 17 / 21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生态成熟，适合认证授权、安全审计、长期维护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基础框架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Spring Boot 3.x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工程化成熟，便于快速落地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安全框架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Spring Security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认证授权扩展能力强，可接 OAuth2/OIDC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协议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OAuth2 Authorization Code + PKCE，OIDC 风格扩展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适合浏览器端、管理后台和多客户端 SSO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Token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JWT Access Token + 落库 Refresh Token + JWK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兼顾性能和可吊销性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数据库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PostgreSQL 或 MySQL 8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核心关系数据，事务和索引能力足够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缓存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Redis Cluster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Session、验证码、授权码、权限缓存、Token 黑名单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消息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Kafka / RocketMQ / RabbitMQ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外部主数据事件、审计日志异步化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网关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Spring Cloud Gateway / Nginx + Lua / Kong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统一校验 Token、接入鉴权插件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前端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Vue 3 + TypeScript + Element Plus / Ant Design Vue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管理端成熟方案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日志审计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ELK / OpenSearch / ClickHouse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审计量大后独立存储与查询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监控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Prometheus + Grafana + Alertmanager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性能、错误率、Token/登录指标监控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部署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Docker + Kubernetes 或常规容器化部署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支持横向扩容、灰度发布</w:t>
            </w:r>
          </w:p>
        </w:tc>
      </w:tr>
    </w:tbl>
    <w:p/>
    <w:p>
      <w:pPr>
        <w:pStyle w:val="Heading2"/>
      </w:pPr>
      <w:r>
        <w:t>16.3 工程模块划分</w:t>
      </w:r>
    </w:p>
    <w:p>
      <w:pPr/>
      <w:r>
        <w:t>工程模块划分应服务于代码可维护性和后续演进，不代表第一阶段拆分为多个微服务。建议采用多 Maven module / Gradle module 的方式组织代码。</w:t>
      </w:r>
    </w:p>
    <w:p>
      <w:pPr>
        <w:pStyle w:val="ListBullet"/>
      </w:pPr>
      <w:r>
        <w:t>authsphere-server：IAM 服务端主应用，包含认证、账号、主体、权限、策略、会话、审计和集成模块。</w:t>
      </w:r>
    </w:p>
    <w:p>
      <w:pPr>
        <w:pStyle w:val="ListBullet"/>
      </w:pPr>
      <w:r>
        <w:t>authsphere-admin：IAM 管理后台前端或后端 BFF。</w:t>
      </w:r>
    </w:p>
    <w:p>
      <w:pPr>
        <w:pStyle w:val="ListBullet"/>
      </w:pPr>
      <w:r>
        <w:t>authsphere-sdk：基础 Java SDK，封装 OpenAPI、Token 校验、JWK 缓存和上下文模型。</w:t>
      </w:r>
    </w:p>
    <w:p>
      <w:pPr>
        <w:pStyle w:val="ListBullet"/>
      </w:pPr>
      <w:r>
        <w:t>authsphere-spring-boot-starter：业务系统快速接入包，提供过滤器、拦截器、注解和自动配置。</w:t>
      </w:r>
    </w:p>
    <w:p>
      <w:pPr>
        <w:pStyle w:val="ListBullet"/>
      </w:pPr>
      <w:r>
        <w:t>authsphere-gateway-plugin：统一网关鉴权插件。</w:t>
      </w:r>
    </w:p>
    <w:p>
      <w:pPr>
        <w:pStyle w:val="ListBullet"/>
      </w:pPr>
      <w:r>
        <w:t>authsphere-web-sdk：前端登录、回调、菜单、按钮权限和退出能力。</w:t>
      </w:r>
    </w:p>
    <w:p>
      <w:pPr>
        <w:pStyle w:val="CodeBlock"/>
        <w:spacing w:after="120"/>
        <w:ind w:left="216" w:right="216"/>
        <w:shd w:fill="F3F6F9"/>
      </w:pPr>
      <w:r>
        <w:rPr>
          <w:rFonts w:ascii="Noto Sans Mono CJK SC" w:hAnsi="Noto Sans Mono CJK SC" w:eastAsia="Noto Sans Mono CJK SC"/>
          <w:sz w:val="17"/>
        </w:rPr>
        <w:t>iam-server</w:t>
        <w:br/>
        <w:t>├─ iam-auth              认证、登录、Token、SSO</w:t>
        <w:br/>
        <w:t>├─ iam-account           账号、凭证、设备、第三方绑定</w:t>
        <w:br/>
        <w:t>├─ iam-client            OAuth Client、Client-Realm、客户端策略</w:t>
        <w:br/>
        <w:t>├─ iam-subject           主体、主体关系、主体客户端访问</w:t>
        <w:br/>
        <w:t>├─ iam-permission        资源、权限、角色、菜单、API 鉴权</w:t>
        <w:br/>
        <w:t>├─ iam-policy            策略、数据范围、MFA 条件、handler</w:t>
        <w:br/>
        <w:t>├─ iam-integration       外部租户中心、应用中心适配器</w:t>
        <w:br/>
        <w:t>├─ iam-audit             登录日志、操作日志、安全事件</w:t>
        <w:br/>
        <w:t>├─ iam-admin             管理后台 API</w:t>
        <w:br/>
        <w:t>└─ iam-common            通用模型、异常、审计上下文、工具类</w:t>
      </w:r>
    </w:p>
    <w:p>
      <w:pPr>
        <w:pStyle w:val="Heading2"/>
      </w:pPr>
      <w:r>
        <w:t>16.4 私有化部署建议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私有化部署仍保留同一 IAM 模型，不为每个应用单独部署账号系统。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外部租户中心和应用中心可以在私有化环境中是单租户版本，但 IAM 仍通过 ref 模型消费。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配置项需要支持环境隔离：issuer、client redirect、cookie domain、JWK、短信/邮件通道、外部系统地址。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支持初始化脚本一次性创建 Realm、Client、内置类型、默认角色和权限模板。</w:t>
      </w:r>
    </w:p>
    <w:p>
      <w:r>
        <w:br w:type="page"/>
      </w:r>
    </w:p>
    <w:p>
      <w:pPr>
        <w:pStyle w:val="Heading1"/>
      </w:pPr>
      <w:r>
        <w:t>17. 缓存、网关与安全设计</w:t>
      </w:r>
    </w:p>
    <w:p>
      <w:pPr>
        <w:pStyle w:val="Heading2"/>
      </w:pPr>
      <w:r>
        <w:t>17.1 缓存设计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缓存对象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Key 示例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TTL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失效时机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SSO Session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iam:sso:{sessionKey}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2-8 小时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统一登出、踢下线、账号禁用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Authorization Code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iam:code:{code}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1-5 分钟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使用后立即删除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Token 黑名单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iam:token:blacklist:{jti}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到 Token 过期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Token 吊销、账号禁用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权限集合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iam:perm:{subjectId}:{clientId}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1-10 分钟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角色/权限/主体授权变化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菜单树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iam:menu:{subjectId}:{clientId}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5-30 分钟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菜单资源、权限变化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外部引用状态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iam:ref:tenant:{id}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1-10 分钟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外部状态事件更新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验证码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iam:captcha:{scene}:{target}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1-5 分钟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验证成功或过期</w:t>
            </w:r>
          </w:p>
        </w:tc>
      </w:tr>
    </w:tbl>
    <w:p/>
    <w:p>
      <w:pPr>
        <w:pStyle w:val="Heading2"/>
      </w:pPr>
      <w:r>
        <w:t>17.2 网关接入职责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校验 Access Token 签名、过期时间、issuer、audience、jti 黑名单。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根据路由映射 permission_code，调用 IAM 鉴权接口或本地缓存校验。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把 accountId、subjectId、tenantRefId、clientId、requestId 注入下游请求头。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高风险接口必须实时调用 IAM 鉴权，不只依赖本地缓存。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记录网关访问审计，并与业务系统审计通过 requestId 串联。</w:t>
      </w:r>
    </w:p>
    <w:p>
      <w:pPr>
        <w:pStyle w:val="Heading2"/>
      </w:pPr>
      <w:r>
        <w:t>17.3 安全控制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密码使用 Argon2id 或 bcrypt，加盐 Hash，不保存明文。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客户端密钥只存 Hash，支持密钥轮换。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管理后台、支付中心后台等高风险 Client 必须 HTTPS、SameSite Cookie、CSRF 防护、MFA。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授权码必须一次性使用，并启用 PKCE 防止 code 被截获。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Refresh Token 使用旋转刷新机制，发现重放时吊销该账号/设备相关 Token。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所有授权变更必须进入审计日志，关键变更可要求二次确认或审批。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外部事件接口必须做签名校验、时间戳校验、重放保护。</w:t>
      </w:r>
    </w:p>
    <w:p>
      <w:r>
        <w:br w:type="page"/>
      </w:r>
    </w:p>
    <w:p>
      <w:pPr>
        <w:pStyle w:val="Heading1"/>
      </w:pPr>
      <w:r>
        <w:t>18. 开发计划与里程碑</w:t>
      </w:r>
    </w:p>
    <w:p>
      <w:pPr>
        <w:pStyle w:val="Heading2"/>
      </w:pPr>
      <w:r>
        <w:t>18.1 总体阶段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阶段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周期建议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目标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主要交付物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阶段 0：边界与契约冻结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1-2 周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冻结外部租户/应用中心契约、术语、表设计、接口约定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接口契约、ERD、初始化数据、验收用例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阶段 1：IAM 核心登录底座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4-6 周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跑通 Realm、Account、Client、SSO、Token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登录页、账号密码登录、授权码、Token、会话、客户端配置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阶段 2：外部引用与主体模型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4-5 周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接入外部 tenant/app refs，实现 Subject 和 Client 访问授权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tenant_ref/app_ref 同步、Subject、SubjectRelation、SubjectClientAccess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阶段 3：权限、菜单与 API 鉴权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5-6 周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 RBAC、菜单、按钮、接口鉴权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Resource、Permission、Role、菜单接口、access/check、网关插件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阶段 4：数据权限、关系权限、策略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5-7 周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实现数据范围、主体关系、策略中心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DataScope、Policy、关系校验、支付服务商-特约商户场景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阶段 5：安全、审计、上线治理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4-6 周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完善 MFA、审计、监控、灰度、回滚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MFA、日志报表、监控告警、压测、上线手册</w:t>
            </w:r>
          </w:p>
        </w:tc>
      </w:tr>
    </w:tbl>
    <w:p/>
    <w:p>
      <w:pPr>
        <w:pStyle w:val="Heading2"/>
      </w:pPr>
      <w:r>
        <w:t>18.2 阶段 0：边界与契约冻结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任务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输出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验收标准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确认外部租户中心接口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租户/组织/成员查询与事件协议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能通过 Mock 拉取 tenant_ref 和接收租户禁用事件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确认外部应用中心接口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应用/入口/实例查询与事件协议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能通过 Mock 同步 app_ref/app_instance_ref/entry_ref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冻结 Realm/Client/Subject 模型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术语表、ERD、状态机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评审通过，不再混用 Realm 与 Client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初始化数据设计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内置 type_code、Realm、Client、角色模板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初始化脚本可重复执行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验收用例设计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MVP 用例清单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覆盖 zhangsan/lisi/wangwu/libai 场景</w:t>
            </w:r>
          </w:p>
        </w:tc>
      </w:tr>
    </w:tbl>
    <w:p/>
    <w:p>
      <w:pPr>
        <w:pStyle w:val="Heading2"/>
      </w:pPr>
      <w:r>
        <w:t>18.3 阶段 1：IAM 核心登录底座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任务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涉及表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验收标准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身份域管理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iam_realm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可创建平台员工域、租户管理员域、商户域、消费者域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账号与凭证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iam_account, iam_account_credential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可创建账号、设置密码、禁用账号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OAuth Client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iam_oauth_client, iam_client_realm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可注册 saas_admin_web、pay_center_admin_web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授权码与 Token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iam_oauth_code, iam_token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授权码换取 Access/Refresh Token 成功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SSO Session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iam_sso_session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同一 Realm 下跨 Client 免重复登录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登录日志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iam_login_log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成功/失败登录均记录</w:t>
            </w:r>
          </w:p>
        </w:tc>
      </w:tr>
    </w:tbl>
    <w:p/>
    <w:p>
      <w:pPr>
        <w:pStyle w:val="Heading2"/>
      </w:pPr>
      <w:r>
        <w:t>18.4 阶段 2：外部引用与主体模型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任务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涉及表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验收标准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外部租户引用同步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iam_tenant_ref, iam_org_ref, iam_member_ref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租户禁用事件可快速阻断登录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外部应用引用同步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iam_app_ref, iam_app_instance_ref, iam_app_entry_ref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应用实例停用后相关入口不可进入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主体管理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iam_subject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wangwu 可绑定 MALL_MERCHANT 和 PAY_MERCHANT 两个主体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主体客户端授权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iam_subject_client_access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zhangsan 可访问 SaaS 和支付中心两个 Client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主体关系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iam_subject_relation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lisi MANAGE wangwu、PAY_PROVIDER SERVICE PAY_MERCHANT 可表达</w:t>
            </w:r>
          </w:p>
        </w:tc>
      </w:tr>
    </w:tbl>
    <w:p/>
    <w:p>
      <w:pPr>
        <w:pStyle w:val="Heading2"/>
      </w:pPr>
      <w:r>
        <w:t>18.5 阶段 3：权限、菜单与 API 鉴权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任务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涉及表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验收标准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资源注册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iam_resource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可注册菜单、按钮、API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权限定义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iam_permission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权限编码统一为 app:module:resource:action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角色授权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iam_role, iam_role_permission, iam_subject_role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角色可授予主体，权限可按角色返回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菜单接口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iam_resource + role tables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不同主体看到不同菜单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接口鉴权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/access/check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无权限返回 403，有权限返回 allowed=true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网关插件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Redis + IAM API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可拦截受保护 API</w:t>
            </w:r>
          </w:p>
        </w:tc>
      </w:tr>
    </w:tbl>
    <w:p/>
    <w:p>
      <w:pPr>
        <w:pStyle w:val="Heading2"/>
      </w:pPr>
      <w:r>
        <w:t>18.6 阶段 4：数据权限、关系权限、策略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任务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涉及表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验收标准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数据范围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iam_data_scope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wangwu 商城后台只能返回 merchant_id=wangwu 的条件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支付商户数据范围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iam_data_scope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pay_merchant_web 只能返回 pay_merchant_id=当前主体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关系权限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iam_subject_relation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服务商只能管理其 SERVICE 关系下特约商户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策略中心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iam_policy, iam_policy_rule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支付中心敏感操作可要求 MFA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权限模拟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access/check + explain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能返回决策链路和失败原因</w:t>
            </w:r>
          </w:p>
        </w:tc>
      </w:tr>
    </w:tbl>
    <w:p/>
    <w:p>
      <w:pPr>
        <w:pStyle w:val="Heading2"/>
      </w:pPr>
      <w:r>
        <w:t>18.7 阶段 5：外部系统接入中心与 SDK</w:t>
      </w:r>
    </w:p>
    <w:p>
      <w:pPr/>
      <w:r>
        <w:t>目标：让支付、商城、仓储、物流等外部系统不再重复实现账号和权限能力，而是通过统一 SDK / Starter / 网关插件快速接入。</w:t>
      </w:r>
    </w:p>
    <w:p>
      <w:pPr>
        <w:pStyle w:val="ListBullet"/>
      </w:pPr>
      <w:r>
        <w:t>交付 OpenAPI：权限校验、数据范围、菜单权限、资源同步、审计上报。</w:t>
      </w:r>
    </w:p>
    <w:p>
      <w:pPr>
        <w:pStyle w:val="ListBullet"/>
      </w:pPr>
      <w:r>
        <w:t>交付 Java SDK 和 Spring Boot Starter。</w:t>
      </w:r>
    </w:p>
    <w:p>
      <w:pPr>
        <w:pStyle w:val="ListBullet"/>
      </w:pPr>
      <w:r>
        <w:t>交付 Gateway Plugin 最小版本。</w:t>
      </w:r>
    </w:p>
    <w:p>
      <w:pPr>
        <w:pStyle w:val="ListBullet"/>
      </w:pPr>
      <w:r>
        <w:t>交付支付系统接入样例。</w:t>
      </w:r>
    </w:p>
    <w:p>
      <w:pPr>
        <w:pStyle w:val="ListBullet"/>
      </w:pPr>
      <w:r>
        <w:t>交付资源清单 Manifest 同步机制。</w:t>
      </w:r>
    </w:p>
    <w:p>
      <w:pPr>
        <w:pStyle w:val="ListBullet"/>
      </w:pPr>
      <w:r>
        <w:t>交付 SDK 缓存失效与降级策略。</w:t>
      </w:r>
    </w:p>
    <w:p>
      <w:pPr/>
      <w:r>
        <w:t>验收标准：支付系统引入 Starter 后，可以完成 Token 校验、当前登录上下文获取、权限注解校验、DataScope 获取和审计日志上报。</w:t>
      </w:r>
    </w:p>
    <w:p>
      <w:pPr>
        <w:pStyle w:val="Heading2"/>
      </w:pPr>
      <w:r>
        <w:t>18.8 阶段 6：安全、审计与上线治理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任务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输出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验收标准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MFA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TOTP/短信二次验证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支付中心后台强制 MFA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Token 吊销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黑名单 + Refresh Token 旋转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账号禁用后 Token 不可继续访问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审计报表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iam_audit_log, iam_security_event_log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授权变更、角色变更、敏感操作可追溯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监控告警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Prometheus 指标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登录失败率、Token 错误率、外部同步延迟可监控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压测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压测报告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登录、Token 校验、access/check 满足容量目标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上线手册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灰度和回滚方案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可灰度接入一个 Client 后再扩展</w:t>
            </w:r>
          </w:p>
        </w:tc>
      </w:tr>
    </w:tbl>
    <w:p/>
    <w:p>
      <w:pPr>
        <w:pStyle w:val="Heading2"/>
      </w:pPr>
      <w:r>
        <w:t>18.9 MVP 验收用例</w:t>
      </w:r>
    </w:p>
    <w:p>
      <w:pPr>
        <w:pStyle w:val="ListBullet"/>
      </w:pPr>
      <w:r>
        <w:t>支付系统引入 authsphere-spring-boot-starter 后，可在 1 天内完成登录上下文、权限校验和数据范围接入。</w:t>
      </w:r>
    </w:p>
    <w:p>
      <w:pPr>
        <w:pStyle w:val="ListBullet"/>
      </w:pPr>
      <w:r>
        <w:t>支付交易查询接口在 wangwu 登录时自动获取 CURRENT_PAY_MERCHANT 数据范围，并只返回当前 pay_merchant_id 的交易数据。</w:t>
      </w:r>
    </w:p>
    <w:p>
      <w:pPr>
        <w:pStyle w:val="ListBullet"/>
      </w:pPr>
      <w:r>
        <w:t>支付系统发布时可通过 Manifest 同步菜单、按钮和 API 权限资源，IAM 可记录同步批次和失败原因。</w:t>
      </w:r>
    </w:p>
    <w:p>
      <w:pPr>
        <w:pStyle w:val="ListBullet"/>
      </w:pPr>
      <w:r>
        <w:t>角色或主体关系变更后，SDK 本地缓存能在配置 TTL 内失效；高风险变更可通过事件主动失效。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zhangsan 登录 SaaS 后台后，访问支付中心后台无需再次输入账号密码，但会获得 pay_center_admin_web 的独立 Token。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zhangsan 没有支付中心管理员角色时，可登录但访问支付中心接口返回 403。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lisi 登录租户控制台后，只能看到自己租户已开通的商城、支付、仓储入口。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lisi 可以管理自己租户下的 wangwu，但不能管理其他租户的商户。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wangwu 使用同一账号可以进入商家后台和支付商户后台，两个入口对应不同 Subject 和 DataScope。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libai 登录消费者端，只能查看自己的订单和资料。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外部应用中心停用某应用实例后，该实例下所有相关 Client 访问被阻断。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外部租户中心禁用租户后，该租户下管理员、商户、消费者的相关访问被阻断。</w:t>
      </w:r>
    </w:p>
    <w:p>
      <w:r>
        <w:br w:type="page"/>
      </w:r>
    </w:p>
    <w:p>
      <w:pPr>
        <w:pStyle w:val="Heading1"/>
      </w:pPr>
      <w:r>
        <w:t>19. 测试、验收、上线与回滚</w:t>
      </w:r>
    </w:p>
    <w:p>
      <w:pPr>
        <w:pStyle w:val="Heading2"/>
      </w:pPr>
      <w:r>
        <w:t>19.1 测试类型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测试类型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重点覆盖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单元测试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密码校验、Token 签发、权限匹配、DataScope handler、Policy handler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集成测试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外部租户/应用中心 Mock、事件同步、网关鉴权、Token 刷新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安全测试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越权、CSRF、重放、授权码截获、Refresh Token 重用、弱密码、暴力破解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性能测试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登录峰值、Token 校验 QPS、access/check QPS、权限缓存命中率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一致性测试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外部禁用事件快速生效、旧版本事件不覆盖新状态、对账修复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回归测试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新增应用、新增 Client、新增 Realm、新增主体类型不影响已有登录</w:t>
            </w:r>
          </w:p>
        </w:tc>
      </w:tr>
    </w:tbl>
    <w:p/>
    <w:p>
      <w:pPr>
        <w:pStyle w:val="Heading2"/>
      </w:pPr>
      <w:r>
        <w:t>19.2 上线顺序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先接入一个低风险内部 Client，例如 SaaS 后台灰度环境。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接入平台员工 Realm，验证账号密码登录、SSO、Token、菜单、接口鉴权。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接入支付中心后台，但先只开放少量管理员，验证 MFA 和高风险接口鉴权。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接入租户管理员 Realm 和 tenant_console_web，验证外部租户引用。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接入商城平台端、商家后台和支付商户后台，验证主体和数据范围。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消费者端最后接入，重点验证高并发、验证码和注册策略。</w:t>
      </w:r>
    </w:p>
    <w:p>
      <w:pPr>
        <w:pStyle w:val="Heading2"/>
      </w:pPr>
      <w:r>
        <w:t>19.3 回滚策略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业务系统保留旧登录入口的灰度开关，初期支持按 Client 或租户切回旧鉴权方式。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IAM 变更数据库使用可回滚 Migration，不做破坏性字段删除。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Token 签名密钥轮换保留旧 JWK 一段时间，避免灰度期间旧 Token 全部失效。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外部同步事件处理支持暂停消费、重放和死信修复。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上线前导出权限配置和客户端配置快照，出现问题可恢复到上一版本。</w:t>
      </w:r>
    </w:p>
    <w:p>
      <w:r>
        <w:br w:type="page"/>
      </w:r>
    </w:p>
    <w:p>
      <w:pPr>
        <w:pStyle w:val="Heading1"/>
      </w:pPr>
      <w:r>
        <w:t>20. 风险、治理与演进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风险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表现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治理建议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边界不清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IAM 又开始维护租户/应用主数据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严格使用 ref 表；创建/开通动作回到外部系统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Realm 与 Client 混淆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每个后台建一个身份域，导致 SSO 割裂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Realm 按账号空间划分，Client 按入口划分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权限过度塞 Token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Token 过大、权限变更不及时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Token 只放上下文，权限走缓存或鉴权接口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外部禁用不及时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租户/应用停用后仍可访问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安全事件推送 + 缓存主动失效 + 高风险实时校验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业务系统绕过 IAM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前端隐藏菜单但后端不校验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网关/后端强制鉴权，敏感接口实时校验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策略过度复杂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表达式不可维护、性能差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先用 handler + 常见条件，后续再引入表达式引擎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审计缺失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问题无法追溯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所有授权变更和敏感操作必须记录 requestId、operator、before/after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私有化差异失控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每个客户魔改 IAM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通过配置、Realm、Client、类型项和策略扩展，不改核心模型</w:t>
            </w:r>
          </w:p>
        </w:tc>
      </w:tr>
    </w:tbl>
    <w:p/>
    <w:p>
      <w:pPr>
        <w:pStyle w:val="Heading2"/>
      </w:pPr>
      <w:r>
        <w:t>20.1 演进路线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短期：完成统一登录、SSO、基础 RBAC、主体、外部引用和审计。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中期：完善数据权限、关系权限、MFA、权限模拟、网关插件和审计报表。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长期：接入外部 IdP、SAML/OIDC Provider 标准化、风险引擎、权限审批、自动化合规报表。</w:t>
      </w:r>
    </w:p>
    <w:p>
      <w:r>
        <w:br w:type="page"/>
      </w:r>
    </w:p>
    <w:p>
      <w:pPr>
        <w:pStyle w:val="Heading1"/>
      </w:pPr>
      <w:r>
        <w:t>21. 附录：初始化配置与关键 DDL 摘要</w:t>
      </w:r>
    </w:p>
    <w:p>
      <w:pPr>
        <w:pStyle w:val="Heading2"/>
      </w:pPr>
      <w:r>
        <w:t>21.1 初始化 Realm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realm_code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名称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策略建议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PLATFORM_STAFF_REALM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平台内部员工域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不开放注册；强密码；支付中心后台强制 MFA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TENANT_ADMIN_REALM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租户管理员域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平台邀请或外部租户中心同步；支持密码/短信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MERCHANT_REALM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商户域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租户邀请或商户入驻；支持手机号登录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CONSUMER_REALM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消费者域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允许前台注册；支持手机号/第三方登录扩展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PRIVATE_REALM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私有化/私域身份域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按私有化客户独立配置登录页和策略</w:t>
            </w:r>
          </w:p>
        </w:tc>
      </w:tr>
    </w:tbl>
    <w:p/>
    <w:p>
      <w:pPr>
        <w:pStyle w:val="Heading2"/>
      </w:pPr>
      <w:r>
        <w:t>21.2 初始化 Client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client_id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名称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允许 Realm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saas_admin_web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SaaS 后台管理端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PLATFORM_STAFF_REALM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平台内部后台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pay_center_admin_web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支付中心后台管理端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PLATFORM_STAFF_REALM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高风险后台，建议强制 MFA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tenant_console_web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租户控制台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TENANT_ADMIN_REALM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租户管理员入口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mall_platform_web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商城平台端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TENANT_ADMIN_REALM, PLATFORM_STAFF_REALM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租户管理或平台监管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pay_provider_web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支付服务商后台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TENANT_ADMIN_REALM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支付服务商管理入口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merchant_console_web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商家后台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MERCHANT_REALM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商城商户入口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pay_merchant_web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支付商户后台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MERCHANT_REALM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特约支付商户入口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consumer_h5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消费者端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CONSUMER_REALM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消费者入口</w:t>
            </w:r>
          </w:p>
        </w:tc>
      </w:tr>
    </w:tbl>
    <w:p/>
    <w:p>
      <w:pPr>
        <w:pStyle w:val="Heading2"/>
      </w:pPr>
      <w:r>
        <w:t>21.3 初始化系统内置类型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category_code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type_code 示例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RESOURCE_TYPE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MENU, PAGE, BUTTON, API, FIELD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DATA_SCOPE_TYPE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ALL_PLATFORM, CURRENT_TENANT, CURRENT_APP_INSTANCE, CURRENT_MERCHANT, CURRENT_PAY_MERCHANT, SELF, CUSTOM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SUBJECT_TYPE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PLATFORM_STAFF, TENANT_ADMIN, MALL_MERCHANT, PAY_PROVIDER, PAY_MERCHANT, CONSUMER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RELATION_TYPE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MANAGE, OWN, BELONG, SERVICE, AGENT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APP_ENTRY_TYPE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PLATFORM, TENANT_ADMIN, MERCHANT, CONSUMER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ROLE_TYPE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PLATFORM, TENANT, APP, MERCHANT, CONSUMER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POLICY_TYPE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LOGIN, ACCESS, DATA, MFA, RELATION</w:t>
            </w:r>
          </w:p>
        </w:tc>
      </w:tr>
    </w:tbl>
    <w:p/>
    <w:p>
      <w:pPr>
        <w:pStyle w:val="Heading2"/>
      </w:pPr>
      <w:r>
        <w:t>21.4 关键 DDL 摘要</w:t>
      </w:r>
    </w:p>
    <w:p>
      <w:pPr>
        <w:pStyle w:val="CodeBlock"/>
        <w:spacing w:after="120"/>
        <w:ind w:left="216" w:right="216"/>
        <w:shd w:fill="F3F6F9"/>
      </w:pPr>
      <w:r>
        <w:rPr>
          <w:rFonts w:ascii="Noto Sans Mono CJK SC" w:hAnsi="Noto Sans Mono CJK SC" w:eastAsia="Noto Sans Mono CJK SC"/>
          <w:sz w:val="17"/>
        </w:rPr>
        <w:t>CREATE TABLE iam_client_realm (</w:t>
        <w:br/>
        <w:t xml:space="preserve">  id varchar(64) PRIMARY KEY,</w:t>
        <w:br/>
        <w:t xml:space="preserve">  client_id varchar(64) NOT NULL,</w:t>
        <w:br/>
        <w:t xml:space="preserve">  realm_id varchar(64) NOT NULL,</w:t>
        <w:br/>
        <w:t xml:space="preserve">  login_enabled boolean NOT NULL DEFAULT true,</w:t>
        <w:br/>
        <w:t xml:space="preserve">  default_subject_type_code varchar(100),</w:t>
        <w:br/>
        <w:t xml:space="preserve">  login_policy_json json,</w:t>
        <w:br/>
        <w:t xml:space="preserve">  status varchar(32) NOT NULL,</w:t>
        <w:br/>
        <w:t xml:space="preserve">  created_at datetime NOT NULL,</w:t>
        <w:br/>
        <w:t xml:space="preserve">  updated_at datetime NOT NULL,</w:t>
        <w:br/>
        <w:t xml:space="preserve">  UNIQUE (client_id, realm_id)</w:t>
        <w:br/>
        <w:t>);</w:t>
        <w:br/>
        <w:br/>
        <w:t>CREATE TABLE iam_subject_client_access (</w:t>
        <w:br/>
        <w:t xml:space="preserve">  id varchar(64) PRIMARY KEY,</w:t>
        <w:br/>
        <w:t xml:space="preserve">  subject_id varchar(64) NOT NULL,</w:t>
        <w:br/>
        <w:t xml:space="preserve">  client_id varchar(64) NOT NULL,</w:t>
        <w:br/>
        <w:t xml:space="preserve">  tenant_ref_id varchar(64),</w:t>
        <w:br/>
        <w:t xml:space="preserve">  app_ref_id varchar(64),</w:t>
        <w:br/>
        <w:t xml:space="preserve">  app_instance_ref_id varchar(64),</w:t>
        <w:br/>
        <w:t xml:space="preserve">  grant_type_code varchar(100),</w:t>
        <w:br/>
        <w:t xml:space="preserve">  granted_by varchar(64),</w:t>
        <w:br/>
        <w:t xml:space="preserve">  granted_at datetime,</w:t>
        <w:br/>
        <w:t xml:space="preserve">  expired_at datetime,</w:t>
        <w:br/>
        <w:t xml:space="preserve">  status varchar(32) NOT NULL,</w:t>
        <w:br/>
        <w:t xml:space="preserve">  created_at datetime NOT NULL,</w:t>
        <w:br/>
        <w:t xml:space="preserve">  updated_at datetime NOT NULL,</w:t>
        <w:br/>
        <w:t xml:space="preserve">  UNIQUE (subject_id, client_id, app_instance_ref_id)</w:t>
        <w:br/>
        <w:t>);</w:t>
      </w:r>
    </w:p>
    <w:p>
      <w:pPr>
        <w:pStyle w:val="Heading2"/>
      </w:pPr>
      <w:r>
        <w:t>21.5 最终结论</w:t>
      </w:r>
    </w:p>
    <w:p>
      <w:pPr>
        <w:spacing w:after="120"/>
      </w:pPr>
      <w:r>
        <w:rPr>
          <w:rFonts w:ascii="Noto Sans CJK SC" w:hAnsi="Noto Sans CJK SC" w:eastAsia="Noto Sans CJK SC"/>
          <w:b w:val="0"/>
        </w:rPr>
        <w:t>本方案的核心不是做一个“用户表 + 角色表”的简单登录系统，而是构建一个围绕外部租户中心、外部应用中心之上的统一认证授权底座。IAM 不抢主数据，只负责身份、认证、会话、主体、权限、数据范围、策略和审计。这样既能支持当前 SaaS 后台、支付中心、商城、商家后台、支付商户后台，也能支持后续仓储、物流、私域商城和私有化部署。</w:t>
      </w:r>
    </w:p>
    <w:p/>
    <w:p/>
    <w:p/>
    <w:p/>
    <w:p/>
    <w:p/>
    <w:p/>
    <w:p/>
    <w:p/>
    <w:p/>
    <w:p/>
    <w:p/>
    <w:p/>
    <w:p/>
    <w:p/>
    <w:p/>
    <w:sectPr w:rsidR="00FC693F" w:rsidRPr="0006063C" w:rsidSect="00034616">
      <w:footerReference w:type="default" r:id="rId12"/>
      <w:footerReference w:type="first" r:id="rId13"/>
      <w:footerReference w:type="even" r:id="rId14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自研 IAM 认证授权中心综合整理版 v4.1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437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4B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85A8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Noto Sans Mono CJK SC" w:hAnsi="Noto Sans Mono CJK SC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自研 IAM 认证授权中心综合整理版 v4.1 详细设计与开发计划</dc:title>
  <dc:subject>AuthSphere IAM design with external system access, SDK, Starter and gateway plugin</dc:subject>
  <dc:creator>python-docx</dc:creator>
  <cp:keywords/>
  <dc:description>v4.1 integrated version with modular monolith and external system integration center.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