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6A681" w14:textId="77777777" w:rsidR="00292222" w:rsidRDefault="00000000">
      <w:pPr>
        <w:spacing w:after="80"/>
        <w:jc w:val="center"/>
      </w:pPr>
      <w:r>
        <w:rPr>
          <w:b/>
          <w:bCs/>
          <w:color w:val="1E7F4F"/>
        </w:rPr>
        <w:t>ÉTUDE DE CAS ― SPOTIFY</w:t>
      </w:r>
    </w:p>
    <w:p w14:paraId="004E9CB3" w14:textId="77777777" w:rsidR="00292222" w:rsidRDefault="00000000">
      <w:pPr>
        <w:spacing w:after="80"/>
        <w:jc w:val="center"/>
      </w:pPr>
      <w:r>
        <w:rPr>
          <w:b/>
          <w:bCs/>
          <w:color w:val="1E7F4F"/>
        </w:rPr>
        <w:t>LIVRABLE 2</w:t>
      </w:r>
    </w:p>
    <w:p w14:paraId="62DE3FD7" w14:textId="77777777" w:rsidR="00292222" w:rsidRDefault="00000000">
      <w:pPr>
        <w:spacing w:after="80"/>
        <w:jc w:val="center"/>
      </w:pPr>
      <w:r>
        <w:rPr>
          <w:b/>
          <w:bCs/>
          <w:sz w:val="36"/>
          <w:szCs w:val="36"/>
        </w:rPr>
        <w:t>Politique de gouvernance des données et de l'IA</w:t>
      </w:r>
    </w:p>
    <w:p w14:paraId="0343F985" w14:textId="77777777" w:rsidR="00292222" w:rsidRDefault="00000000">
      <w:pPr>
        <w:spacing w:after="80"/>
        <w:jc w:val="center"/>
      </w:pPr>
      <w:r>
        <w:rPr>
          <w:color w:val="5F6B66"/>
        </w:rPr>
        <w:t>Certification RNCP 41993 – Adrien COSSON</w:t>
      </w:r>
    </w:p>
    <w:p w14:paraId="61C82015" w14:textId="77777777" w:rsidR="00292222" w:rsidRDefault="00000000">
      <w:pPr>
        <w:pBdr>
          <w:bottom w:val="single" w:sz="6" w:space="8" w:color="C9D3CE"/>
        </w:pBdr>
        <w:spacing w:after="240"/>
        <w:jc w:val="center"/>
      </w:pPr>
      <w:r>
        <w:rPr>
          <w:color w:val="5F6B66"/>
        </w:rPr>
        <w:t>Bloc 1 - Concevoir et piloter la gouvernance des données et des systèmes d'IA</w:t>
      </w:r>
    </w:p>
    <w:p w14:paraId="5583AB62" w14:textId="77777777" w:rsidR="00292222" w:rsidRDefault="00000000">
      <w:pPr>
        <w:pStyle w:val="Titre1"/>
        <w:keepNext/>
        <w:spacing w:before="220" w:after="100"/>
      </w:pPr>
      <w:r>
        <w:t>1. Introduction</w:t>
      </w:r>
    </w:p>
    <w:p w14:paraId="3752B2B5" w14:textId="4E536937" w:rsidR="00292222" w:rsidRDefault="00000000">
      <w:pPr>
        <w:spacing w:after="100" w:line="264" w:lineRule="auto"/>
      </w:pPr>
      <w:r>
        <w:t>Le diagnostic de maturité (Livrable 1) a évalué la maturité de Spotify à environ 2,</w:t>
      </w:r>
      <w:r w:rsidR="00EE3362">
        <w:t>7</w:t>
      </w:r>
      <w:r>
        <w:t xml:space="preserve"> sur 5. L'entreprise exploite très bien ses données, mais n'a pas de cadre de gouvernance commun : chaque département gère ses propres données avec ses propres règles. Il en résulte des silos, des problèmes de qualité et des difficultés à respecter les réglementations, comme l'a montré la sanction de l'autorité suédoise (IMY) en 2023.</w:t>
      </w:r>
    </w:p>
    <w:p w14:paraId="7A9E9700" w14:textId="77777777" w:rsidR="00292222" w:rsidRDefault="00000000">
      <w:pPr>
        <w:spacing w:after="100" w:line="264" w:lineRule="auto"/>
      </w:pPr>
      <w:r>
        <w:t xml:space="preserve">Cette politique de gouvernance pose les règles communes à toute l'entreprise. Son objectif est que les données de Spotify soient </w:t>
      </w:r>
      <w:r>
        <w:rPr>
          <w:b/>
          <w:bCs/>
        </w:rPr>
        <w:t>fiables, conformes, protégées et accessibles</w:t>
      </w:r>
      <w:r>
        <w:t xml:space="preserve"> aux bonnes personnes. Elle répond directement aux sept défis (C1 à C7) identifiés dans le Livrable 1. Sa mise en œuvre concrète (pilote, outils, calendrier) est décrite dans le plan de mise en œuvre (Livrable 3).</w:t>
      </w:r>
    </w:p>
    <w:p w14:paraId="3113E59E" w14:textId="77777777" w:rsidR="00292222" w:rsidRDefault="00000000">
      <w:pPr>
        <w:pStyle w:val="Titre1"/>
        <w:keepNext/>
        <w:spacing w:before="220" w:after="100"/>
      </w:pPr>
      <w:r>
        <w:t>2. Périmètre et statut de la politique</w:t>
      </w:r>
    </w:p>
    <w:p w14:paraId="635CB9BC" w14:textId="77777777" w:rsidR="00292222" w:rsidRDefault="00000000">
      <w:pPr>
        <w:spacing w:after="100" w:line="264" w:lineRule="auto"/>
      </w:pPr>
      <w:r>
        <w:t xml:space="preserve">La politique s'applique à </w:t>
      </w:r>
      <w:r>
        <w:rPr>
          <w:b/>
          <w:bCs/>
        </w:rPr>
        <w:t>toutes les données</w:t>
      </w:r>
      <w:r>
        <w:t xml:space="preserve"> collectées ou traitées par Spotify, ses filiales et ses sous-traitants, dans les plus de 180 pays où l'entreprise opère : données des utilisateurs (profil, historique d'écoute), métadonnées des titres et des podcasts, données marketing et publicitaires, données d'abonnement et de facturation, ainsi que les données internes (RH, finance).</w:t>
      </w:r>
    </w:p>
    <w:p w14:paraId="774E4B3E" w14:textId="77777777" w:rsidR="00292222" w:rsidRDefault="00000000">
      <w:pPr>
        <w:spacing w:after="100" w:line="264" w:lineRule="auto"/>
      </w:pPr>
      <w:r>
        <w:t>Elle est validée par le Comité de gouvernance des données et s'impose à tous les collaborateurs. Elle est revue une fois par an, ou plus tôt en cas de changement réglementaire important (par exemple l'entrée en application d'une nouvelle loi).</w:t>
      </w:r>
    </w:p>
    <w:p w14:paraId="11A98396" w14:textId="77777777" w:rsidR="00292222" w:rsidRDefault="00000000">
      <w:pPr>
        <w:pStyle w:val="Titre1"/>
        <w:keepNext/>
        <w:spacing w:before="220" w:after="100"/>
      </w:pPr>
      <w:r>
        <w:t>3. Classification des données</w:t>
      </w:r>
    </w:p>
    <w:p w14:paraId="2F29C0EC" w14:textId="77777777" w:rsidR="00292222" w:rsidRDefault="00000000">
      <w:pPr>
        <w:spacing w:after="100" w:line="264" w:lineRule="auto"/>
      </w:pPr>
      <w:r>
        <w:t>La première règle de la politique est de classer chaque jeu de données selon sa sensibilité. Ce niveau est indiqué par une étiquette (tag) dans le Data Catalogue. C'est cette étiquette qui détermine ensuite qui peut accéder à la donnée, combien de temps elle est conservée et si elle peut être partagée. Quatre niveaux sont définis :</w:t>
      </w:r>
    </w:p>
    <w:p w14:paraId="6FDAF6BF" w14:textId="77777777" w:rsidR="00292222" w:rsidRDefault="00000000">
      <w:pPr>
        <w:pStyle w:val="Paragraphedeliste"/>
        <w:numPr>
          <w:ilvl w:val="0"/>
          <w:numId w:val="2"/>
        </w:numPr>
        <w:spacing w:after="50" w:line="252" w:lineRule="auto"/>
      </w:pPr>
      <w:r>
        <w:rPr>
          <w:b/>
          <w:bCs/>
        </w:rPr>
        <w:t>Public :</w:t>
      </w:r>
      <w:r>
        <w:t xml:space="preserve"> données déjà visibles par tous, comme le catalogue de titres ou les playlists publiques. Aucune restriction.</w:t>
      </w:r>
    </w:p>
    <w:p w14:paraId="3E38F57F" w14:textId="77777777" w:rsidR="00292222" w:rsidRDefault="00000000">
      <w:pPr>
        <w:pStyle w:val="Paragraphedeliste"/>
        <w:numPr>
          <w:ilvl w:val="0"/>
          <w:numId w:val="2"/>
        </w:numPr>
        <w:spacing w:after="50" w:line="252" w:lineRule="auto"/>
      </w:pPr>
      <w:r>
        <w:rPr>
          <w:b/>
          <w:bCs/>
        </w:rPr>
        <w:t>Interne :</w:t>
      </w:r>
      <w:r>
        <w:t xml:space="preserve"> données réservées aux collaborateurs, comme les indicateurs agrégés ou les tableaux de bord. Accès libre en interne, en libre-service.</w:t>
      </w:r>
    </w:p>
    <w:p w14:paraId="2A2EE992" w14:textId="77777777" w:rsidR="00292222" w:rsidRDefault="00000000">
      <w:pPr>
        <w:pStyle w:val="Paragraphedeliste"/>
        <w:numPr>
          <w:ilvl w:val="0"/>
          <w:numId w:val="2"/>
        </w:numPr>
        <w:spacing w:after="50" w:line="252" w:lineRule="auto"/>
      </w:pPr>
      <w:r>
        <w:rPr>
          <w:b/>
          <w:bCs/>
        </w:rPr>
        <w:t>Confidentiel :</w:t>
      </w:r>
      <w:r>
        <w:t xml:space="preserve"> données personnelles des utilisateurs, comme l'historique d'écoute, le profil ou les segments marketing. Accès uniquement sur justification, données pseudonymisées pour les analyses et durée de conservation limitée.</w:t>
      </w:r>
    </w:p>
    <w:p w14:paraId="64C3571C" w14:textId="77777777" w:rsidR="00292222" w:rsidRDefault="00000000">
      <w:pPr>
        <w:pStyle w:val="Paragraphedeliste"/>
        <w:numPr>
          <w:ilvl w:val="0"/>
          <w:numId w:val="2"/>
        </w:numPr>
        <w:spacing w:after="50" w:line="252" w:lineRule="auto"/>
      </w:pPr>
      <w:r>
        <w:rPr>
          <w:b/>
          <w:bCs/>
        </w:rPr>
        <w:t>Restreint :</w:t>
      </w:r>
      <w:r>
        <w:t xml:space="preserve"> données les plus sensibles, comme les données de paiement, les données sensibles au sens du RGPD (article 9) ou les données de mineurs. Accès nominatif et tracé, chiffrement obligatoire et aucun export sans l'accord du DPO.</w:t>
      </w:r>
    </w:p>
    <w:p w14:paraId="34F1BB8B" w14:textId="77777777" w:rsidR="00292222" w:rsidRDefault="00000000">
      <w:pPr>
        <w:pStyle w:val="Titre1"/>
        <w:keepNext/>
        <w:spacing w:before="220" w:after="100"/>
      </w:pPr>
      <w:r>
        <w:t>4. Principes de gouvernance</w:t>
      </w:r>
    </w:p>
    <w:p w14:paraId="38B48C54" w14:textId="77777777" w:rsidR="00292222" w:rsidRDefault="00000000">
      <w:pPr>
        <w:spacing w:after="100" w:line="264" w:lineRule="auto"/>
      </w:pPr>
      <w:r>
        <w:t>La politique repose sur huit principes. Pour que chacun puisse être contrôlé lors d'un audit, il est associé à une règle concrète et au défi du Livrable 1 auquel il répond.</w:t>
      </w:r>
    </w:p>
    <w:p w14:paraId="01783B46" w14:textId="77777777" w:rsidR="00292222" w:rsidRDefault="00000000">
      <w:pPr>
        <w:keepNext/>
        <w:spacing w:before="160" w:after="60"/>
      </w:pPr>
      <w:r>
        <w:rPr>
          <w:b/>
          <w:bCs/>
          <w:color w:val="191414"/>
          <w:sz w:val="22"/>
          <w:szCs w:val="22"/>
        </w:rPr>
        <w:t>P1 ― Redevabilité (C1, C3)</w:t>
      </w:r>
    </w:p>
    <w:p w14:paraId="7C86AE37" w14:textId="77777777" w:rsidR="00292222" w:rsidRDefault="00000000">
      <w:pPr>
        <w:spacing w:after="100" w:line="264" w:lineRule="auto"/>
      </w:pPr>
      <w:r>
        <w:rPr>
          <w:b/>
          <w:bCs/>
        </w:rPr>
        <w:t>Principe :</w:t>
      </w:r>
      <w:r>
        <w:t xml:space="preserve"> chaque donnée a un responsable clairement identifié.</w:t>
      </w:r>
    </w:p>
    <w:p w14:paraId="55D66041" w14:textId="77777777" w:rsidR="00292222" w:rsidRDefault="00000000">
      <w:pPr>
        <w:pStyle w:val="Paragraphedeliste"/>
        <w:numPr>
          <w:ilvl w:val="0"/>
          <w:numId w:val="2"/>
        </w:numPr>
        <w:spacing w:after="50" w:line="252" w:lineRule="auto"/>
      </w:pPr>
      <w:r>
        <w:rPr>
          <w:b/>
          <w:bCs/>
        </w:rPr>
        <w:t>Règle appliquée :</w:t>
      </w:r>
      <w:r>
        <w:t xml:space="preserve"> chaque jeu de données critique a un Data Owner et un Data Steward nommés dans le Data Catalogue. Un jeu de données sans responsable ne peut pas être mis en production.</w:t>
      </w:r>
    </w:p>
    <w:p w14:paraId="1C376EC3" w14:textId="77777777" w:rsidR="00292222" w:rsidRDefault="00000000">
      <w:pPr>
        <w:keepNext/>
        <w:spacing w:before="160" w:after="60"/>
      </w:pPr>
      <w:r>
        <w:rPr>
          <w:b/>
          <w:bCs/>
          <w:color w:val="191414"/>
          <w:sz w:val="22"/>
          <w:szCs w:val="22"/>
        </w:rPr>
        <w:lastRenderedPageBreak/>
        <w:t>P2 ― Droits des utilisateurs dès la conception (C1, C2)</w:t>
      </w:r>
    </w:p>
    <w:p w14:paraId="15A0FDD1" w14:textId="77777777" w:rsidR="00292222" w:rsidRDefault="00000000">
      <w:pPr>
        <w:spacing w:after="100" w:line="264" w:lineRule="auto"/>
      </w:pPr>
      <w:r>
        <w:rPr>
          <w:b/>
          <w:bCs/>
        </w:rPr>
        <w:t>Principe :</w:t>
      </w:r>
      <w:r>
        <w:t xml:space="preserve"> un utilisateur doit pouvoir obtenir, corriger ou supprimer toutes ses données, quel que soit le système où elles sont stockées.</w:t>
      </w:r>
    </w:p>
    <w:p w14:paraId="5C35FFA2" w14:textId="77777777" w:rsidR="00292222" w:rsidRDefault="00000000">
      <w:pPr>
        <w:pStyle w:val="Paragraphedeliste"/>
        <w:numPr>
          <w:ilvl w:val="0"/>
          <w:numId w:val="2"/>
        </w:numPr>
        <w:spacing w:after="50" w:line="252" w:lineRule="auto"/>
      </w:pPr>
      <w:r>
        <w:rPr>
          <w:b/>
          <w:bCs/>
        </w:rPr>
        <w:t>Règle appliquée :</w:t>
      </w:r>
      <w:r>
        <w:t xml:space="preserve"> tout nouveau système qui stocke des données personnelles doit être relié à l'identifiant utilisateur commun et permettre d'exporter et de supprimer ces données automatiquement. C'est une condition pour être mis en production. Ce principe répond directement au motif de la sanction de 2023.</w:t>
      </w:r>
    </w:p>
    <w:p w14:paraId="1E9CD959" w14:textId="77777777" w:rsidR="00292222" w:rsidRDefault="00000000">
      <w:pPr>
        <w:keepNext/>
        <w:spacing w:before="160" w:after="60"/>
      </w:pPr>
      <w:r>
        <w:rPr>
          <w:b/>
          <w:bCs/>
          <w:color w:val="191414"/>
          <w:sz w:val="22"/>
          <w:szCs w:val="22"/>
        </w:rPr>
        <w:t>P3 ― Protection de la vie privée dès la conception (C2)</w:t>
      </w:r>
    </w:p>
    <w:p w14:paraId="024AE99A" w14:textId="77777777" w:rsidR="00292222" w:rsidRDefault="00000000">
      <w:pPr>
        <w:spacing w:after="100" w:line="264" w:lineRule="auto"/>
      </w:pPr>
      <w:r>
        <w:rPr>
          <w:b/>
          <w:bCs/>
        </w:rPr>
        <w:t>Principe :</w:t>
      </w:r>
      <w:r>
        <w:t xml:space="preserve"> on ne collecte que les données nécessaires, pour une finalité claire.</w:t>
      </w:r>
    </w:p>
    <w:p w14:paraId="0EF06A40" w14:textId="77777777" w:rsidR="00292222" w:rsidRDefault="00000000">
      <w:pPr>
        <w:pStyle w:val="Paragraphedeliste"/>
        <w:numPr>
          <w:ilvl w:val="0"/>
          <w:numId w:val="2"/>
        </w:numPr>
        <w:spacing w:after="50" w:line="252" w:lineRule="auto"/>
      </w:pPr>
      <w:r>
        <w:rPr>
          <w:b/>
          <w:bCs/>
        </w:rPr>
        <w:t>Règle appliquée :</w:t>
      </w:r>
      <w:r>
        <w:t xml:space="preserve"> chaque collecte a une finalité et une base légale inscrites au registre des traitements. Une analyse d'impact (DPIA) est obligatoire pour tout traitement à risque. Les données sont pseudonymisées par défaut pour les analyses.</w:t>
      </w:r>
    </w:p>
    <w:p w14:paraId="3828E0A9" w14:textId="77777777" w:rsidR="00292222" w:rsidRDefault="00000000">
      <w:pPr>
        <w:keepNext/>
        <w:spacing w:before="160" w:after="60"/>
      </w:pPr>
      <w:r>
        <w:rPr>
          <w:b/>
          <w:bCs/>
          <w:color w:val="191414"/>
          <w:sz w:val="22"/>
          <w:szCs w:val="22"/>
        </w:rPr>
        <w:t>P4 ― Qualité contractualisée (C4)</w:t>
      </w:r>
    </w:p>
    <w:p w14:paraId="133F81D9" w14:textId="77777777" w:rsidR="00292222" w:rsidRDefault="00000000">
      <w:pPr>
        <w:spacing w:after="100" w:line="264" w:lineRule="auto"/>
      </w:pPr>
      <w:r>
        <w:rPr>
          <w:b/>
          <w:bCs/>
        </w:rPr>
        <w:t>Principe :</w:t>
      </w:r>
      <w:r>
        <w:t xml:space="preserve"> une équipe qui partage des données s'engage sur leur qualité.</w:t>
      </w:r>
    </w:p>
    <w:p w14:paraId="06651C21" w14:textId="77777777" w:rsidR="00292222" w:rsidRDefault="00000000">
      <w:pPr>
        <w:pStyle w:val="Paragraphedeliste"/>
        <w:numPr>
          <w:ilvl w:val="0"/>
          <w:numId w:val="2"/>
        </w:numPr>
        <w:spacing w:after="50" w:line="252" w:lineRule="auto"/>
      </w:pPr>
      <w:r>
        <w:rPr>
          <w:b/>
          <w:bCs/>
        </w:rPr>
        <w:t>Règle appliquée :</w:t>
      </w:r>
      <w:r>
        <w:t xml:space="preserve"> chaque jeu de données partagé est accompagné d'un data contract, c'est-à-dire un document qui décrit son contenu, ses définitions et ses seuils de qualité (complétude, exactitude, fraîcheur, absence de doublons). Les contrôles sont automatisés et une alerte est déclenchée en cas de non-respect.</w:t>
      </w:r>
    </w:p>
    <w:p w14:paraId="6FF4DD9A" w14:textId="77777777" w:rsidR="00292222" w:rsidRDefault="00000000">
      <w:pPr>
        <w:keepNext/>
        <w:spacing w:before="160" w:after="60"/>
      </w:pPr>
      <w:r>
        <w:rPr>
          <w:b/>
          <w:bCs/>
          <w:color w:val="191414"/>
          <w:sz w:val="22"/>
          <w:szCs w:val="22"/>
        </w:rPr>
        <w:t>P5 ― Documentation des données (C3)</w:t>
      </w:r>
    </w:p>
    <w:p w14:paraId="1FE63EF4" w14:textId="77777777" w:rsidR="00292222" w:rsidRDefault="00000000">
      <w:pPr>
        <w:spacing w:after="100" w:line="264" w:lineRule="auto"/>
      </w:pPr>
      <w:r>
        <w:rPr>
          <w:b/>
          <w:bCs/>
        </w:rPr>
        <w:t>Principe :</w:t>
      </w:r>
      <w:r>
        <w:t xml:space="preserve"> une donnée qui n'est pas documentée ne peut pas être gouvernée.</w:t>
      </w:r>
    </w:p>
    <w:p w14:paraId="5F09E098" w14:textId="77777777" w:rsidR="00292222" w:rsidRDefault="00000000">
      <w:pPr>
        <w:pStyle w:val="Paragraphedeliste"/>
        <w:numPr>
          <w:ilvl w:val="0"/>
          <w:numId w:val="2"/>
        </w:numPr>
        <w:spacing w:after="50" w:line="252" w:lineRule="auto"/>
      </w:pPr>
      <w:r>
        <w:rPr>
          <w:b/>
          <w:bCs/>
        </w:rPr>
        <w:t>Règle appliquée :</w:t>
      </w:r>
      <w:r>
        <w:t xml:space="preserve"> chaque jeu de données est décrit dans le Data Catalogue avec son propriétaire, sa provenance (lineage), son niveau de classification et l'indication des données personnelles qu'il contient.</w:t>
      </w:r>
    </w:p>
    <w:p w14:paraId="18FA0BC6" w14:textId="77777777" w:rsidR="00292222" w:rsidRDefault="00000000">
      <w:pPr>
        <w:keepNext/>
        <w:spacing w:before="160" w:after="60"/>
      </w:pPr>
      <w:r>
        <w:rPr>
          <w:b/>
          <w:bCs/>
          <w:color w:val="191414"/>
          <w:sz w:val="22"/>
          <w:szCs w:val="22"/>
        </w:rPr>
        <w:t>P6 ― Sécurité selon la sensibilité (C5)</w:t>
      </w:r>
    </w:p>
    <w:p w14:paraId="4BA27BA1" w14:textId="77777777" w:rsidR="00292222" w:rsidRDefault="00000000">
      <w:pPr>
        <w:spacing w:after="100" w:line="264" w:lineRule="auto"/>
      </w:pPr>
      <w:r>
        <w:rPr>
          <w:b/>
          <w:bCs/>
        </w:rPr>
        <w:t>Principe :</w:t>
      </w:r>
      <w:r>
        <w:t xml:space="preserve"> le niveau de protection dépend du niveau de classification.</w:t>
      </w:r>
    </w:p>
    <w:p w14:paraId="336D9B04" w14:textId="77777777" w:rsidR="00292222" w:rsidRDefault="00000000">
      <w:pPr>
        <w:pStyle w:val="Paragraphedeliste"/>
        <w:numPr>
          <w:ilvl w:val="0"/>
          <w:numId w:val="2"/>
        </w:numPr>
        <w:spacing w:after="50" w:line="252" w:lineRule="auto"/>
      </w:pPr>
      <w:r>
        <w:rPr>
          <w:b/>
          <w:bCs/>
        </w:rPr>
        <w:t>Règle appliquée :</w:t>
      </w:r>
      <w:r>
        <w:t xml:space="preserve"> les accès sont attribués par rôle (RBAC) et précisés selon l'étiquette de la donnée (ABAC, contrôle d'accès fondé sur les attributs), selon le principe du moindre privilège. Les données Confidentielles et Restreintes sont chiffrées et les accès sont revus chaque trimestre.</w:t>
      </w:r>
    </w:p>
    <w:p w14:paraId="0EE0C5E4" w14:textId="77777777" w:rsidR="00292222" w:rsidRDefault="00000000">
      <w:pPr>
        <w:keepNext/>
        <w:spacing w:before="160" w:after="60"/>
      </w:pPr>
      <w:r>
        <w:rPr>
          <w:b/>
          <w:bCs/>
          <w:color w:val="191414"/>
          <w:sz w:val="22"/>
          <w:szCs w:val="22"/>
        </w:rPr>
        <w:t>P7 ― IA responsable (C6)</w:t>
      </w:r>
    </w:p>
    <w:p w14:paraId="601482B5" w14:textId="77777777" w:rsidR="00292222" w:rsidRDefault="00000000">
      <w:pPr>
        <w:spacing w:after="100" w:line="264" w:lineRule="auto"/>
      </w:pPr>
      <w:r>
        <w:rPr>
          <w:b/>
          <w:bCs/>
        </w:rPr>
        <w:t>Principe :</w:t>
      </w:r>
      <w:r>
        <w:t xml:space="preserve"> les algorithmes, en particulier le moteur de recommandation, doivent être équitables, explicables et transparents.</w:t>
      </w:r>
    </w:p>
    <w:p w14:paraId="0DE75384" w14:textId="77777777" w:rsidR="00292222" w:rsidRDefault="00000000">
      <w:pPr>
        <w:pStyle w:val="Paragraphedeliste"/>
        <w:numPr>
          <w:ilvl w:val="0"/>
          <w:numId w:val="2"/>
        </w:numPr>
        <w:spacing w:after="50" w:line="252" w:lineRule="auto"/>
      </w:pPr>
      <w:r>
        <w:rPr>
          <w:b/>
          <w:bCs/>
        </w:rPr>
        <w:t>Règle appliquée :</w:t>
      </w:r>
      <w:r>
        <w:t xml:space="preserve"> chaque modèle est inventorié (finalité, données utilisées, responsable). Une revue des biais est réalisée avant chaque déploiement, et les contenus générés par IA sont signalés dans les métadonnées des titres.</w:t>
      </w:r>
    </w:p>
    <w:p w14:paraId="7E7BA8CB" w14:textId="77777777" w:rsidR="00292222" w:rsidRDefault="00000000">
      <w:pPr>
        <w:keepNext/>
        <w:spacing w:before="160" w:after="60"/>
      </w:pPr>
      <w:r>
        <w:rPr>
          <w:b/>
          <w:bCs/>
          <w:color w:val="191414"/>
          <w:sz w:val="22"/>
          <w:szCs w:val="22"/>
        </w:rPr>
        <w:t>P8 ― Amélioration continue (C7)</w:t>
      </w:r>
    </w:p>
    <w:p w14:paraId="69077CA3" w14:textId="77777777" w:rsidR="00292222" w:rsidRDefault="00000000">
      <w:pPr>
        <w:spacing w:after="100" w:line="264" w:lineRule="auto"/>
      </w:pPr>
      <w:r>
        <w:rPr>
          <w:b/>
          <w:bCs/>
        </w:rPr>
        <w:t>Principe :</w:t>
      </w:r>
      <w:r>
        <w:t xml:space="preserve"> la gouvernance évolue avec la réglementation, les technologies et l'organisation.</w:t>
      </w:r>
    </w:p>
    <w:p w14:paraId="5F457405" w14:textId="77777777" w:rsidR="00292222" w:rsidRDefault="00000000">
      <w:pPr>
        <w:pStyle w:val="Paragraphedeliste"/>
        <w:numPr>
          <w:ilvl w:val="0"/>
          <w:numId w:val="2"/>
        </w:numPr>
        <w:spacing w:after="50" w:line="252" w:lineRule="auto"/>
      </w:pPr>
      <w:r>
        <w:rPr>
          <w:b/>
          <w:bCs/>
        </w:rPr>
        <w:t>Règle appliquée :</w:t>
      </w:r>
      <w:r>
        <w:t xml:space="preserve"> des indicateurs de gouvernance sont suivis chaque mois, des audits sont réalisés régulièrement et une veille réglementaire et technologique est assurée. Tous les collaborateurs sont formés à la politique.</w:t>
      </w:r>
    </w:p>
    <w:p w14:paraId="0680D8DC" w14:textId="77777777" w:rsidR="00292222" w:rsidRDefault="00000000">
      <w:pPr>
        <w:pStyle w:val="Titre1"/>
        <w:keepNext/>
        <w:spacing w:before="220" w:after="100"/>
      </w:pPr>
      <w:r>
        <w:t>5. Conformité réglementaire</w:t>
      </w:r>
    </w:p>
    <w:p w14:paraId="180C18C3" w14:textId="77777777" w:rsidR="00292222" w:rsidRDefault="00000000">
      <w:pPr>
        <w:spacing w:after="100" w:line="264" w:lineRule="auto"/>
      </w:pPr>
      <w:r>
        <w:t xml:space="preserve">Spotify étant établi en Suède, le </w:t>
      </w:r>
      <w:r>
        <w:rPr>
          <w:b/>
          <w:bCs/>
        </w:rPr>
        <w:t>RGPD est retenu comme cadre de référence</w:t>
      </w:r>
      <w:r>
        <w:t xml:space="preserve"> pour l'ensemble de l'entreprise. Lorsqu'une loi locale impose des règles différentes ou plus strictes (par exemple le droit d'opposition à la vente des données prévu par le CCPA), les deux s'appliquent et c'est la règle la plus protectrice pour l'utilisateur qui prévaut.</w:t>
      </w:r>
    </w:p>
    <w:p w14:paraId="231EA418" w14:textId="77777777" w:rsidR="00292222" w:rsidRDefault="00000000">
      <w:pPr>
        <w:keepNext/>
        <w:spacing w:before="160" w:after="60"/>
      </w:pPr>
      <w:r>
        <w:rPr>
          <w:b/>
          <w:bCs/>
          <w:color w:val="191414"/>
          <w:sz w:val="22"/>
          <w:szCs w:val="22"/>
        </w:rPr>
        <w:t>RGPD (Union européenne)</w:t>
      </w:r>
    </w:p>
    <w:p w14:paraId="6989E97C" w14:textId="77777777" w:rsidR="00292222" w:rsidRDefault="00000000">
      <w:pPr>
        <w:spacing w:after="100" w:line="264" w:lineRule="auto"/>
      </w:pPr>
      <w:r>
        <w:rPr>
          <w:b/>
          <w:bCs/>
        </w:rPr>
        <w:t>Exigences :</w:t>
      </w:r>
      <w:r>
        <w:t xml:space="preserve"> base légale et consentement pour chaque traitement ; droits d'accès, de rectification, de suppression et de portabilité, avec une réponse sous un mois ; tenue d'un registre des traitements ; analyse d'impact (DPIA) pour les traitements à risque ; notification des violations de données sous 72 heures ; encadrement des transferts hors UE.</w:t>
      </w:r>
    </w:p>
    <w:p w14:paraId="6ACF1FCC" w14:textId="77777777" w:rsidR="00292222" w:rsidRDefault="00000000">
      <w:pPr>
        <w:pStyle w:val="Paragraphedeliste"/>
        <w:numPr>
          <w:ilvl w:val="0"/>
          <w:numId w:val="2"/>
        </w:numPr>
        <w:spacing w:after="50" w:line="252" w:lineRule="auto"/>
      </w:pPr>
      <w:r>
        <w:rPr>
          <w:b/>
          <w:bCs/>
        </w:rPr>
        <w:lastRenderedPageBreak/>
        <w:t>Application chez Spotify :</w:t>
      </w:r>
      <w:r>
        <w:t xml:space="preserve"> automatisation des demandes d'accès et de suppression (pilote du Livrable 3), plateforme centralisée de gestion du consentement, registre des traitements relié au Data Catalogue et procédure de notification des violations.</w:t>
      </w:r>
    </w:p>
    <w:p w14:paraId="2703C893" w14:textId="77777777" w:rsidR="00292222" w:rsidRDefault="00000000">
      <w:pPr>
        <w:keepNext/>
        <w:spacing w:before="160" w:after="60"/>
      </w:pPr>
      <w:r>
        <w:rPr>
          <w:b/>
          <w:bCs/>
          <w:color w:val="191414"/>
          <w:sz w:val="22"/>
          <w:szCs w:val="22"/>
        </w:rPr>
        <w:t>CCPA / CPRA (Californie)</w:t>
      </w:r>
    </w:p>
    <w:p w14:paraId="573285CB" w14:textId="77777777" w:rsidR="00292222" w:rsidRDefault="00000000">
      <w:pPr>
        <w:spacing w:after="100" w:line="264" w:lineRule="auto"/>
      </w:pPr>
      <w:r>
        <w:rPr>
          <w:b/>
          <w:bCs/>
        </w:rPr>
        <w:t>Exigences :</w:t>
      </w:r>
      <w:r>
        <w:t xml:space="preserve"> droit de savoir quelles données sont collectées, de les faire supprimer ou corriger ; droit de s'opposer à la vente ou au partage des données (« Do Not Sell or Share ») ; aucune discrimination envers un utilisateur qui exerce ses droits ; réponse sous 45 jours.</w:t>
      </w:r>
    </w:p>
    <w:p w14:paraId="4843A725" w14:textId="77777777" w:rsidR="00292222" w:rsidRDefault="00000000">
      <w:pPr>
        <w:pStyle w:val="Paragraphedeliste"/>
        <w:numPr>
          <w:ilvl w:val="0"/>
          <w:numId w:val="2"/>
        </w:numPr>
        <w:spacing w:after="50" w:line="252" w:lineRule="auto"/>
      </w:pPr>
      <w:r>
        <w:rPr>
          <w:b/>
          <w:bCs/>
        </w:rPr>
        <w:t>Application chez Spotify :</w:t>
      </w:r>
      <w:r>
        <w:t xml:space="preserve"> utilisation de la même chaîne de traitement que pour le RGPD, et transmission automatique du choix d'opposition de l'utilisateur aux systèmes publicitaires.</w:t>
      </w:r>
    </w:p>
    <w:p w14:paraId="66700D95" w14:textId="77777777" w:rsidR="00292222" w:rsidRDefault="00000000">
      <w:pPr>
        <w:keepNext/>
        <w:spacing w:before="160" w:after="60"/>
      </w:pPr>
      <w:r>
        <w:rPr>
          <w:b/>
          <w:bCs/>
          <w:color w:val="191414"/>
          <w:sz w:val="22"/>
          <w:szCs w:val="22"/>
        </w:rPr>
        <w:t>PCI-DSS (données de paiement)</w:t>
      </w:r>
    </w:p>
    <w:p w14:paraId="73C5F07B" w14:textId="77777777" w:rsidR="00292222" w:rsidRDefault="00000000">
      <w:pPr>
        <w:spacing w:after="100" w:line="264" w:lineRule="auto"/>
      </w:pPr>
      <w:r>
        <w:rPr>
          <w:b/>
          <w:bCs/>
        </w:rPr>
        <w:t>Exigences :</w:t>
      </w:r>
      <w:r>
        <w:t xml:space="preserve"> protection des données de carte bancaire, contrôle des accès, journalisation et tests de sécurité réguliers.</w:t>
      </w:r>
    </w:p>
    <w:p w14:paraId="0BA79958" w14:textId="77777777" w:rsidR="00292222" w:rsidRDefault="00000000">
      <w:pPr>
        <w:pStyle w:val="Paragraphedeliste"/>
        <w:numPr>
          <w:ilvl w:val="0"/>
          <w:numId w:val="2"/>
        </w:numPr>
        <w:spacing w:after="50" w:line="252" w:lineRule="auto"/>
      </w:pPr>
      <w:r>
        <w:rPr>
          <w:b/>
          <w:bCs/>
        </w:rPr>
        <w:t>Application chez Spotify :</w:t>
      </w:r>
      <w:r>
        <w:t xml:space="preserve"> les numéros de carte ne sont pas stockés par Spotify mais remplacés par un jeton (tokenisation) chez le prestataire de paiement. Cela réduit fortement le périmètre soumis à la norme.</w:t>
      </w:r>
    </w:p>
    <w:p w14:paraId="37B285C8" w14:textId="77777777" w:rsidR="00292222" w:rsidRDefault="00000000">
      <w:pPr>
        <w:keepNext/>
        <w:spacing w:before="160" w:after="60"/>
      </w:pPr>
      <w:r>
        <w:rPr>
          <w:b/>
          <w:bCs/>
          <w:color w:val="191414"/>
          <w:sz w:val="22"/>
          <w:szCs w:val="22"/>
        </w:rPr>
        <w:t>AI Act (Union européenne) et autres réglementations</w:t>
      </w:r>
    </w:p>
    <w:p w14:paraId="56C32811" w14:textId="77777777" w:rsidR="00292222" w:rsidRDefault="00000000">
      <w:pPr>
        <w:spacing w:after="100" w:line="264" w:lineRule="auto"/>
      </w:pPr>
      <w:r>
        <w:rPr>
          <w:b/>
          <w:bCs/>
        </w:rPr>
        <w:t>Exigences :</w:t>
      </w:r>
      <w:r>
        <w:t xml:space="preserve"> transparence sur les contenus générés par IA et gestion des risques liés aux systèmes d'IA. D'autres lois proches du RGPD s'appliquent selon les pays (LGPD au Brésil, PDPA à Singapour).</w:t>
      </w:r>
    </w:p>
    <w:p w14:paraId="17E4E8EC" w14:textId="77777777" w:rsidR="00292222" w:rsidRDefault="00000000">
      <w:pPr>
        <w:pStyle w:val="Paragraphedeliste"/>
        <w:numPr>
          <w:ilvl w:val="0"/>
          <w:numId w:val="2"/>
        </w:numPr>
        <w:spacing w:after="50" w:line="252" w:lineRule="auto"/>
      </w:pPr>
      <w:r>
        <w:rPr>
          <w:b/>
          <w:bCs/>
        </w:rPr>
        <w:t>Application chez Spotify :</w:t>
      </w:r>
      <w:r>
        <w:t xml:space="preserve"> inventaire des modèles d'IA, signalement des contenus générés par IA, veille réglementaire assurée par le DPO et l'équipe juridique, et paramétrage des règles par pays.</w:t>
      </w:r>
    </w:p>
    <w:p w14:paraId="43C869EB" w14:textId="77777777" w:rsidR="00292222" w:rsidRDefault="00000000">
      <w:pPr>
        <w:pStyle w:val="Titre1"/>
        <w:keepNext/>
        <w:spacing w:before="220" w:after="100"/>
      </w:pPr>
      <w:r>
        <w:t>6. Organisation et responsabilités</w:t>
      </w:r>
    </w:p>
    <w:p w14:paraId="7A944172" w14:textId="77777777" w:rsidR="00292222" w:rsidRDefault="00000000">
      <w:pPr>
        <w:spacing w:after="100" w:line="264" w:lineRule="auto"/>
      </w:pPr>
      <w:r>
        <w:t xml:space="preserve">La gouvernance est organisée selon un modèle de </w:t>
      </w:r>
      <w:r>
        <w:rPr>
          <w:b/>
          <w:bCs/>
        </w:rPr>
        <w:t>Centre d'Excellence (CoE) fédéré</w:t>
      </w:r>
      <w:r>
        <w:t xml:space="preserve"> : une équipe centrale définit les règles et fournit les outils, et chaque département reste responsable de ses données. Ce modèle s'appuie sur l'organisation déjà en place chez Spotify (tribes, squads, chapters et guilds) ; il est détaillé dans l'organigramme (Livrable 2b). Les rôles sont les suivants :</w:t>
      </w:r>
    </w:p>
    <w:p w14:paraId="249FB3E4" w14:textId="77777777" w:rsidR="00292222" w:rsidRDefault="00000000">
      <w:pPr>
        <w:pStyle w:val="Paragraphedeliste"/>
        <w:numPr>
          <w:ilvl w:val="0"/>
          <w:numId w:val="2"/>
        </w:numPr>
        <w:spacing w:after="50" w:line="252" w:lineRule="auto"/>
      </w:pPr>
      <w:r>
        <w:rPr>
          <w:b/>
          <w:bCs/>
        </w:rPr>
        <w:t>Comité de gouvernance des données :</w:t>
      </w:r>
      <w:r>
        <w:t xml:space="preserve"> se réunit chaque mois, valide les politiques, arbitre les désaccords entre départements, suit les indicateurs et accorde les exceptions.</w:t>
      </w:r>
    </w:p>
    <w:p w14:paraId="1DC506E0" w14:textId="77777777" w:rsidR="00292222" w:rsidRDefault="00000000">
      <w:pPr>
        <w:pStyle w:val="Paragraphedeliste"/>
        <w:numPr>
          <w:ilvl w:val="0"/>
          <w:numId w:val="2"/>
        </w:numPr>
        <w:spacing w:after="50" w:line="252" w:lineRule="auto"/>
      </w:pPr>
      <w:r>
        <w:rPr>
          <w:b/>
          <w:bCs/>
        </w:rPr>
        <w:t>Chief Data Officer (CDO) :</w:t>
      </w:r>
      <w:r>
        <w:t xml:space="preserve"> porte la politique, définit les standards (classification, data contracts) et anime la communauté des Data Stewards.</w:t>
      </w:r>
    </w:p>
    <w:p w14:paraId="2AA57912" w14:textId="77777777" w:rsidR="00292222" w:rsidRDefault="00000000">
      <w:pPr>
        <w:pStyle w:val="Paragraphedeliste"/>
        <w:numPr>
          <w:ilvl w:val="0"/>
          <w:numId w:val="2"/>
        </w:numPr>
        <w:spacing w:after="50" w:line="252" w:lineRule="auto"/>
      </w:pPr>
      <w:r>
        <w:rPr>
          <w:b/>
          <w:bCs/>
        </w:rPr>
        <w:t>Data Protection Officer (DPO) :</w:t>
      </w:r>
      <w:r>
        <w:t xml:space="preserve"> garant de la conformité au RGPD. Il est rattaché directement à la direction générale pour garantir son indépendance (article 38 du RGPD). Il gère le registre, les demandes des utilisateurs, les DPIA, les violations et la relation avec l'IMY.</w:t>
      </w:r>
    </w:p>
    <w:p w14:paraId="29227C23" w14:textId="77777777" w:rsidR="00292222" w:rsidRDefault="00000000">
      <w:pPr>
        <w:pStyle w:val="Paragraphedeliste"/>
        <w:numPr>
          <w:ilvl w:val="0"/>
          <w:numId w:val="2"/>
        </w:numPr>
        <w:spacing w:after="50" w:line="252" w:lineRule="auto"/>
      </w:pPr>
      <w:r>
        <w:rPr>
          <w:b/>
          <w:bCs/>
        </w:rPr>
        <w:t>Data Owner :</w:t>
      </w:r>
      <w:r>
        <w:t xml:space="preserve"> responsable des données d'un domaine (par exemple le responsable du marketing). Il décide des accès et des usages.</w:t>
      </w:r>
    </w:p>
    <w:p w14:paraId="2B0100F7" w14:textId="77777777" w:rsidR="00292222" w:rsidRDefault="00000000">
      <w:pPr>
        <w:pStyle w:val="Paragraphedeliste"/>
        <w:numPr>
          <w:ilvl w:val="0"/>
          <w:numId w:val="2"/>
        </w:numPr>
        <w:spacing w:after="50" w:line="252" w:lineRule="auto"/>
      </w:pPr>
      <w:r>
        <w:rPr>
          <w:b/>
          <w:bCs/>
        </w:rPr>
        <w:t>Data Steward :</w:t>
      </w:r>
      <w:r>
        <w:t xml:space="preserve"> nouveau rôle dans chaque équipe, chargé au quotidien de la qualité, de la documentation et de la classification des données.</w:t>
      </w:r>
    </w:p>
    <w:p w14:paraId="608ECAB0" w14:textId="77777777" w:rsidR="00292222" w:rsidRDefault="00000000">
      <w:pPr>
        <w:pStyle w:val="Paragraphedeliste"/>
        <w:numPr>
          <w:ilvl w:val="0"/>
          <w:numId w:val="2"/>
        </w:numPr>
        <w:spacing w:after="50" w:line="252" w:lineRule="auto"/>
      </w:pPr>
      <w:r>
        <w:rPr>
          <w:b/>
          <w:bCs/>
        </w:rPr>
        <w:t>Data Engineers et Privacy Engineers :</w:t>
      </w:r>
      <w:r>
        <w:t xml:space="preserve"> mettent en place les contrôles techniques (pipelines, tests qualité, masquage, automatisation des demandes).</w:t>
      </w:r>
    </w:p>
    <w:p w14:paraId="61029C4D" w14:textId="77777777" w:rsidR="00292222" w:rsidRDefault="00000000">
      <w:pPr>
        <w:pStyle w:val="Paragraphedeliste"/>
        <w:numPr>
          <w:ilvl w:val="0"/>
          <w:numId w:val="2"/>
        </w:numPr>
        <w:spacing w:after="50" w:line="252" w:lineRule="auto"/>
      </w:pPr>
      <w:r>
        <w:rPr>
          <w:b/>
          <w:bCs/>
        </w:rPr>
        <w:t>Head of Engineering / Sécurité :</w:t>
      </w:r>
      <w:r>
        <w:t xml:space="preserve"> gère les accès, le chiffrement, la journalisation et la sécurité des prestataires.</w:t>
      </w:r>
    </w:p>
    <w:p w14:paraId="3C33120F" w14:textId="77777777" w:rsidR="00292222" w:rsidRDefault="00000000">
      <w:pPr>
        <w:pStyle w:val="Paragraphedeliste"/>
        <w:numPr>
          <w:ilvl w:val="0"/>
          <w:numId w:val="2"/>
        </w:numPr>
        <w:spacing w:after="50" w:line="252" w:lineRule="auto"/>
      </w:pPr>
      <w:r>
        <w:rPr>
          <w:b/>
          <w:bCs/>
        </w:rPr>
        <w:t>Équipe juridique :</w:t>
      </w:r>
      <w:r>
        <w:t xml:space="preserve"> assure la veille réglementaire et encadre les contrats avec les sous-traitants et les transferts de données.</w:t>
      </w:r>
    </w:p>
    <w:p w14:paraId="0E48AC5C" w14:textId="77777777" w:rsidR="00292222" w:rsidRDefault="00000000">
      <w:pPr>
        <w:pStyle w:val="Titre2"/>
        <w:keepNext/>
        <w:spacing w:before="140" w:after="60"/>
      </w:pPr>
      <w:r>
        <w:t>Matrice RACI</w:t>
      </w:r>
    </w:p>
    <w:p w14:paraId="1508EFE9" w14:textId="77777777" w:rsidR="00292222" w:rsidRDefault="00000000">
      <w:pPr>
        <w:spacing w:after="100" w:line="264" w:lineRule="auto"/>
      </w:pPr>
      <w:r>
        <w:t>La matrice RACI précise qui fait quoi pour les principales activités. Chaque activité a un seul responsable final (A) et au moins un exécutant (R).</w:t>
      </w:r>
    </w:p>
    <w:p w14:paraId="12E870C0" w14:textId="77777777" w:rsidR="00292222" w:rsidRDefault="00000000">
      <w:pPr>
        <w:spacing w:after="100" w:line="264" w:lineRule="auto"/>
      </w:pPr>
      <w:r>
        <w:rPr>
          <w:color w:val="5F6B66"/>
          <w:sz w:val="16"/>
          <w:szCs w:val="16"/>
        </w:rPr>
        <w:t>R = Réalise · A = Approuve et rend compte · C = Consulté · I = Informé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850"/>
        <w:gridCol w:w="850"/>
        <w:gridCol w:w="850"/>
        <w:gridCol w:w="850"/>
        <w:gridCol w:w="850"/>
        <w:gridCol w:w="850"/>
        <w:gridCol w:w="900"/>
      </w:tblGrid>
      <w:tr w:rsidR="00292222" w14:paraId="6156890B" w14:textId="77777777">
        <w:tblPrEx>
          <w:tblCellMar>
            <w:top w:w="0" w:type="dxa"/>
            <w:bottom w:w="0" w:type="dxa"/>
          </w:tblCellMar>
        </w:tblPrEx>
        <w:trPr>
          <w:cantSplit/>
          <w:tblHeader/>
        </w:trPr>
        <w:tc>
          <w:tcPr>
            <w:tcW w:w="3638" w:type="dxa"/>
            <w:tcBorders>
              <w:top w:val="single" w:sz="4" w:space="0" w:color="C9D3CE"/>
              <w:left w:val="single" w:sz="4" w:space="0" w:color="C9D3CE"/>
              <w:bottom w:val="single" w:sz="4" w:space="0" w:color="C9D3CE"/>
              <w:right w:val="single" w:sz="4" w:space="0" w:color="C9D3CE"/>
            </w:tcBorders>
            <w:shd w:val="clear" w:color="auto" w:fill="1E7F4F"/>
            <w:tcMar>
              <w:top w:w="50" w:type="dxa"/>
              <w:left w:w="90" w:type="dxa"/>
              <w:bottom w:w="50" w:type="dxa"/>
              <w:right w:w="90" w:type="dxa"/>
            </w:tcMar>
          </w:tcPr>
          <w:p w14:paraId="7A3A2494" w14:textId="77777777" w:rsidR="00292222" w:rsidRDefault="00000000">
            <w:r>
              <w:rPr>
                <w:b/>
                <w:bCs/>
                <w:color w:val="FFFFFF"/>
                <w:sz w:val="16"/>
                <w:szCs w:val="16"/>
              </w:rPr>
              <w:t>Activité</w:t>
            </w:r>
          </w:p>
        </w:tc>
        <w:tc>
          <w:tcPr>
            <w:tcW w:w="850" w:type="dxa"/>
            <w:tcBorders>
              <w:top w:val="single" w:sz="4" w:space="0" w:color="C9D3CE"/>
              <w:left w:val="single" w:sz="4" w:space="0" w:color="C9D3CE"/>
              <w:bottom w:val="single" w:sz="4" w:space="0" w:color="C9D3CE"/>
              <w:right w:val="single" w:sz="4" w:space="0" w:color="C9D3CE"/>
            </w:tcBorders>
            <w:shd w:val="clear" w:color="auto" w:fill="1E7F4F"/>
            <w:tcMar>
              <w:top w:w="50" w:type="dxa"/>
              <w:left w:w="90" w:type="dxa"/>
              <w:bottom w:w="50" w:type="dxa"/>
              <w:right w:w="90" w:type="dxa"/>
            </w:tcMar>
          </w:tcPr>
          <w:p w14:paraId="239A2FC3" w14:textId="77777777" w:rsidR="00292222" w:rsidRDefault="00000000">
            <w:pPr>
              <w:jc w:val="center"/>
            </w:pPr>
            <w:r>
              <w:rPr>
                <w:b/>
                <w:bCs/>
                <w:color w:val="FFFFFF"/>
                <w:sz w:val="16"/>
                <w:szCs w:val="16"/>
              </w:rPr>
              <w:t>CDO</w:t>
            </w:r>
          </w:p>
        </w:tc>
        <w:tc>
          <w:tcPr>
            <w:tcW w:w="850" w:type="dxa"/>
            <w:tcBorders>
              <w:top w:val="single" w:sz="4" w:space="0" w:color="C9D3CE"/>
              <w:left w:val="single" w:sz="4" w:space="0" w:color="C9D3CE"/>
              <w:bottom w:val="single" w:sz="4" w:space="0" w:color="C9D3CE"/>
              <w:right w:val="single" w:sz="4" w:space="0" w:color="C9D3CE"/>
            </w:tcBorders>
            <w:shd w:val="clear" w:color="auto" w:fill="1E7F4F"/>
            <w:tcMar>
              <w:top w:w="50" w:type="dxa"/>
              <w:left w:w="90" w:type="dxa"/>
              <w:bottom w:w="50" w:type="dxa"/>
              <w:right w:w="90" w:type="dxa"/>
            </w:tcMar>
          </w:tcPr>
          <w:p w14:paraId="6D271830" w14:textId="77777777" w:rsidR="00292222" w:rsidRDefault="00000000">
            <w:pPr>
              <w:jc w:val="center"/>
            </w:pPr>
            <w:r>
              <w:rPr>
                <w:b/>
                <w:bCs/>
                <w:color w:val="FFFFFF"/>
                <w:sz w:val="16"/>
                <w:szCs w:val="16"/>
              </w:rPr>
              <w:t>DPO</w:t>
            </w:r>
          </w:p>
        </w:tc>
        <w:tc>
          <w:tcPr>
            <w:tcW w:w="850" w:type="dxa"/>
            <w:tcBorders>
              <w:top w:val="single" w:sz="4" w:space="0" w:color="C9D3CE"/>
              <w:left w:val="single" w:sz="4" w:space="0" w:color="C9D3CE"/>
              <w:bottom w:val="single" w:sz="4" w:space="0" w:color="C9D3CE"/>
              <w:right w:val="single" w:sz="4" w:space="0" w:color="C9D3CE"/>
            </w:tcBorders>
            <w:shd w:val="clear" w:color="auto" w:fill="1E7F4F"/>
            <w:tcMar>
              <w:top w:w="50" w:type="dxa"/>
              <w:left w:w="90" w:type="dxa"/>
              <w:bottom w:w="50" w:type="dxa"/>
              <w:right w:w="90" w:type="dxa"/>
            </w:tcMar>
          </w:tcPr>
          <w:p w14:paraId="0FD7ED2A" w14:textId="77777777" w:rsidR="00292222" w:rsidRDefault="00000000">
            <w:pPr>
              <w:jc w:val="center"/>
            </w:pPr>
            <w:r>
              <w:rPr>
                <w:b/>
                <w:bCs/>
                <w:color w:val="FFFFFF"/>
                <w:sz w:val="16"/>
                <w:szCs w:val="16"/>
              </w:rPr>
              <w:t>Owner</w:t>
            </w:r>
          </w:p>
        </w:tc>
        <w:tc>
          <w:tcPr>
            <w:tcW w:w="850" w:type="dxa"/>
            <w:tcBorders>
              <w:top w:val="single" w:sz="4" w:space="0" w:color="C9D3CE"/>
              <w:left w:val="single" w:sz="4" w:space="0" w:color="C9D3CE"/>
              <w:bottom w:val="single" w:sz="4" w:space="0" w:color="C9D3CE"/>
              <w:right w:val="single" w:sz="4" w:space="0" w:color="C9D3CE"/>
            </w:tcBorders>
            <w:shd w:val="clear" w:color="auto" w:fill="1E7F4F"/>
            <w:tcMar>
              <w:top w:w="50" w:type="dxa"/>
              <w:left w:w="90" w:type="dxa"/>
              <w:bottom w:w="50" w:type="dxa"/>
              <w:right w:w="90" w:type="dxa"/>
            </w:tcMar>
          </w:tcPr>
          <w:p w14:paraId="69B22452" w14:textId="77777777" w:rsidR="00292222" w:rsidRDefault="00000000">
            <w:pPr>
              <w:jc w:val="center"/>
            </w:pPr>
            <w:r>
              <w:rPr>
                <w:b/>
                <w:bCs/>
                <w:color w:val="FFFFFF"/>
                <w:sz w:val="16"/>
                <w:szCs w:val="16"/>
              </w:rPr>
              <w:t>Steward</w:t>
            </w:r>
          </w:p>
        </w:tc>
        <w:tc>
          <w:tcPr>
            <w:tcW w:w="850" w:type="dxa"/>
            <w:tcBorders>
              <w:top w:val="single" w:sz="4" w:space="0" w:color="C9D3CE"/>
              <w:left w:val="single" w:sz="4" w:space="0" w:color="C9D3CE"/>
              <w:bottom w:val="single" w:sz="4" w:space="0" w:color="C9D3CE"/>
              <w:right w:val="single" w:sz="4" w:space="0" w:color="C9D3CE"/>
            </w:tcBorders>
            <w:shd w:val="clear" w:color="auto" w:fill="1E7F4F"/>
            <w:tcMar>
              <w:top w:w="50" w:type="dxa"/>
              <w:left w:w="90" w:type="dxa"/>
              <w:bottom w:w="50" w:type="dxa"/>
              <w:right w:w="90" w:type="dxa"/>
            </w:tcMar>
          </w:tcPr>
          <w:p w14:paraId="7228433D" w14:textId="77777777" w:rsidR="00292222" w:rsidRDefault="00000000">
            <w:pPr>
              <w:jc w:val="center"/>
            </w:pPr>
            <w:r>
              <w:rPr>
                <w:b/>
                <w:bCs/>
                <w:color w:val="FFFFFF"/>
                <w:sz w:val="16"/>
                <w:szCs w:val="16"/>
              </w:rPr>
              <w:t>Eng.</w:t>
            </w:r>
          </w:p>
        </w:tc>
        <w:tc>
          <w:tcPr>
            <w:tcW w:w="850" w:type="dxa"/>
            <w:tcBorders>
              <w:top w:val="single" w:sz="4" w:space="0" w:color="C9D3CE"/>
              <w:left w:val="single" w:sz="4" w:space="0" w:color="C9D3CE"/>
              <w:bottom w:val="single" w:sz="4" w:space="0" w:color="C9D3CE"/>
              <w:right w:val="single" w:sz="4" w:space="0" w:color="C9D3CE"/>
            </w:tcBorders>
            <w:shd w:val="clear" w:color="auto" w:fill="1E7F4F"/>
            <w:tcMar>
              <w:top w:w="50" w:type="dxa"/>
              <w:left w:w="90" w:type="dxa"/>
              <w:bottom w:w="50" w:type="dxa"/>
              <w:right w:w="90" w:type="dxa"/>
            </w:tcMar>
          </w:tcPr>
          <w:p w14:paraId="0DA8791E" w14:textId="77777777" w:rsidR="00292222" w:rsidRDefault="00000000">
            <w:pPr>
              <w:jc w:val="center"/>
            </w:pPr>
            <w:r>
              <w:rPr>
                <w:b/>
                <w:bCs/>
                <w:color w:val="FFFFFF"/>
                <w:sz w:val="16"/>
                <w:szCs w:val="16"/>
              </w:rPr>
              <w:t>Sécu</w:t>
            </w:r>
          </w:p>
        </w:tc>
        <w:tc>
          <w:tcPr>
            <w:tcW w:w="900" w:type="dxa"/>
            <w:tcBorders>
              <w:top w:val="single" w:sz="4" w:space="0" w:color="C9D3CE"/>
              <w:left w:val="single" w:sz="4" w:space="0" w:color="C9D3CE"/>
              <w:bottom w:val="single" w:sz="4" w:space="0" w:color="C9D3CE"/>
              <w:right w:val="single" w:sz="4" w:space="0" w:color="C9D3CE"/>
            </w:tcBorders>
            <w:shd w:val="clear" w:color="auto" w:fill="1E7F4F"/>
            <w:tcMar>
              <w:top w:w="50" w:type="dxa"/>
              <w:left w:w="90" w:type="dxa"/>
              <w:bottom w:w="50" w:type="dxa"/>
              <w:right w:w="90" w:type="dxa"/>
            </w:tcMar>
          </w:tcPr>
          <w:p w14:paraId="133B346A" w14:textId="77777777" w:rsidR="00292222" w:rsidRDefault="00000000">
            <w:pPr>
              <w:jc w:val="center"/>
            </w:pPr>
            <w:r>
              <w:rPr>
                <w:b/>
                <w:bCs/>
                <w:color w:val="FFFFFF"/>
                <w:sz w:val="16"/>
                <w:szCs w:val="16"/>
              </w:rPr>
              <w:t>Legal</w:t>
            </w:r>
          </w:p>
        </w:tc>
      </w:tr>
      <w:tr w:rsidR="00292222" w14:paraId="0F79607C" w14:textId="77777777">
        <w:tblPrEx>
          <w:tblCellMar>
            <w:top w:w="0" w:type="dxa"/>
            <w:bottom w:w="0" w:type="dxa"/>
          </w:tblCellMar>
        </w:tblPrEx>
        <w:trPr>
          <w:cantSplit/>
        </w:trPr>
        <w:tc>
          <w:tcPr>
            <w:tcW w:w="3638"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4FD45039" w14:textId="77777777" w:rsidR="00292222" w:rsidRDefault="00000000">
            <w:r>
              <w:rPr>
                <w:b/>
                <w:bCs/>
                <w:color w:val="191414"/>
                <w:sz w:val="16"/>
                <w:szCs w:val="16"/>
              </w:rPr>
              <w:t>Rédiger et maintenir la politique</w:t>
            </w:r>
          </w:p>
        </w:tc>
        <w:tc>
          <w:tcPr>
            <w:tcW w:w="85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1F1683C2" w14:textId="77777777" w:rsidR="00292222" w:rsidRDefault="00000000">
            <w:pPr>
              <w:jc w:val="center"/>
            </w:pPr>
            <w:r>
              <w:rPr>
                <w:color w:val="191414"/>
                <w:sz w:val="16"/>
                <w:szCs w:val="16"/>
              </w:rPr>
              <w:t>A</w:t>
            </w:r>
          </w:p>
        </w:tc>
        <w:tc>
          <w:tcPr>
            <w:tcW w:w="85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3DC97647" w14:textId="77777777" w:rsidR="00292222" w:rsidRDefault="00000000">
            <w:pPr>
              <w:jc w:val="center"/>
            </w:pPr>
            <w:r>
              <w:rPr>
                <w:color w:val="191414"/>
                <w:sz w:val="16"/>
                <w:szCs w:val="16"/>
              </w:rPr>
              <w:t>C</w:t>
            </w:r>
          </w:p>
        </w:tc>
        <w:tc>
          <w:tcPr>
            <w:tcW w:w="85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74CB6299" w14:textId="77777777" w:rsidR="00292222" w:rsidRDefault="00000000">
            <w:pPr>
              <w:jc w:val="center"/>
            </w:pPr>
            <w:r>
              <w:rPr>
                <w:color w:val="191414"/>
                <w:sz w:val="16"/>
                <w:szCs w:val="16"/>
              </w:rPr>
              <w:t>C</w:t>
            </w:r>
          </w:p>
        </w:tc>
        <w:tc>
          <w:tcPr>
            <w:tcW w:w="85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39927B7F" w14:textId="77777777" w:rsidR="00292222" w:rsidRDefault="00000000">
            <w:pPr>
              <w:jc w:val="center"/>
            </w:pPr>
            <w:r>
              <w:rPr>
                <w:color w:val="191414"/>
                <w:sz w:val="16"/>
                <w:szCs w:val="16"/>
              </w:rPr>
              <w:t>R</w:t>
            </w:r>
          </w:p>
        </w:tc>
        <w:tc>
          <w:tcPr>
            <w:tcW w:w="85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439890FA" w14:textId="77777777" w:rsidR="00292222" w:rsidRDefault="00000000">
            <w:pPr>
              <w:jc w:val="center"/>
            </w:pPr>
            <w:r>
              <w:rPr>
                <w:color w:val="191414"/>
                <w:sz w:val="16"/>
                <w:szCs w:val="16"/>
              </w:rPr>
              <w:t>I</w:t>
            </w:r>
          </w:p>
        </w:tc>
        <w:tc>
          <w:tcPr>
            <w:tcW w:w="85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4EFE987E" w14:textId="77777777" w:rsidR="00292222" w:rsidRDefault="00000000">
            <w:pPr>
              <w:jc w:val="center"/>
            </w:pPr>
            <w:r>
              <w:rPr>
                <w:color w:val="191414"/>
                <w:sz w:val="16"/>
                <w:szCs w:val="16"/>
              </w:rPr>
              <w:t>C</w:t>
            </w:r>
          </w:p>
        </w:tc>
        <w:tc>
          <w:tcPr>
            <w:tcW w:w="90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182CF32A" w14:textId="77777777" w:rsidR="00292222" w:rsidRDefault="00000000">
            <w:pPr>
              <w:jc w:val="center"/>
            </w:pPr>
            <w:r>
              <w:rPr>
                <w:color w:val="191414"/>
                <w:sz w:val="16"/>
                <w:szCs w:val="16"/>
              </w:rPr>
              <w:t>C</w:t>
            </w:r>
          </w:p>
        </w:tc>
      </w:tr>
      <w:tr w:rsidR="00292222" w14:paraId="17D0B360" w14:textId="77777777">
        <w:tblPrEx>
          <w:tblCellMar>
            <w:top w:w="0" w:type="dxa"/>
            <w:bottom w:w="0" w:type="dxa"/>
          </w:tblCellMar>
        </w:tblPrEx>
        <w:trPr>
          <w:cantSplit/>
        </w:trPr>
        <w:tc>
          <w:tcPr>
            <w:tcW w:w="3638"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3E7740CD" w14:textId="77777777" w:rsidR="00292222" w:rsidRDefault="00000000">
            <w:r>
              <w:rPr>
                <w:b/>
                <w:bCs/>
                <w:color w:val="191414"/>
                <w:sz w:val="16"/>
                <w:szCs w:val="16"/>
              </w:rPr>
              <w:t>Classifier et documenter un jeu de données</w:t>
            </w:r>
          </w:p>
        </w:tc>
        <w:tc>
          <w:tcPr>
            <w:tcW w:w="85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7FFDC472" w14:textId="77777777" w:rsidR="00292222" w:rsidRDefault="00000000">
            <w:pPr>
              <w:jc w:val="center"/>
            </w:pPr>
            <w:r>
              <w:rPr>
                <w:color w:val="191414"/>
                <w:sz w:val="16"/>
                <w:szCs w:val="16"/>
              </w:rPr>
              <w:t>I</w:t>
            </w:r>
          </w:p>
        </w:tc>
        <w:tc>
          <w:tcPr>
            <w:tcW w:w="85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456650A9" w14:textId="77777777" w:rsidR="00292222" w:rsidRDefault="00000000">
            <w:pPr>
              <w:jc w:val="center"/>
            </w:pPr>
            <w:r>
              <w:rPr>
                <w:color w:val="191414"/>
                <w:sz w:val="16"/>
                <w:szCs w:val="16"/>
              </w:rPr>
              <w:t>C</w:t>
            </w:r>
          </w:p>
        </w:tc>
        <w:tc>
          <w:tcPr>
            <w:tcW w:w="85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013137FE" w14:textId="77777777" w:rsidR="00292222" w:rsidRDefault="00000000">
            <w:pPr>
              <w:jc w:val="center"/>
            </w:pPr>
            <w:r>
              <w:rPr>
                <w:color w:val="191414"/>
                <w:sz w:val="16"/>
                <w:szCs w:val="16"/>
              </w:rPr>
              <w:t>A</w:t>
            </w:r>
          </w:p>
        </w:tc>
        <w:tc>
          <w:tcPr>
            <w:tcW w:w="85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583DC185" w14:textId="77777777" w:rsidR="00292222" w:rsidRDefault="00000000">
            <w:pPr>
              <w:jc w:val="center"/>
            </w:pPr>
            <w:r>
              <w:rPr>
                <w:color w:val="191414"/>
                <w:sz w:val="16"/>
                <w:szCs w:val="16"/>
              </w:rPr>
              <w:t>R</w:t>
            </w:r>
          </w:p>
        </w:tc>
        <w:tc>
          <w:tcPr>
            <w:tcW w:w="85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5435F8A3" w14:textId="77777777" w:rsidR="00292222" w:rsidRDefault="00000000">
            <w:pPr>
              <w:jc w:val="center"/>
            </w:pPr>
            <w:r>
              <w:rPr>
                <w:color w:val="191414"/>
                <w:sz w:val="16"/>
                <w:szCs w:val="16"/>
              </w:rPr>
              <w:t>C</w:t>
            </w:r>
          </w:p>
        </w:tc>
        <w:tc>
          <w:tcPr>
            <w:tcW w:w="85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35906B0B" w14:textId="77777777" w:rsidR="00292222" w:rsidRDefault="00000000">
            <w:pPr>
              <w:jc w:val="center"/>
            </w:pPr>
            <w:r>
              <w:rPr>
                <w:color w:val="191414"/>
                <w:sz w:val="16"/>
                <w:szCs w:val="16"/>
              </w:rPr>
              <w:t>I</w:t>
            </w:r>
          </w:p>
        </w:tc>
        <w:tc>
          <w:tcPr>
            <w:tcW w:w="90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00675912" w14:textId="77777777" w:rsidR="00292222" w:rsidRDefault="00000000">
            <w:pPr>
              <w:jc w:val="center"/>
            </w:pPr>
            <w:r>
              <w:rPr>
                <w:color w:val="191414"/>
                <w:sz w:val="16"/>
                <w:szCs w:val="16"/>
              </w:rPr>
              <w:t>I</w:t>
            </w:r>
          </w:p>
        </w:tc>
      </w:tr>
      <w:tr w:rsidR="00292222" w14:paraId="1C6F832F" w14:textId="77777777">
        <w:tblPrEx>
          <w:tblCellMar>
            <w:top w:w="0" w:type="dxa"/>
            <w:bottom w:w="0" w:type="dxa"/>
          </w:tblCellMar>
        </w:tblPrEx>
        <w:trPr>
          <w:cantSplit/>
        </w:trPr>
        <w:tc>
          <w:tcPr>
            <w:tcW w:w="3638"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3C7E2751" w14:textId="77777777" w:rsidR="00292222" w:rsidRDefault="00000000">
            <w:r>
              <w:rPr>
                <w:b/>
                <w:bCs/>
                <w:color w:val="191414"/>
                <w:sz w:val="16"/>
                <w:szCs w:val="16"/>
              </w:rPr>
              <w:t>Définir un data contract</w:t>
            </w:r>
          </w:p>
        </w:tc>
        <w:tc>
          <w:tcPr>
            <w:tcW w:w="85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4EB73489" w14:textId="77777777" w:rsidR="00292222" w:rsidRDefault="00000000">
            <w:pPr>
              <w:jc w:val="center"/>
            </w:pPr>
            <w:r>
              <w:rPr>
                <w:color w:val="191414"/>
                <w:sz w:val="16"/>
                <w:szCs w:val="16"/>
              </w:rPr>
              <w:t>C</w:t>
            </w:r>
          </w:p>
        </w:tc>
        <w:tc>
          <w:tcPr>
            <w:tcW w:w="85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65673D37" w14:textId="77777777" w:rsidR="00292222" w:rsidRDefault="00000000">
            <w:pPr>
              <w:jc w:val="center"/>
            </w:pPr>
            <w:r>
              <w:rPr>
                <w:color w:val="191414"/>
                <w:sz w:val="16"/>
                <w:szCs w:val="16"/>
              </w:rPr>
              <w:t>I</w:t>
            </w:r>
          </w:p>
        </w:tc>
        <w:tc>
          <w:tcPr>
            <w:tcW w:w="85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44A451D4" w14:textId="77777777" w:rsidR="00292222" w:rsidRDefault="00000000">
            <w:pPr>
              <w:jc w:val="center"/>
            </w:pPr>
            <w:r>
              <w:rPr>
                <w:color w:val="191414"/>
                <w:sz w:val="16"/>
                <w:szCs w:val="16"/>
              </w:rPr>
              <w:t>A</w:t>
            </w:r>
          </w:p>
        </w:tc>
        <w:tc>
          <w:tcPr>
            <w:tcW w:w="85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6EE40C9A" w14:textId="77777777" w:rsidR="00292222" w:rsidRDefault="00000000">
            <w:pPr>
              <w:jc w:val="center"/>
            </w:pPr>
            <w:r>
              <w:rPr>
                <w:color w:val="191414"/>
                <w:sz w:val="16"/>
                <w:szCs w:val="16"/>
              </w:rPr>
              <w:t>R</w:t>
            </w:r>
          </w:p>
        </w:tc>
        <w:tc>
          <w:tcPr>
            <w:tcW w:w="85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3DC460F0" w14:textId="77777777" w:rsidR="00292222" w:rsidRDefault="00000000">
            <w:pPr>
              <w:jc w:val="center"/>
            </w:pPr>
            <w:r>
              <w:rPr>
                <w:color w:val="191414"/>
                <w:sz w:val="16"/>
                <w:szCs w:val="16"/>
              </w:rPr>
              <w:t>R</w:t>
            </w:r>
          </w:p>
        </w:tc>
        <w:tc>
          <w:tcPr>
            <w:tcW w:w="85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31C7ADBB" w14:textId="77777777" w:rsidR="00292222" w:rsidRDefault="00000000">
            <w:pPr>
              <w:jc w:val="center"/>
            </w:pPr>
            <w:r>
              <w:rPr>
                <w:color w:val="191414"/>
                <w:sz w:val="16"/>
                <w:szCs w:val="16"/>
              </w:rPr>
              <w:t>I</w:t>
            </w:r>
          </w:p>
        </w:tc>
        <w:tc>
          <w:tcPr>
            <w:tcW w:w="90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5460B0E7" w14:textId="77777777" w:rsidR="00292222" w:rsidRDefault="00000000">
            <w:pPr>
              <w:jc w:val="center"/>
            </w:pPr>
            <w:r>
              <w:rPr>
                <w:color w:val="191414"/>
                <w:sz w:val="16"/>
                <w:szCs w:val="16"/>
              </w:rPr>
              <w:t>I</w:t>
            </w:r>
          </w:p>
        </w:tc>
      </w:tr>
      <w:tr w:rsidR="00292222" w14:paraId="6E4B246D" w14:textId="77777777">
        <w:tblPrEx>
          <w:tblCellMar>
            <w:top w:w="0" w:type="dxa"/>
            <w:bottom w:w="0" w:type="dxa"/>
          </w:tblCellMar>
        </w:tblPrEx>
        <w:trPr>
          <w:cantSplit/>
        </w:trPr>
        <w:tc>
          <w:tcPr>
            <w:tcW w:w="3638"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7D085FD0" w14:textId="77777777" w:rsidR="00292222" w:rsidRDefault="00000000">
            <w:r>
              <w:rPr>
                <w:b/>
                <w:bCs/>
                <w:color w:val="191414"/>
                <w:sz w:val="16"/>
                <w:szCs w:val="16"/>
              </w:rPr>
              <w:lastRenderedPageBreak/>
              <w:t>Traiter une demande d'accès ou de suppression</w:t>
            </w:r>
          </w:p>
        </w:tc>
        <w:tc>
          <w:tcPr>
            <w:tcW w:w="85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4550A22D" w14:textId="77777777" w:rsidR="00292222" w:rsidRDefault="00000000">
            <w:pPr>
              <w:jc w:val="center"/>
            </w:pPr>
            <w:r>
              <w:rPr>
                <w:color w:val="191414"/>
                <w:sz w:val="16"/>
                <w:szCs w:val="16"/>
              </w:rPr>
              <w:t>I</w:t>
            </w:r>
          </w:p>
        </w:tc>
        <w:tc>
          <w:tcPr>
            <w:tcW w:w="85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416A7CAD" w14:textId="77777777" w:rsidR="00292222" w:rsidRDefault="00000000">
            <w:pPr>
              <w:jc w:val="center"/>
            </w:pPr>
            <w:r>
              <w:rPr>
                <w:color w:val="191414"/>
                <w:sz w:val="16"/>
                <w:szCs w:val="16"/>
              </w:rPr>
              <w:t>A</w:t>
            </w:r>
          </w:p>
        </w:tc>
        <w:tc>
          <w:tcPr>
            <w:tcW w:w="85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2D3DDB01" w14:textId="77777777" w:rsidR="00292222" w:rsidRDefault="00000000">
            <w:pPr>
              <w:jc w:val="center"/>
            </w:pPr>
            <w:r>
              <w:rPr>
                <w:color w:val="191414"/>
                <w:sz w:val="16"/>
                <w:szCs w:val="16"/>
              </w:rPr>
              <w:t>C</w:t>
            </w:r>
          </w:p>
        </w:tc>
        <w:tc>
          <w:tcPr>
            <w:tcW w:w="85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39078D41" w14:textId="77777777" w:rsidR="00292222" w:rsidRDefault="00000000">
            <w:pPr>
              <w:jc w:val="center"/>
            </w:pPr>
            <w:r>
              <w:rPr>
                <w:color w:val="191414"/>
                <w:sz w:val="16"/>
                <w:szCs w:val="16"/>
              </w:rPr>
              <w:t>C</w:t>
            </w:r>
          </w:p>
        </w:tc>
        <w:tc>
          <w:tcPr>
            <w:tcW w:w="85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71C2D2EC" w14:textId="77777777" w:rsidR="00292222" w:rsidRDefault="00000000">
            <w:pPr>
              <w:jc w:val="center"/>
            </w:pPr>
            <w:r>
              <w:rPr>
                <w:color w:val="191414"/>
                <w:sz w:val="16"/>
                <w:szCs w:val="16"/>
              </w:rPr>
              <w:t>R</w:t>
            </w:r>
          </w:p>
        </w:tc>
        <w:tc>
          <w:tcPr>
            <w:tcW w:w="85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5A229F8B" w14:textId="77777777" w:rsidR="00292222" w:rsidRDefault="00000000">
            <w:pPr>
              <w:jc w:val="center"/>
            </w:pPr>
            <w:r>
              <w:rPr>
                <w:color w:val="191414"/>
                <w:sz w:val="16"/>
                <w:szCs w:val="16"/>
              </w:rPr>
              <w:t>I</w:t>
            </w:r>
          </w:p>
        </w:tc>
        <w:tc>
          <w:tcPr>
            <w:tcW w:w="90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7D4F826A" w14:textId="77777777" w:rsidR="00292222" w:rsidRDefault="00000000">
            <w:pPr>
              <w:jc w:val="center"/>
            </w:pPr>
            <w:r>
              <w:rPr>
                <w:color w:val="191414"/>
                <w:sz w:val="16"/>
                <w:szCs w:val="16"/>
              </w:rPr>
              <w:t>C</w:t>
            </w:r>
          </w:p>
        </w:tc>
      </w:tr>
      <w:tr w:rsidR="00292222" w14:paraId="55622707" w14:textId="77777777">
        <w:tblPrEx>
          <w:tblCellMar>
            <w:top w:w="0" w:type="dxa"/>
            <w:bottom w:w="0" w:type="dxa"/>
          </w:tblCellMar>
        </w:tblPrEx>
        <w:trPr>
          <w:cantSplit/>
        </w:trPr>
        <w:tc>
          <w:tcPr>
            <w:tcW w:w="3638"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53C1569E" w14:textId="77777777" w:rsidR="00292222" w:rsidRDefault="00000000">
            <w:r>
              <w:rPr>
                <w:b/>
                <w:bCs/>
                <w:color w:val="191414"/>
                <w:sz w:val="16"/>
                <w:szCs w:val="16"/>
              </w:rPr>
              <w:t>Réaliser une analyse d'impact (DPIA)</w:t>
            </w:r>
          </w:p>
        </w:tc>
        <w:tc>
          <w:tcPr>
            <w:tcW w:w="85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3B24D054" w14:textId="77777777" w:rsidR="00292222" w:rsidRDefault="00000000">
            <w:pPr>
              <w:jc w:val="center"/>
            </w:pPr>
            <w:r>
              <w:rPr>
                <w:color w:val="191414"/>
                <w:sz w:val="16"/>
                <w:szCs w:val="16"/>
              </w:rPr>
              <w:t>C</w:t>
            </w:r>
          </w:p>
        </w:tc>
        <w:tc>
          <w:tcPr>
            <w:tcW w:w="85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0E58F3B2" w14:textId="77777777" w:rsidR="00292222" w:rsidRDefault="00000000">
            <w:pPr>
              <w:jc w:val="center"/>
            </w:pPr>
            <w:r>
              <w:rPr>
                <w:color w:val="191414"/>
                <w:sz w:val="16"/>
                <w:szCs w:val="16"/>
              </w:rPr>
              <w:t>A</w:t>
            </w:r>
          </w:p>
        </w:tc>
        <w:tc>
          <w:tcPr>
            <w:tcW w:w="85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0589AA97" w14:textId="77777777" w:rsidR="00292222" w:rsidRDefault="00000000">
            <w:pPr>
              <w:jc w:val="center"/>
            </w:pPr>
            <w:r>
              <w:rPr>
                <w:color w:val="191414"/>
                <w:sz w:val="16"/>
                <w:szCs w:val="16"/>
              </w:rPr>
              <w:t>R</w:t>
            </w:r>
          </w:p>
        </w:tc>
        <w:tc>
          <w:tcPr>
            <w:tcW w:w="85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0D621BCE" w14:textId="77777777" w:rsidR="00292222" w:rsidRDefault="00000000">
            <w:pPr>
              <w:jc w:val="center"/>
            </w:pPr>
            <w:r>
              <w:rPr>
                <w:color w:val="191414"/>
                <w:sz w:val="16"/>
                <w:szCs w:val="16"/>
              </w:rPr>
              <w:t>C</w:t>
            </w:r>
          </w:p>
        </w:tc>
        <w:tc>
          <w:tcPr>
            <w:tcW w:w="85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07D1631D" w14:textId="77777777" w:rsidR="00292222" w:rsidRDefault="00000000">
            <w:pPr>
              <w:jc w:val="center"/>
            </w:pPr>
            <w:r>
              <w:rPr>
                <w:color w:val="191414"/>
                <w:sz w:val="16"/>
                <w:szCs w:val="16"/>
              </w:rPr>
              <w:t>C</w:t>
            </w:r>
          </w:p>
        </w:tc>
        <w:tc>
          <w:tcPr>
            <w:tcW w:w="85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06D408A2" w14:textId="77777777" w:rsidR="00292222" w:rsidRDefault="00000000">
            <w:pPr>
              <w:jc w:val="center"/>
            </w:pPr>
            <w:r>
              <w:rPr>
                <w:color w:val="191414"/>
                <w:sz w:val="16"/>
                <w:szCs w:val="16"/>
              </w:rPr>
              <w:t>C</w:t>
            </w:r>
          </w:p>
        </w:tc>
        <w:tc>
          <w:tcPr>
            <w:tcW w:w="90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0F5BF211" w14:textId="77777777" w:rsidR="00292222" w:rsidRDefault="00000000">
            <w:pPr>
              <w:jc w:val="center"/>
            </w:pPr>
            <w:r>
              <w:rPr>
                <w:color w:val="191414"/>
                <w:sz w:val="16"/>
                <w:szCs w:val="16"/>
              </w:rPr>
              <w:t>C</w:t>
            </w:r>
          </w:p>
        </w:tc>
      </w:tr>
      <w:tr w:rsidR="00292222" w14:paraId="7727DE94" w14:textId="77777777">
        <w:tblPrEx>
          <w:tblCellMar>
            <w:top w:w="0" w:type="dxa"/>
            <w:bottom w:w="0" w:type="dxa"/>
          </w:tblCellMar>
        </w:tblPrEx>
        <w:trPr>
          <w:cantSplit/>
        </w:trPr>
        <w:tc>
          <w:tcPr>
            <w:tcW w:w="3638"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318021DE" w14:textId="77777777" w:rsidR="00292222" w:rsidRDefault="00000000">
            <w:r>
              <w:rPr>
                <w:b/>
                <w:bCs/>
                <w:color w:val="191414"/>
                <w:sz w:val="16"/>
                <w:szCs w:val="16"/>
              </w:rPr>
              <w:t>Attribuer un accès à une donnée sensible</w:t>
            </w:r>
          </w:p>
        </w:tc>
        <w:tc>
          <w:tcPr>
            <w:tcW w:w="85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1BA011D3" w14:textId="77777777" w:rsidR="00292222" w:rsidRDefault="00000000">
            <w:pPr>
              <w:jc w:val="center"/>
            </w:pPr>
            <w:r>
              <w:rPr>
                <w:color w:val="191414"/>
                <w:sz w:val="16"/>
                <w:szCs w:val="16"/>
              </w:rPr>
              <w:t>I</w:t>
            </w:r>
          </w:p>
        </w:tc>
        <w:tc>
          <w:tcPr>
            <w:tcW w:w="85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66D88CC3" w14:textId="77777777" w:rsidR="00292222" w:rsidRDefault="00000000">
            <w:pPr>
              <w:jc w:val="center"/>
            </w:pPr>
            <w:r>
              <w:rPr>
                <w:color w:val="191414"/>
                <w:sz w:val="16"/>
                <w:szCs w:val="16"/>
              </w:rPr>
              <w:t>C</w:t>
            </w:r>
          </w:p>
        </w:tc>
        <w:tc>
          <w:tcPr>
            <w:tcW w:w="85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1C9D0F20" w14:textId="77777777" w:rsidR="00292222" w:rsidRDefault="00000000">
            <w:pPr>
              <w:jc w:val="center"/>
            </w:pPr>
            <w:r>
              <w:rPr>
                <w:color w:val="191414"/>
                <w:sz w:val="16"/>
                <w:szCs w:val="16"/>
              </w:rPr>
              <w:t>A</w:t>
            </w:r>
          </w:p>
        </w:tc>
        <w:tc>
          <w:tcPr>
            <w:tcW w:w="85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505A02E2" w14:textId="77777777" w:rsidR="00292222" w:rsidRDefault="00000000">
            <w:pPr>
              <w:jc w:val="center"/>
            </w:pPr>
            <w:r>
              <w:rPr>
                <w:color w:val="191414"/>
                <w:sz w:val="16"/>
                <w:szCs w:val="16"/>
              </w:rPr>
              <w:t>C</w:t>
            </w:r>
          </w:p>
        </w:tc>
        <w:tc>
          <w:tcPr>
            <w:tcW w:w="85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282D8426" w14:textId="77777777" w:rsidR="00292222" w:rsidRDefault="00000000">
            <w:pPr>
              <w:jc w:val="center"/>
            </w:pPr>
            <w:r>
              <w:rPr>
                <w:color w:val="191414"/>
                <w:sz w:val="16"/>
                <w:szCs w:val="16"/>
              </w:rPr>
              <w:t>R</w:t>
            </w:r>
          </w:p>
        </w:tc>
        <w:tc>
          <w:tcPr>
            <w:tcW w:w="85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75337CCB" w14:textId="77777777" w:rsidR="00292222" w:rsidRDefault="00000000">
            <w:pPr>
              <w:jc w:val="center"/>
            </w:pPr>
            <w:r>
              <w:rPr>
                <w:color w:val="191414"/>
                <w:sz w:val="16"/>
                <w:szCs w:val="16"/>
              </w:rPr>
              <w:t>R</w:t>
            </w:r>
          </w:p>
        </w:tc>
        <w:tc>
          <w:tcPr>
            <w:tcW w:w="90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53477387" w14:textId="77777777" w:rsidR="00292222" w:rsidRDefault="00000000">
            <w:pPr>
              <w:jc w:val="center"/>
            </w:pPr>
            <w:r>
              <w:rPr>
                <w:color w:val="191414"/>
                <w:sz w:val="16"/>
                <w:szCs w:val="16"/>
              </w:rPr>
              <w:t>I</w:t>
            </w:r>
          </w:p>
        </w:tc>
      </w:tr>
      <w:tr w:rsidR="00292222" w14:paraId="44A766E1" w14:textId="77777777">
        <w:tblPrEx>
          <w:tblCellMar>
            <w:top w:w="0" w:type="dxa"/>
            <w:bottom w:w="0" w:type="dxa"/>
          </w:tblCellMar>
        </w:tblPrEx>
        <w:trPr>
          <w:cantSplit/>
        </w:trPr>
        <w:tc>
          <w:tcPr>
            <w:tcW w:w="3638"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4F92BA1E" w14:textId="77777777" w:rsidR="00292222" w:rsidRDefault="00000000">
            <w:r>
              <w:rPr>
                <w:b/>
                <w:bCs/>
                <w:color w:val="191414"/>
                <w:sz w:val="16"/>
                <w:szCs w:val="16"/>
              </w:rPr>
              <w:t>Notifier une violation de données (72 h)</w:t>
            </w:r>
          </w:p>
        </w:tc>
        <w:tc>
          <w:tcPr>
            <w:tcW w:w="85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4AFAEF88" w14:textId="77777777" w:rsidR="00292222" w:rsidRDefault="00000000">
            <w:pPr>
              <w:jc w:val="center"/>
            </w:pPr>
            <w:r>
              <w:rPr>
                <w:color w:val="191414"/>
                <w:sz w:val="16"/>
                <w:szCs w:val="16"/>
              </w:rPr>
              <w:t>I</w:t>
            </w:r>
          </w:p>
        </w:tc>
        <w:tc>
          <w:tcPr>
            <w:tcW w:w="85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17C41E0F" w14:textId="77777777" w:rsidR="00292222" w:rsidRDefault="00000000">
            <w:pPr>
              <w:jc w:val="center"/>
            </w:pPr>
            <w:r>
              <w:rPr>
                <w:color w:val="191414"/>
                <w:sz w:val="16"/>
                <w:szCs w:val="16"/>
              </w:rPr>
              <w:t>A</w:t>
            </w:r>
          </w:p>
        </w:tc>
        <w:tc>
          <w:tcPr>
            <w:tcW w:w="85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59C1DD45" w14:textId="77777777" w:rsidR="00292222" w:rsidRDefault="00000000">
            <w:pPr>
              <w:jc w:val="center"/>
            </w:pPr>
            <w:r>
              <w:rPr>
                <w:color w:val="191414"/>
                <w:sz w:val="16"/>
                <w:szCs w:val="16"/>
              </w:rPr>
              <w:t>I</w:t>
            </w:r>
          </w:p>
        </w:tc>
        <w:tc>
          <w:tcPr>
            <w:tcW w:w="85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7D528644" w14:textId="77777777" w:rsidR="00292222" w:rsidRDefault="00000000">
            <w:pPr>
              <w:jc w:val="center"/>
            </w:pPr>
            <w:r>
              <w:rPr>
                <w:color w:val="191414"/>
                <w:sz w:val="16"/>
                <w:szCs w:val="16"/>
              </w:rPr>
              <w:t>I</w:t>
            </w:r>
          </w:p>
        </w:tc>
        <w:tc>
          <w:tcPr>
            <w:tcW w:w="85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61F5D59D" w14:textId="77777777" w:rsidR="00292222" w:rsidRDefault="00000000">
            <w:pPr>
              <w:jc w:val="center"/>
            </w:pPr>
            <w:r>
              <w:rPr>
                <w:color w:val="191414"/>
                <w:sz w:val="16"/>
                <w:szCs w:val="16"/>
              </w:rPr>
              <w:t>C</w:t>
            </w:r>
          </w:p>
        </w:tc>
        <w:tc>
          <w:tcPr>
            <w:tcW w:w="85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2F10CC11" w14:textId="77777777" w:rsidR="00292222" w:rsidRDefault="00000000">
            <w:pPr>
              <w:jc w:val="center"/>
            </w:pPr>
            <w:r>
              <w:rPr>
                <w:color w:val="191414"/>
                <w:sz w:val="16"/>
                <w:szCs w:val="16"/>
              </w:rPr>
              <w:t>R</w:t>
            </w:r>
          </w:p>
        </w:tc>
        <w:tc>
          <w:tcPr>
            <w:tcW w:w="900" w:type="dxa"/>
            <w:tcBorders>
              <w:top w:val="single" w:sz="4" w:space="0" w:color="C9D3CE"/>
              <w:left w:val="single" w:sz="4" w:space="0" w:color="C9D3CE"/>
              <w:bottom w:val="single" w:sz="4" w:space="0" w:color="C9D3CE"/>
              <w:right w:val="single" w:sz="4" w:space="0" w:color="C9D3CE"/>
            </w:tcBorders>
            <w:shd w:val="clear" w:color="auto" w:fill="FFFFFF"/>
            <w:tcMar>
              <w:top w:w="50" w:type="dxa"/>
              <w:left w:w="90" w:type="dxa"/>
              <w:bottom w:w="50" w:type="dxa"/>
              <w:right w:w="90" w:type="dxa"/>
            </w:tcMar>
          </w:tcPr>
          <w:p w14:paraId="32716E76" w14:textId="77777777" w:rsidR="00292222" w:rsidRDefault="00000000">
            <w:pPr>
              <w:jc w:val="center"/>
            </w:pPr>
            <w:r>
              <w:rPr>
                <w:color w:val="191414"/>
                <w:sz w:val="16"/>
                <w:szCs w:val="16"/>
              </w:rPr>
              <w:t>R</w:t>
            </w:r>
          </w:p>
        </w:tc>
      </w:tr>
      <w:tr w:rsidR="00292222" w14:paraId="7A0C91D5" w14:textId="77777777">
        <w:tblPrEx>
          <w:tblCellMar>
            <w:top w:w="0" w:type="dxa"/>
            <w:bottom w:w="0" w:type="dxa"/>
          </w:tblCellMar>
        </w:tblPrEx>
        <w:trPr>
          <w:cantSplit/>
        </w:trPr>
        <w:tc>
          <w:tcPr>
            <w:tcW w:w="3638"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6522A08D" w14:textId="77777777" w:rsidR="00292222" w:rsidRDefault="00000000">
            <w:r>
              <w:rPr>
                <w:b/>
                <w:bCs/>
                <w:color w:val="191414"/>
                <w:sz w:val="16"/>
                <w:szCs w:val="16"/>
              </w:rPr>
              <w:t>Revue des biais d'un modèle de recommandation</w:t>
            </w:r>
          </w:p>
        </w:tc>
        <w:tc>
          <w:tcPr>
            <w:tcW w:w="85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7C7620C1" w14:textId="77777777" w:rsidR="00292222" w:rsidRDefault="00000000">
            <w:pPr>
              <w:jc w:val="center"/>
            </w:pPr>
            <w:r>
              <w:rPr>
                <w:color w:val="191414"/>
                <w:sz w:val="16"/>
                <w:szCs w:val="16"/>
              </w:rPr>
              <w:t>A</w:t>
            </w:r>
          </w:p>
        </w:tc>
        <w:tc>
          <w:tcPr>
            <w:tcW w:w="85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5AD37CA7" w14:textId="77777777" w:rsidR="00292222" w:rsidRDefault="00000000">
            <w:pPr>
              <w:jc w:val="center"/>
            </w:pPr>
            <w:r>
              <w:rPr>
                <w:color w:val="191414"/>
                <w:sz w:val="16"/>
                <w:szCs w:val="16"/>
              </w:rPr>
              <w:t>C</w:t>
            </w:r>
          </w:p>
        </w:tc>
        <w:tc>
          <w:tcPr>
            <w:tcW w:w="85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7E620C46" w14:textId="77777777" w:rsidR="00292222" w:rsidRDefault="00000000">
            <w:pPr>
              <w:jc w:val="center"/>
            </w:pPr>
            <w:r>
              <w:rPr>
                <w:color w:val="191414"/>
                <w:sz w:val="16"/>
                <w:szCs w:val="16"/>
              </w:rPr>
              <w:t>C</w:t>
            </w:r>
          </w:p>
        </w:tc>
        <w:tc>
          <w:tcPr>
            <w:tcW w:w="85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127DD211" w14:textId="77777777" w:rsidR="00292222" w:rsidRDefault="00000000">
            <w:pPr>
              <w:jc w:val="center"/>
            </w:pPr>
            <w:r>
              <w:rPr>
                <w:color w:val="191414"/>
                <w:sz w:val="16"/>
                <w:szCs w:val="16"/>
              </w:rPr>
              <w:t>R</w:t>
            </w:r>
          </w:p>
        </w:tc>
        <w:tc>
          <w:tcPr>
            <w:tcW w:w="85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7FF09ABB" w14:textId="77777777" w:rsidR="00292222" w:rsidRDefault="00000000">
            <w:pPr>
              <w:jc w:val="center"/>
            </w:pPr>
            <w:r>
              <w:rPr>
                <w:color w:val="191414"/>
                <w:sz w:val="16"/>
                <w:szCs w:val="16"/>
              </w:rPr>
              <w:t>R</w:t>
            </w:r>
          </w:p>
        </w:tc>
        <w:tc>
          <w:tcPr>
            <w:tcW w:w="85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4C6CFFDA" w14:textId="77777777" w:rsidR="00292222" w:rsidRDefault="00000000">
            <w:pPr>
              <w:jc w:val="center"/>
            </w:pPr>
            <w:r>
              <w:rPr>
                <w:color w:val="191414"/>
                <w:sz w:val="16"/>
                <w:szCs w:val="16"/>
              </w:rPr>
              <w:t>I</w:t>
            </w:r>
          </w:p>
        </w:tc>
        <w:tc>
          <w:tcPr>
            <w:tcW w:w="900" w:type="dxa"/>
            <w:tcBorders>
              <w:top w:val="single" w:sz="4" w:space="0" w:color="C9D3CE"/>
              <w:left w:val="single" w:sz="4" w:space="0" w:color="C9D3CE"/>
              <w:bottom w:val="single" w:sz="4" w:space="0" w:color="C9D3CE"/>
              <w:right w:val="single" w:sz="4" w:space="0" w:color="C9D3CE"/>
            </w:tcBorders>
            <w:shd w:val="clear" w:color="auto" w:fill="F6F8F7"/>
            <w:tcMar>
              <w:top w:w="50" w:type="dxa"/>
              <w:left w:w="90" w:type="dxa"/>
              <w:bottom w:w="50" w:type="dxa"/>
              <w:right w:w="90" w:type="dxa"/>
            </w:tcMar>
          </w:tcPr>
          <w:p w14:paraId="0CA03B38" w14:textId="77777777" w:rsidR="00292222" w:rsidRDefault="00000000">
            <w:pPr>
              <w:jc w:val="center"/>
            </w:pPr>
            <w:r>
              <w:rPr>
                <w:color w:val="191414"/>
                <w:sz w:val="16"/>
                <w:szCs w:val="16"/>
              </w:rPr>
              <w:t>C</w:t>
            </w:r>
          </w:p>
        </w:tc>
      </w:tr>
    </w:tbl>
    <w:p w14:paraId="4F4384F3" w14:textId="77777777" w:rsidR="00292222" w:rsidRDefault="00000000">
      <w:pPr>
        <w:pStyle w:val="Titre1"/>
        <w:keepNext/>
        <w:spacing w:before="220" w:after="100"/>
      </w:pPr>
      <w:r>
        <w:t>7. Application et suivi de la politique</w:t>
      </w:r>
    </w:p>
    <w:p w14:paraId="6C503FC2" w14:textId="77777777" w:rsidR="00292222" w:rsidRDefault="00000000">
      <w:pPr>
        <w:pStyle w:val="Paragraphedeliste"/>
        <w:numPr>
          <w:ilvl w:val="0"/>
          <w:numId w:val="2"/>
        </w:numPr>
        <w:spacing w:after="50" w:line="252" w:lineRule="auto"/>
      </w:pPr>
      <w:r>
        <w:rPr>
          <w:b/>
          <w:bCs/>
        </w:rPr>
        <w:t>Exceptions :</w:t>
      </w:r>
      <w:r>
        <w:t xml:space="preserve"> une équipe qui ne peut pas respecter une règle doit en faire la demande motivée au Comité. L'exception est limitée à 6 mois et inscrite dans le Data Catalogue.</w:t>
      </w:r>
    </w:p>
    <w:p w14:paraId="5DAADB61" w14:textId="77777777" w:rsidR="00292222" w:rsidRDefault="00000000">
      <w:pPr>
        <w:pStyle w:val="Paragraphedeliste"/>
        <w:numPr>
          <w:ilvl w:val="0"/>
          <w:numId w:val="2"/>
        </w:numPr>
        <w:spacing w:after="50" w:line="252" w:lineRule="auto"/>
      </w:pPr>
      <w:r>
        <w:rPr>
          <w:b/>
          <w:bCs/>
        </w:rPr>
        <w:t>Non-respect :</w:t>
      </w:r>
      <w:r>
        <w:t xml:space="preserve"> le problème est d'abord remonté au Data Owner, puis au Comité. Un système qui ne respecte pas le principe P2 ne peut pas être mis en production.</w:t>
      </w:r>
    </w:p>
    <w:p w14:paraId="7EAEF346" w14:textId="77777777" w:rsidR="00292222" w:rsidRDefault="00000000">
      <w:pPr>
        <w:pStyle w:val="Paragraphedeliste"/>
        <w:numPr>
          <w:ilvl w:val="0"/>
          <w:numId w:val="2"/>
        </w:numPr>
        <w:spacing w:after="50" w:line="252" w:lineRule="auto"/>
      </w:pPr>
      <w:r>
        <w:rPr>
          <w:b/>
          <w:bCs/>
        </w:rPr>
        <w:t>Indicateurs de suivi :</w:t>
      </w:r>
      <w:r>
        <w:t xml:space="preserve"> part des jeux de données documentés dans le catalogue, part des jeux de données couverts par un data contract, délai de réponse aux demandes des utilisateurs, cohérence du consentement entre les systèmes et part des collaborateurs formés. Ces indicateurs sont détaillés dans le Livrable 3.</w:t>
      </w:r>
    </w:p>
    <w:p w14:paraId="18B7B8DF" w14:textId="77777777" w:rsidR="00292222" w:rsidRDefault="00000000">
      <w:pPr>
        <w:pStyle w:val="Paragraphedeliste"/>
        <w:numPr>
          <w:ilvl w:val="0"/>
          <w:numId w:val="2"/>
        </w:numPr>
        <w:spacing w:after="50" w:line="252" w:lineRule="auto"/>
      </w:pPr>
      <w:r>
        <w:rPr>
          <w:b/>
          <w:bCs/>
        </w:rPr>
        <w:t>Sensibilisation :</w:t>
      </w:r>
      <w:r>
        <w:t xml:space="preserve"> un module de formation obligatoire pour tous les collaborateurs, complété par des parcours adaptés aux Data Stewards, aux équipes techniques et aux équipes produit et marketing.</w:t>
      </w:r>
    </w:p>
    <w:p w14:paraId="5B3C00FA" w14:textId="77777777" w:rsidR="00292222" w:rsidRDefault="00000000">
      <w:pPr>
        <w:pStyle w:val="Titre1"/>
        <w:keepNext/>
        <w:spacing w:before="220" w:after="100"/>
      </w:pPr>
      <w:r>
        <w:t>8. Conclusion</w:t>
      </w:r>
    </w:p>
    <w:p w14:paraId="27FE58FA" w14:textId="77777777" w:rsidR="00292222" w:rsidRDefault="00000000">
      <w:pPr>
        <w:spacing w:after="100" w:line="264" w:lineRule="auto"/>
      </w:pPr>
      <w:r>
        <w:t xml:space="preserve">Cette politique donne à Spotify un cadre commun qui manquait jusqu'ici. Son idée centrale est simple : </w:t>
      </w:r>
      <w:r>
        <w:rPr>
          <w:b/>
          <w:bCs/>
        </w:rPr>
        <w:t>chaque donnée a un responsable, une étiquette et un contrat</w:t>
      </w:r>
      <w:r>
        <w:t>. Le responsable garantit que quelqu'un répond de la donnée, l'étiquette détermine automatiquement les règles d'accès et de conservation, et le contrat engage sur la qualité. Associée à une organisation claire et à une conformité intégrée dès la conception, elle permet de concilier l'innovation, qui fait la force de Spotify, avec la protection des utilisateurs. Sa mise en œuvre, en commençant par un pilote, est présentée dans le Livrable 3.</w:t>
      </w:r>
    </w:p>
    <w:sectPr w:rsidR="00292222">
      <w:headerReference w:type="default" r:id="rId7"/>
      <w:footerReference w:type="default" r:id="rId8"/>
      <w:pgSz w:w="11906" w:h="16838"/>
      <w:pgMar w:top="1000" w:right="1134"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FA581" w14:textId="77777777" w:rsidR="008D3608" w:rsidRDefault="008D3608">
      <w:r>
        <w:separator/>
      </w:r>
    </w:p>
  </w:endnote>
  <w:endnote w:type="continuationSeparator" w:id="0">
    <w:p w14:paraId="265F136D" w14:textId="77777777" w:rsidR="008D3608" w:rsidRDefault="008D3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88C87" w14:textId="77777777" w:rsidR="00292222" w:rsidRDefault="00000000">
    <w:pPr>
      <w:jc w:val="right"/>
    </w:pPr>
    <w:r>
      <w:rPr>
        <w:color w:val="5F6B66"/>
        <w:sz w:val="15"/>
        <w:szCs w:val="15"/>
      </w:rPr>
      <w:t xml:space="preserve">Page </w:t>
    </w:r>
    <w:r>
      <w:rPr>
        <w:color w:val="5F6B66"/>
        <w:sz w:val="15"/>
        <w:szCs w:val="15"/>
      </w:rPr>
      <w:fldChar w:fldCharType="begin"/>
    </w:r>
    <w:r>
      <w:rPr>
        <w:color w:val="5F6B66"/>
        <w:sz w:val="15"/>
        <w:szCs w:val="15"/>
      </w:rPr>
      <w:instrText>PAGE</w:instrText>
    </w:r>
    <w:r>
      <w:rPr>
        <w:color w:val="5F6B66"/>
        <w:sz w:val="15"/>
        <w:szCs w:val="15"/>
      </w:rPr>
      <w:fldChar w:fldCharType="separate"/>
    </w:r>
    <w:r w:rsidR="00EE3362">
      <w:rPr>
        <w:noProof/>
        <w:color w:val="5F6B66"/>
        <w:sz w:val="15"/>
        <w:szCs w:val="15"/>
      </w:rPr>
      <w:t>1</w:t>
    </w:r>
    <w:r>
      <w:rPr>
        <w:color w:val="5F6B66"/>
        <w:sz w:val="15"/>
        <w:szCs w:val="15"/>
      </w:rPr>
      <w:fldChar w:fldCharType="end"/>
    </w:r>
    <w:r>
      <w:rPr>
        <w:color w:val="5F6B66"/>
        <w:sz w:val="15"/>
        <w:szCs w:val="15"/>
      </w:rPr>
      <w:t xml:space="preserve"> / </w:t>
    </w:r>
    <w:r>
      <w:rPr>
        <w:color w:val="5F6B66"/>
        <w:sz w:val="15"/>
        <w:szCs w:val="15"/>
      </w:rPr>
      <w:fldChar w:fldCharType="begin"/>
    </w:r>
    <w:r>
      <w:rPr>
        <w:color w:val="5F6B66"/>
        <w:sz w:val="15"/>
        <w:szCs w:val="15"/>
      </w:rPr>
      <w:instrText>NUMPAGES</w:instrText>
    </w:r>
    <w:r>
      <w:rPr>
        <w:color w:val="5F6B66"/>
        <w:sz w:val="15"/>
        <w:szCs w:val="15"/>
      </w:rPr>
      <w:fldChar w:fldCharType="separate"/>
    </w:r>
    <w:r w:rsidR="00EE3362">
      <w:rPr>
        <w:noProof/>
        <w:color w:val="5F6B66"/>
        <w:sz w:val="15"/>
        <w:szCs w:val="15"/>
      </w:rPr>
      <w:t>2</w:t>
    </w:r>
    <w:r>
      <w:rPr>
        <w:color w:val="5F6B6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06F43" w14:textId="77777777" w:rsidR="008D3608" w:rsidRDefault="008D3608">
      <w:r>
        <w:separator/>
      </w:r>
    </w:p>
  </w:footnote>
  <w:footnote w:type="continuationSeparator" w:id="0">
    <w:p w14:paraId="6550965E" w14:textId="77777777" w:rsidR="008D3608" w:rsidRDefault="008D36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E62D5" w14:textId="77777777" w:rsidR="00292222" w:rsidRDefault="00000000">
    <w:pPr>
      <w:tabs>
        <w:tab w:val="right" w:pos="9638"/>
      </w:tabs>
    </w:pPr>
    <w:r>
      <w:rPr>
        <w:color w:val="5F6B66"/>
        <w:sz w:val="15"/>
        <w:szCs w:val="15"/>
      </w:rPr>
      <w:t>Spotify — Politique de gouvernance</w:t>
    </w:r>
    <w:r>
      <w:rPr>
        <w:color w:val="5F6B66"/>
        <w:sz w:val="15"/>
        <w:szCs w:val="15"/>
      </w:rPr>
      <w:tab/>
      <w:t>RNCP 41993 · Bloc 1 — Adrien COSSON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C6439"/>
    <w:multiLevelType w:val="hybridMultilevel"/>
    <w:tmpl w:val="664254FE"/>
    <w:lvl w:ilvl="0" w:tplc="19B8F752">
      <w:start w:val="1"/>
      <w:numFmt w:val="bullet"/>
      <w:lvlText w:val="●"/>
      <w:lvlJc w:val="left"/>
      <w:pPr>
        <w:ind w:left="720" w:hanging="360"/>
      </w:pPr>
    </w:lvl>
    <w:lvl w:ilvl="1" w:tplc="BDF4ECEA">
      <w:start w:val="1"/>
      <w:numFmt w:val="bullet"/>
      <w:lvlText w:val="○"/>
      <w:lvlJc w:val="left"/>
      <w:pPr>
        <w:ind w:left="1440" w:hanging="360"/>
      </w:pPr>
    </w:lvl>
    <w:lvl w:ilvl="2" w:tplc="596C1C16">
      <w:start w:val="1"/>
      <w:numFmt w:val="bullet"/>
      <w:lvlText w:val="■"/>
      <w:lvlJc w:val="left"/>
      <w:pPr>
        <w:ind w:left="2160" w:hanging="360"/>
      </w:pPr>
    </w:lvl>
    <w:lvl w:ilvl="3" w:tplc="E71A8732">
      <w:start w:val="1"/>
      <w:numFmt w:val="bullet"/>
      <w:lvlText w:val="●"/>
      <w:lvlJc w:val="left"/>
      <w:pPr>
        <w:ind w:left="2880" w:hanging="360"/>
      </w:pPr>
    </w:lvl>
    <w:lvl w:ilvl="4" w:tplc="F942E2FA">
      <w:start w:val="1"/>
      <w:numFmt w:val="bullet"/>
      <w:lvlText w:val="○"/>
      <w:lvlJc w:val="left"/>
      <w:pPr>
        <w:ind w:left="3600" w:hanging="360"/>
      </w:pPr>
    </w:lvl>
    <w:lvl w:ilvl="5" w:tplc="0CE878E2">
      <w:start w:val="1"/>
      <w:numFmt w:val="bullet"/>
      <w:lvlText w:val="■"/>
      <w:lvlJc w:val="left"/>
      <w:pPr>
        <w:ind w:left="4320" w:hanging="360"/>
      </w:pPr>
    </w:lvl>
    <w:lvl w:ilvl="6" w:tplc="156073A2">
      <w:start w:val="1"/>
      <w:numFmt w:val="bullet"/>
      <w:lvlText w:val="●"/>
      <w:lvlJc w:val="left"/>
      <w:pPr>
        <w:ind w:left="5040" w:hanging="360"/>
      </w:pPr>
    </w:lvl>
    <w:lvl w:ilvl="7" w:tplc="97B6AE26">
      <w:start w:val="1"/>
      <w:numFmt w:val="bullet"/>
      <w:lvlText w:val="●"/>
      <w:lvlJc w:val="left"/>
      <w:pPr>
        <w:ind w:left="5760" w:hanging="360"/>
      </w:pPr>
    </w:lvl>
    <w:lvl w:ilvl="8" w:tplc="7518764C">
      <w:start w:val="1"/>
      <w:numFmt w:val="bullet"/>
      <w:lvlText w:val="●"/>
      <w:lvlJc w:val="left"/>
      <w:pPr>
        <w:ind w:left="6480" w:hanging="360"/>
      </w:pPr>
    </w:lvl>
  </w:abstractNum>
  <w:abstractNum w:abstractNumId="1" w15:restartNumberingAfterBreak="0">
    <w:nsid w:val="51A84DD9"/>
    <w:multiLevelType w:val="hybridMultilevel"/>
    <w:tmpl w:val="67D27654"/>
    <w:lvl w:ilvl="0" w:tplc="FFCE3512">
      <w:start w:val="1"/>
      <w:numFmt w:val="bullet"/>
      <w:lvlText w:val="•"/>
      <w:lvlJc w:val="left"/>
      <w:pPr>
        <w:ind w:left="360" w:hanging="220"/>
      </w:pPr>
    </w:lvl>
    <w:lvl w:ilvl="1" w:tplc="79CE3D30">
      <w:start w:val="1"/>
      <w:numFmt w:val="bullet"/>
      <w:lvlText w:val="–"/>
      <w:lvlJc w:val="left"/>
      <w:pPr>
        <w:ind w:left="720" w:hanging="220"/>
      </w:pPr>
    </w:lvl>
    <w:lvl w:ilvl="2" w:tplc="DEF01BC8">
      <w:numFmt w:val="decimal"/>
      <w:lvlText w:val=""/>
      <w:lvlJc w:val="left"/>
    </w:lvl>
    <w:lvl w:ilvl="3" w:tplc="1A129B1C">
      <w:numFmt w:val="decimal"/>
      <w:lvlText w:val=""/>
      <w:lvlJc w:val="left"/>
    </w:lvl>
    <w:lvl w:ilvl="4" w:tplc="E98EA496">
      <w:numFmt w:val="decimal"/>
      <w:lvlText w:val=""/>
      <w:lvlJc w:val="left"/>
    </w:lvl>
    <w:lvl w:ilvl="5" w:tplc="B2AA9DF2">
      <w:numFmt w:val="decimal"/>
      <w:lvlText w:val=""/>
      <w:lvlJc w:val="left"/>
    </w:lvl>
    <w:lvl w:ilvl="6" w:tplc="F8A0BE96">
      <w:numFmt w:val="decimal"/>
      <w:lvlText w:val=""/>
      <w:lvlJc w:val="left"/>
    </w:lvl>
    <w:lvl w:ilvl="7" w:tplc="2ECA5462">
      <w:numFmt w:val="decimal"/>
      <w:lvlText w:val=""/>
      <w:lvlJc w:val="left"/>
    </w:lvl>
    <w:lvl w:ilvl="8" w:tplc="ADF64716">
      <w:numFmt w:val="decimal"/>
      <w:lvlText w:val=""/>
      <w:lvlJc w:val="left"/>
    </w:lvl>
  </w:abstractNum>
  <w:num w:numId="1" w16cid:durableId="500006299">
    <w:abstractNumId w:val="0"/>
    <w:lvlOverride w:ilvl="0">
      <w:startOverride w:val="1"/>
    </w:lvlOverride>
  </w:num>
  <w:num w:numId="2" w16cid:durableId="8108247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222"/>
    <w:rsid w:val="00292222"/>
    <w:rsid w:val="008D3608"/>
    <w:rsid w:val="00A634F4"/>
    <w:rsid w:val="00EE33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032A9"/>
  <w15:docId w15:val="{CD7F439A-31D4-4A92-B5EA-9F99AD4D4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1E7F4F"/>
      <w:sz w:val="26"/>
      <w:szCs w:val="26"/>
    </w:rPr>
  </w:style>
  <w:style w:type="paragraph" w:styleId="Titre2">
    <w:name w:val="heading 2"/>
    <w:uiPriority w:val="9"/>
    <w:unhideWhenUsed/>
    <w:qFormat/>
    <w:pPr>
      <w:outlineLvl w:val="1"/>
    </w:pPr>
    <w:rPr>
      <w:b/>
      <w:bCs/>
      <w:color w:val="191414"/>
      <w:sz w:val="21"/>
      <w:szCs w:val="21"/>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1876</Words>
  <Characters>10319</Characters>
  <Application>Microsoft Office Word</Application>
  <DocSecurity>0</DocSecurity>
  <Lines>85</Lines>
  <Paragraphs>24</Paragraphs>
  <ScaleCrop>false</ScaleCrop>
  <Company/>
  <LinksUpToDate>false</LinksUpToDate>
  <CharactersWithSpaces>12171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Politique de gouvernance</dc:title>
  <dc:creator>Adrien COSSON</dc:creator>
  <cp:lastModifiedBy>Adrien COSSON</cp:lastModifiedBy>
  <cp:revision>2</cp:revision>
  <dcterms:created xsi:type="dcterms:W3CDTF">2026-10-01T12:12:00Z</dcterms:created>
  <dcterms:modified xsi:type="dcterms:W3CDTF">2026-10-01T13:28:00Z</dcterms:modified>
</cp:coreProperties>
</file>