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A" w:rsidRDefault="00345D99" w:rsidP="000217AA">
      <w:pPr>
        <w:spacing w:after="0" w:line="240" w:lineRule="auto"/>
        <w:rPr>
          <w:b/>
          <w:sz w:val="24"/>
        </w:rPr>
      </w:pPr>
      <w:r w:rsidRPr="000C4A74">
        <w:rPr>
          <w:b/>
          <w:sz w:val="24"/>
        </w:rPr>
        <w:t xml:space="preserve">Analysis of </w:t>
      </w:r>
      <w:proofErr w:type="spellStart"/>
      <w:r w:rsidRPr="000C4A74">
        <w:rPr>
          <w:b/>
          <w:sz w:val="24"/>
        </w:rPr>
        <w:t>Crowdfunding</w:t>
      </w:r>
      <w:proofErr w:type="spellEnd"/>
      <w:r w:rsidRPr="000C4A74">
        <w:rPr>
          <w:b/>
          <w:sz w:val="24"/>
        </w:rPr>
        <w:t xml:space="preserve"> Campaign Project</w:t>
      </w:r>
    </w:p>
    <w:p w:rsidR="008E4FF2" w:rsidRPr="000217AA" w:rsidRDefault="000217AA" w:rsidP="000217AA">
      <w:pPr>
        <w:spacing w:line="360" w:lineRule="auto"/>
      </w:pPr>
      <w:r w:rsidRPr="000217AA">
        <w:t xml:space="preserve">By Ronda </w:t>
      </w:r>
      <w:proofErr w:type="spellStart"/>
      <w:r w:rsidRPr="000217AA">
        <w:t>Hinz</w:t>
      </w:r>
      <w:proofErr w:type="spellEnd"/>
    </w:p>
    <w:p w:rsidR="00345D99" w:rsidRPr="000C4A74" w:rsidRDefault="000C4A74">
      <w:pPr>
        <w:rPr>
          <w:b/>
          <w:u w:val="single"/>
        </w:rPr>
      </w:pPr>
      <w:r w:rsidRPr="000C4A74">
        <w:rPr>
          <w:b/>
          <w:u w:val="single"/>
        </w:rPr>
        <w:t>Conclusions</w:t>
      </w:r>
    </w:p>
    <w:p w:rsidR="0090328D" w:rsidRDefault="000217AA">
      <w:r>
        <w:t xml:space="preserve">Based upon the </w:t>
      </w:r>
      <w:proofErr w:type="spellStart"/>
      <w:r>
        <w:t>Crow</w:t>
      </w:r>
      <w:r w:rsidR="005A30E1">
        <w:t>dfundingBook</w:t>
      </w:r>
      <w:proofErr w:type="spellEnd"/>
      <w:r w:rsidR="005A30E1">
        <w:t xml:space="preserve"> data, the category/</w:t>
      </w:r>
      <w:r>
        <w:t xml:space="preserve">sub-category that </w:t>
      </w:r>
      <w:r w:rsidR="005A30E1">
        <w:t xml:space="preserve">achieved the </w:t>
      </w:r>
      <w:r>
        <w:t>most success</w:t>
      </w:r>
      <w:r w:rsidR="005A30E1">
        <w:t>, in terms of reaching their funding goal,</w:t>
      </w:r>
      <w:r>
        <w:t xml:space="preserve"> is “theater” and “plays” respectively.</w:t>
      </w:r>
    </w:p>
    <w:p w:rsidR="00AB3727" w:rsidRDefault="005A30E1" w:rsidP="00B07503">
      <w:pPr>
        <w:jc w:val="center"/>
      </w:pPr>
      <w:r>
        <w:rPr>
          <w:noProof/>
        </w:rPr>
        <w:drawing>
          <wp:inline distT="0" distB="0" distL="0" distR="0">
            <wp:extent cx="4846620" cy="3079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36" cy="308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A" w:rsidRDefault="00AB3727" w:rsidP="00B07503">
      <w:pPr>
        <w:jc w:val="center"/>
      </w:pPr>
      <w:r>
        <w:rPr>
          <w:noProof/>
        </w:rPr>
        <w:drawing>
          <wp:inline distT="0" distB="0" distL="0" distR="0">
            <wp:extent cx="4854875" cy="3705689"/>
            <wp:effectExtent l="19050" t="0" r="28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40" cy="370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AA" w:rsidRDefault="00AB3727">
      <w:r>
        <w:lastRenderedPageBreak/>
        <w:t>C</w:t>
      </w:r>
      <w:r w:rsidR="000217AA">
        <w:t xml:space="preserve">ampaigns launched </w:t>
      </w:r>
      <w:r w:rsidR="005A30E1">
        <w:t>during the</w:t>
      </w:r>
      <w:r w:rsidR="00461DF5">
        <w:t xml:space="preserve"> months of May</w:t>
      </w:r>
      <w:r w:rsidR="005A30E1">
        <w:t>, June</w:t>
      </w:r>
      <w:r w:rsidR="000217AA">
        <w:t xml:space="preserve"> and July </w:t>
      </w:r>
      <w:r w:rsidR="005A30E1">
        <w:t>experienced the</w:t>
      </w:r>
      <w:r w:rsidR="00461DF5">
        <w:t xml:space="preserve"> highest </w:t>
      </w:r>
      <w:r w:rsidR="005A30E1">
        <w:t xml:space="preserve">degree of </w:t>
      </w:r>
      <w:r w:rsidR="00461DF5">
        <w:t xml:space="preserve">success, especially when compared with campaigns that </w:t>
      </w:r>
      <w:r>
        <w:t xml:space="preserve">launched </w:t>
      </w:r>
      <w:r w:rsidR="00461DF5">
        <w:t>between the months of August and December.</w:t>
      </w:r>
      <w:r w:rsidR="005A30E1">
        <w:t xml:space="preserve">   </w:t>
      </w:r>
      <w:r>
        <w:t>This could be linked to increased spending and tighter household budgets during the</w:t>
      </w:r>
      <w:r w:rsidR="005A30E1">
        <w:t xml:space="preserve"> holiday shopping season.</w:t>
      </w:r>
    </w:p>
    <w:p w:rsidR="00461DF5" w:rsidRDefault="00461DF5" w:rsidP="00B07503">
      <w:pPr>
        <w:jc w:val="center"/>
      </w:pPr>
      <w:r>
        <w:rPr>
          <w:noProof/>
        </w:rPr>
        <w:drawing>
          <wp:inline distT="0" distB="0" distL="0" distR="0">
            <wp:extent cx="4656467" cy="32653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66" cy="326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0E1" w:rsidRDefault="005A30E1"/>
    <w:p w:rsidR="005A30E1" w:rsidRDefault="00AB3727">
      <w:r>
        <w:t xml:space="preserve">Finally, </w:t>
      </w:r>
      <w:proofErr w:type="spellStart"/>
      <w:r>
        <w:t>crowdfunding</w:t>
      </w:r>
      <w:proofErr w:type="spellEnd"/>
      <w:r>
        <w:t xml:space="preserve"> patrons have a desire to contribute to meaningful projects that could not be obtained without </w:t>
      </w:r>
      <w:r w:rsidR="00D32787">
        <w:t>pledge money but are less interested in contributing to smaller projects that require less money to achieve.   Campaigns with a funding goal of less than $10000 or more than $50000 are able to attain their goal about 50% of the</w:t>
      </w:r>
      <w:r w:rsidR="00B07503">
        <w:t xml:space="preserve"> time.  This is in sharp contrast to campaign </w:t>
      </w:r>
      <w:r w:rsidR="00D32787">
        <w:t>goal</w:t>
      </w:r>
      <w:r w:rsidR="00B07503">
        <w:t>s</w:t>
      </w:r>
      <w:r w:rsidR="00D32787">
        <w:t xml:space="preserve"> </w:t>
      </w:r>
      <w:r w:rsidR="00B07503">
        <w:t>between $15</w:t>
      </w:r>
      <w:r w:rsidR="00D32787">
        <w:t>000</w:t>
      </w:r>
      <w:r w:rsidR="00B07503">
        <w:t>-$48000 with an average success rate of 70% and above.</w:t>
      </w:r>
    </w:p>
    <w:p w:rsidR="00B07503" w:rsidRDefault="00B07503" w:rsidP="00B07503">
      <w:pPr>
        <w:jc w:val="center"/>
      </w:pPr>
      <w:r>
        <w:rPr>
          <w:noProof/>
        </w:rPr>
        <w:drawing>
          <wp:inline distT="0" distB="0" distL="0" distR="0">
            <wp:extent cx="5756594" cy="26741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61" r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07" cy="267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E0" w:rsidRPr="00916609" w:rsidRDefault="00730E71">
      <w:pPr>
        <w:rPr>
          <w:b/>
          <w:u w:val="single"/>
        </w:rPr>
      </w:pPr>
      <w:r w:rsidRPr="00916609">
        <w:rPr>
          <w:b/>
          <w:u w:val="single"/>
        </w:rPr>
        <w:lastRenderedPageBreak/>
        <w:t>Limitations</w:t>
      </w:r>
    </w:p>
    <w:p w:rsidR="00730E71" w:rsidRPr="00916609" w:rsidRDefault="00C75756">
      <w:r w:rsidRPr="00916609">
        <w:t>Th</w:t>
      </w:r>
      <w:r w:rsidR="008A27A8" w:rsidRPr="00916609">
        <w:t>is</w:t>
      </w:r>
      <w:r w:rsidRPr="00916609">
        <w:t xml:space="preserve"> data </w:t>
      </w:r>
      <w:r w:rsidR="008A27A8" w:rsidRPr="00916609">
        <w:t xml:space="preserve">set </w:t>
      </w:r>
      <w:r w:rsidRPr="00916609">
        <w:t xml:space="preserve">is unable to account for certain </w:t>
      </w:r>
      <w:r w:rsidR="008A27A8" w:rsidRPr="00916609">
        <w:t xml:space="preserve">qualitative </w:t>
      </w:r>
      <w:r w:rsidRPr="00916609">
        <w:t xml:space="preserve">variables </w:t>
      </w:r>
      <w:r w:rsidR="008A27A8" w:rsidRPr="00916609">
        <w:t>which could impact the outcomes of each campaign.  The</w:t>
      </w:r>
      <w:r w:rsidR="005B579A" w:rsidRPr="00916609">
        <w:t>se variables include marketing resources available to the fundraisers</w:t>
      </w:r>
      <w:r w:rsidR="008A27A8" w:rsidRPr="00916609">
        <w:t xml:space="preserve"> such as the number of hours dedicated to promotion and </w:t>
      </w:r>
      <w:r w:rsidR="005B579A" w:rsidRPr="00916609">
        <w:t>upfront financial investment needed</w:t>
      </w:r>
      <w:r w:rsidR="008A27A8" w:rsidRPr="00916609">
        <w:t xml:space="preserve"> to raise awareness.  </w:t>
      </w:r>
    </w:p>
    <w:p w:rsidR="008A27A8" w:rsidRDefault="005B579A">
      <w:r w:rsidRPr="00916609">
        <w:t xml:space="preserve">It’s also important to consider that we are limited to evaluating </w:t>
      </w:r>
      <w:proofErr w:type="spellStart"/>
      <w:r w:rsidRPr="00916609">
        <w:t>crowdfunding</w:t>
      </w:r>
      <w:proofErr w:type="spellEnd"/>
      <w:r w:rsidRPr="00916609">
        <w:t xml:space="preserve"> campaigns from a total of seven countries which does not reflect the global investment in these categories.</w:t>
      </w:r>
    </w:p>
    <w:p w:rsidR="00B07503" w:rsidRPr="00916609" w:rsidRDefault="00B07503"/>
    <w:p w:rsidR="00C75756" w:rsidRPr="00916609" w:rsidRDefault="00C75756">
      <w:pPr>
        <w:rPr>
          <w:b/>
          <w:u w:val="single"/>
        </w:rPr>
      </w:pPr>
      <w:r w:rsidRPr="00916609">
        <w:rPr>
          <w:b/>
          <w:u w:val="single"/>
        </w:rPr>
        <w:t>Recommendations for Further Exp</w:t>
      </w:r>
      <w:r w:rsidR="00916609">
        <w:rPr>
          <w:b/>
          <w:u w:val="single"/>
        </w:rPr>
        <w:t>l</w:t>
      </w:r>
      <w:r w:rsidRPr="00916609">
        <w:rPr>
          <w:b/>
          <w:u w:val="single"/>
        </w:rPr>
        <w:t>oration</w:t>
      </w:r>
    </w:p>
    <w:p w:rsidR="008A27A8" w:rsidRDefault="00916609" w:rsidP="008A27A8">
      <w:r>
        <w:t xml:space="preserve">Additional insights could be gained through a comparison of </w:t>
      </w:r>
      <w:r w:rsidRPr="000217AA">
        <w:rPr>
          <w:b/>
        </w:rPr>
        <w:t>outcomes by the duration</w:t>
      </w:r>
      <w:r>
        <w:t xml:space="preserve"> of each campaign.  Are campaigns that run longer more likely to achieve funding goals?  </w:t>
      </w:r>
      <w:r w:rsidR="0082144C">
        <w:t xml:space="preserve">Does pledge activity drop off over time or does it increase with greater awareness? </w:t>
      </w:r>
    </w:p>
    <w:p w:rsidR="000C4A74" w:rsidRDefault="00B9210A" w:rsidP="00B9210A">
      <w:r>
        <w:t xml:space="preserve">It would also be interesting to examine the </w:t>
      </w:r>
      <w:r w:rsidRPr="000217AA">
        <w:rPr>
          <w:b/>
        </w:rPr>
        <w:t>percentage</w:t>
      </w:r>
      <w:r>
        <w:t xml:space="preserve"> of successful campaigns versus failed campaigns for each category and sub-category.  </w:t>
      </w:r>
      <w:r w:rsidR="000C4A74">
        <w:t xml:space="preserve">Evaluating percentages can be more revealing than evaluating totals for a number of reasons, especially when comparing data sets with extremes in range.  For example, </w:t>
      </w:r>
      <w:r>
        <w:t xml:space="preserve">the sub-category for “plays” garnered a 54% success rate </w:t>
      </w:r>
      <w:r w:rsidR="000C4A74">
        <w:t>whereas “audio” has a 100% success rate.  Does this confer more enthusiastic backing from audiophiles?  It may be beneficial to take a closer look.</w:t>
      </w:r>
    </w:p>
    <w:p w:rsidR="00D011E0" w:rsidRPr="00916609" w:rsidRDefault="000C4A74" w:rsidP="00B9210A">
      <w:r>
        <w:t xml:space="preserve">Similarly, there may be value in extracting the </w:t>
      </w:r>
      <w:r w:rsidRPr="000217AA">
        <w:rPr>
          <w:b/>
        </w:rPr>
        <w:t>average pledge</w:t>
      </w:r>
      <w:r>
        <w:t xml:space="preserve"> per backer for each category and sub-category</w:t>
      </w:r>
      <w:r w:rsidR="003B6711">
        <w:t xml:space="preserve"> for the same reasons as stated above.</w:t>
      </w:r>
    </w:p>
    <w:p w:rsidR="00730E71" w:rsidRPr="00916609" w:rsidRDefault="00730E71"/>
    <w:p w:rsidR="00730E71" w:rsidRPr="00916609" w:rsidRDefault="00730E71"/>
    <w:p w:rsidR="00345D99" w:rsidRPr="00916609" w:rsidRDefault="00345D99">
      <w:r w:rsidRPr="00916609">
        <w:t xml:space="preserve"> </w:t>
      </w:r>
    </w:p>
    <w:sectPr w:rsidR="00345D99" w:rsidRPr="00916609" w:rsidSect="00B7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E7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345D99"/>
    <w:rsid w:val="000217AA"/>
    <w:rsid w:val="000C4A74"/>
    <w:rsid w:val="00131B0A"/>
    <w:rsid w:val="002352F5"/>
    <w:rsid w:val="0034041F"/>
    <w:rsid w:val="00345D99"/>
    <w:rsid w:val="003866EB"/>
    <w:rsid w:val="003B6711"/>
    <w:rsid w:val="00461DF5"/>
    <w:rsid w:val="005A30E1"/>
    <w:rsid w:val="005B579A"/>
    <w:rsid w:val="005C5563"/>
    <w:rsid w:val="00730E71"/>
    <w:rsid w:val="0082144C"/>
    <w:rsid w:val="008A27A8"/>
    <w:rsid w:val="0090328D"/>
    <w:rsid w:val="00916609"/>
    <w:rsid w:val="009E2963"/>
    <w:rsid w:val="00AB3727"/>
    <w:rsid w:val="00B07503"/>
    <w:rsid w:val="00B70C52"/>
    <w:rsid w:val="00B9210A"/>
    <w:rsid w:val="00C75756"/>
    <w:rsid w:val="00D011E0"/>
    <w:rsid w:val="00D32787"/>
    <w:rsid w:val="00DC4A66"/>
    <w:rsid w:val="00DD263C"/>
    <w:rsid w:val="00F61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RondaJoy</dc:creator>
  <cp:lastModifiedBy>RondaJoy</cp:lastModifiedBy>
  <cp:revision>3</cp:revision>
  <dcterms:created xsi:type="dcterms:W3CDTF">2023-04-19T08:41:00Z</dcterms:created>
  <dcterms:modified xsi:type="dcterms:W3CDTF">2023-04-21T05:02:00Z</dcterms:modified>
</cp:coreProperties>
</file>