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4" w:type="dxa"/>
        <w:jc w:val="center"/>
        <w:tblInd w:w="0" w:type="dxa"/>
        <w:tblLayout w:type="fixed"/>
        <w:tblCellMar>
          <w:top w:w="0" w:type="dxa"/>
          <w:start w:w="0" w:type="dxa"/>
          <w:bottom w:w="0" w:type="dxa"/>
          <w:end w:w="0" w:type="dxa"/>
        </w:tblCellMar>
        <w:tblLook w:noHBand="0" w:noVBand="1" w:firstColumn="1" w:lastRow="0" w:lastColumn="0" w:firstRow="1" w:val="04a0"/>
        <w:tblBorders>
          <w:top w:val="nil" w:sz="0" w:space="0" w:color="auto"/>
          <w:left w:val="nil" w:sz="0" w:space="0" w:color="auto"/>
          <w:bottom w:val="nil" w:sz="0" w:space="0" w:color="auto"/>
          <w:right w:val="nil" w:sz="0" w:space="0" w:color="auto"/>
          <w:insideH w:val="nil" w:sz="0" w:space="0" w:color="auto"/>
          <w:insideV w:val="nil" w:sz="0" w:space="0" w:color="auto"/>
          <w:start w:val="nil" w:sz="0" w:space="0" w:color="auto"/>
          <w:end w:val="nil" w:sz="0" w:space="0" w:color="auto"/>
        </w:tblBorders>
      </w:tblPr>
      <w:tblGrid>
        <w:gridCol w:w="4534"/>
        <w:gridCol w:w="4820"/>
      </w:tblGrid>
      <w:tr>
        <w:trPr/>
        <w:tc>
          <w:tcPr>
            <w:tcW w:w="4534" w:type="dxa"/>
            <w:tcBorders>
              <w:top w:val="nil" w:sz="0"/>
              <w:left w:val="nil" w:sz="0"/>
              <w:bottom w:val="nil" w:sz="0"/>
              <w:right w:val="nil" w:sz="0"/>
              <w:insideH w:val="nil" w:sz="0"/>
              <w:insideV w:val="nil" w:sz="0"/>
              <w:start w:val="nil" w:sz="0"/>
              <w:end w:val="nil" w:sz="0"/>
            </w:tcBorders>
          </w:tcPr>
          <w:p>
            <w:pPr>
              <w:pStyle w:val="Normal"/>
              <w:jc w:val="start"/>
              <w:rPr/>
            </w:pPr>
            <w:r>
              <w:rPr>
                <w:b/>
                <w:sz w:val="24"/>
              </w:rPr>
              <w:t>ETS HOT KOKI CHAUD</w:t>
            </w:r>
            <w:r>
              <w:rPr>
                <w:sz w:val="19"/>
              </w:rPr>
              <w:br/>
            </w:r>
            <w:r>
              <w:rPr>
                <w:b/>
                <w:bCs/>
                <w:sz w:val="19"/>
                <w:u w:val="single"/>
              </w:rPr>
              <w:t>Nom commercial :</w:t>
            </w:r>
            <w:r>
              <w:rPr>
                <w:b/>
                <w:bCs/>
                <w:sz w:val="19"/>
              </w:rPr>
              <w:t xml:space="preserve"> </w:t>
            </w:r>
            <w:r>
              <w:rPr>
                <w:b/>
                <w:bCs/>
                <w:sz w:val="19"/>
              </w:rPr>
              <w:t>ETS HOT KOKI CHAUD</w:t>
            </w:r>
            <w:r>
              <w:rPr>
                <w:b/>
                <w:bCs/>
                <w:sz w:val="19"/>
              </w:rPr>
              <w:br/>
            </w:r>
            <w:r>
              <w:rPr>
                <w:b/>
                <w:bCs/>
                <w:sz w:val="19"/>
                <w:u w:val="single"/>
              </w:rPr>
              <w:t xml:space="preserve">Forme juridique </w:t>
            </w:r>
            <w:r>
              <w:rPr>
                <w:b/>
                <w:bCs/>
                <w:sz w:val="19"/>
              </w:rPr>
              <w:t xml:space="preserve">:  ETS </w:t>
              <w:br/>
            </w:r>
            <w:r>
              <w:rPr>
                <w:b/>
                <w:bCs/>
                <w:sz w:val="19"/>
                <w:u w:val="single"/>
              </w:rPr>
              <w:t>RCCM</w:t>
            </w:r>
            <w:r>
              <w:rPr>
                <w:b/>
                <w:bCs/>
                <w:sz w:val="19"/>
              </w:rPr>
              <w:t xml:space="preserve"> : </w:t>
            </w:r>
            <w:r>
              <w:rPr>
                <w:b/>
                <w:bCs/>
                <w:sz w:val="19"/>
              </w:rPr>
              <w:t>RC/BTA/2025/A/013</w:t>
            </w:r>
            <w:r>
              <w:rPr>
                <w:b/>
                <w:bCs/>
                <w:sz w:val="19"/>
              </w:rPr>
              <w:br/>
              <w:t xml:space="preserve">NIU : </w:t>
            </w:r>
            <w:r>
              <w:rPr>
                <w:b/>
                <w:bCs/>
                <w:sz w:val="19"/>
              </w:rPr>
              <w:t>P112417263726L</w:t>
            </w:r>
            <w:r>
              <w:rPr>
                <w:b/>
                <w:bCs/>
                <w:sz w:val="19"/>
              </w:rPr>
              <w:br/>
            </w:r>
            <w:r>
              <w:rPr>
                <w:b/>
                <w:bCs/>
                <w:sz w:val="19"/>
                <w:u w:val="single"/>
              </w:rPr>
              <w:t>Siège social :</w:t>
            </w:r>
            <w:r>
              <w:rPr>
                <w:b/>
                <w:bCs/>
                <w:sz w:val="19"/>
              </w:rPr>
              <w:t xml:space="preserve"> </w:t>
            </w:r>
            <w:r>
              <w:rPr>
                <w:b/>
                <w:bCs/>
                <w:sz w:val="19"/>
              </w:rPr>
              <w:t>BERTOUA , lieu dit YADEME</w:t>
            </w:r>
            <w:r>
              <w:rPr>
                <w:b/>
                <w:bCs/>
                <w:sz w:val="19"/>
              </w:rPr>
              <w:br/>
            </w:r>
            <w:r>
              <w:rPr>
                <w:b/>
                <w:bCs/>
                <w:sz w:val="19"/>
                <w:u w:val="single"/>
              </w:rPr>
              <w:t xml:space="preserve">Tél. : </w:t>
            </w:r>
            <w:r>
              <w:rPr>
                <w:b/>
                <w:bCs/>
                <w:sz w:val="19"/>
              </w:rPr>
              <w:t>+237 694 114 936</w:t>
            </w:r>
          </w:p>
          <w:p>
            <w:pPr>
              <w:pStyle w:val="Normal"/>
              <w:spacing w:before="0" w:after="120"/>
              <w:jc w:val="start"/>
              <w:rPr>
                <w:b/>
                <w:bCs/>
                <w:sz w:val="19"/>
              </w:rPr>
            </w:pPr>
            <w:r>
              <w:rPr>
                <w:b/>
                <w:bCs/>
                <w:sz w:val="19"/>
                <w:u w:val="single"/>
              </w:rPr>
              <w:t xml:space="preserve">E-mail : </w:t>
            </w:r>
            <w:r>
              <w:rPr>
                <w:b/>
                <w:bCs/>
                <w:sz w:val="19"/>
              </w:rPr>
              <w:t>nathanaelguemako@gmail.com</w:t>
            </w:r>
          </w:p>
        </w:tc>
        <w:tc>
          <w:tcPr>
            <w:tcW w:w="4820" w:type="dxa"/>
            <w:tcBorders>
              <w:top w:val="nil" w:sz="0"/>
              <w:left w:val="nil" w:sz="0"/>
              <w:bottom w:val="nil" w:sz="0"/>
              <w:right w:val="nil" w:sz="0"/>
              <w:insideH w:val="nil" w:sz="0"/>
              <w:insideV w:val="nil" w:sz="0"/>
              <w:start w:val="nil" w:sz="0"/>
              <w:end w:val="nil" w:sz="0"/>
            </w:tcBorders>
          </w:tcPr>
          <w:p>
            <w:pPr>
              <w:pStyle w:val="Normal"/>
              <w:jc w:val="center"/>
              <w:rPr>
                <w:b/>
                <w:sz w:val="22"/>
              </w:rPr>
            </w:pPr>
            <w:r>
              <w:rPr>
                <w:b/>
                <w:sz w:val="22"/>
              </w:rPr>
            </w:r>
          </w:p>
          <w:p>
            <w:pPr>
              <w:pStyle w:val="Normal"/>
              <w:spacing w:before="0" w:after="120"/>
              <w:jc w:val="center"/>
              <w:rPr/>
            </w:pPr>
            <w:r>
              <w:rPr>
                <w:b/>
                <w:sz w:val="22"/>
              </w:rPr>
              <w:t>À</w:t>
              <w:br/>
              <w:t>Monsieur le Directeur Général</w:t>
              <w:br/>
              <w:t>MOBILE MONEY CORPORATION</w:t>
            </w:r>
            <w:r>
              <w:rPr>
                <w:sz w:val="21"/>
              </w:rPr>
              <w:br/>
            </w:r>
            <w:r>
              <w:rPr>
                <w:sz w:val="21"/>
              </w:rPr>
              <w:t>Bertoua</w:t>
            </w:r>
            <w:r>
              <w:rPr>
                <w:sz w:val="21"/>
              </w:rPr>
              <w:t xml:space="preserve"> – Camerou</w:t>
            </w:r>
            <w:r>
              <w:rPr>
                <w:sz w:val="21"/>
              </w:rPr>
              <w:t>n</w:t>
            </w:r>
          </w:p>
        </w:tc>
      </w:tr>
    </w:tbl>
    <w:p>
      <w:pPr>
        <w:pStyle w:val="Normal"/>
        <w:rPr/>
      </w:pPr>
      <w:r>
        <w:rPr/>
      </w:r>
    </w:p>
    <w:p>
      <w:pPr>
        <w:pStyle w:val="Normal"/>
        <w:jc w:val="end"/>
        <w:rPr/>
      </w:pPr>
      <w:r>
        <w:rPr/>
        <w:t>Bertoua, le 21 septembre 2026</w:t>
      </w:r>
      <w:r>
        <w:rPr>
          <w:u w:val="single"/>
        </w:rPr>
      </w:r>
      <w:r>
        <w:rPr/>
      </w:r>
    </w:p>
    <w:p>
      <w:pPr>
        <w:pStyle w:val="Normal"/>
        <w:jc w:val="end"/>
        <w:rPr/>
      </w:pPr>
      <w:r>
        <w:rPr/>
      </w:r>
    </w:p>
    <w:p>
      <w:pPr>
        <w:pStyle w:val="Normal"/>
        <w:jc w:val="start"/>
        <w:rPr/>
      </w:pPr>
      <w:r>
        <w:rPr>
          <w:b/>
          <w:u w:val="single"/>
        </w:rPr>
        <w:t>Objet : Demande de partenariat et d’intégration aux services API MTN Mobile Money</w:t>
      </w:r>
    </w:p>
    <w:p>
      <w:pPr>
        <w:pStyle w:val="Normal"/>
        <w:rPr>
          <w:sz w:val="24"/>
          <w:szCs w:val="24"/>
        </w:rPr>
      </w:pPr>
      <w:r>
        <w:rPr>
          <w:sz w:val="24"/>
          <w:szCs w:val="24"/>
        </w:rPr>
        <w:t>Monsieur le Directeur Général,</w:t>
      </w:r>
    </w:p>
    <w:p>
      <w:pPr>
        <w:pStyle w:val="Normal"/>
        <w:ind w:firstLine="454"/>
        <w:jc w:val="both"/>
        <w:rPr>
          <w:sz w:val="24"/>
          <w:szCs w:val="24"/>
        </w:rPr>
      </w:pPr>
      <w:r>
        <w:rPr>
          <w:sz w:val="24"/>
          <w:szCs w:val="24"/>
        </w:rPr>
        <w:t xml:space="preserve">Nous avons l’honneur de solliciter auprès de Mobile Money Corporation l’établissement d’un partenariat en vue de l’intégration des services </w:t>
      </w:r>
      <w:r>
        <w:rPr>
          <w:b/>
          <w:bCs/>
          <w:sz w:val="24"/>
          <w:szCs w:val="24"/>
        </w:rPr>
        <w:t>API MTN Mobile Money</w:t>
      </w:r>
      <w:r>
        <w:rPr>
          <w:sz w:val="24"/>
          <w:szCs w:val="24"/>
        </w:rPr>
        <w:t xml:space="preserve"> à la plateforme numérique Hot Koki, exploitée par </w:t>
      </w:r>
      <w:r>
        <w:rPr>
          <w:sz w:val="24"/>
          <w:szCs w:val="24"/>
        </w:rPr>
        <w:t>l’</w:t>
      </w:r>
      <w:r>
        <w:rPr>
          <w:b/>
          <w:bCs/>
          <w:sz w:val="24"/>
          <w:szCs w:val="24"/>
        </w:rPr>
        <w:t>ETS HOT KOKI CHAUD</w:t>
      </w:r>
      <w:r>
        <w:rPr>
          <w:sz w:val="24"/>
          <w:szCs w:val="24"/>
        </w:rPr>
        <w:t>.</w:t>
      </w:r>
    </w:p>
    <w:p>
      <w:pPr>
        <w:pStyle w:val="Normal"/>
        <w:ind w:firstLine="454"/>
        <w:jc w:val="both"/>
        <w:rPr>
          <w:sz w:val="24"/>
          <w:szCs w:val="24"/>
        </w:rPr>
      </w:pPr>
      <w:r>
        <w:rPr>
          <w:sz w:val="24"/>
          <w:szCs w:val="24"/>
        </w:rPr>
        <w:t>Hot Koki est une plateforme de mise en relation et de commande permettant aux utilisateurs de consulter les offres de vendeurs et points de vente, de passer leurs commandes et d’en effectuer le paiement au moyen de solutions digitales sécurisées. Dans le cadre du développement et de la mise en production de cette activité, nous souhaitons proposer à nos utilisateurs MTN Mobile Money comme moyen de paiement, notamment à travers le service d’encaissement « Cash Collection ».</w:t>
      </w:r>
    </w:p>
    <w:p>
      <w:pPr>
        <w:pStyle w:val="Normal"/>
        <w:ind w:firstLine="454"/>
        <w:jc w:val="both"/>
        <w:rPr>
          <w:sz w:val="24"/>
          <w:szCs w:val="24"/>
        </w:rPr>
      </w:pPr>
      <w:r>
        <w:rPr>
          <w:sz w:val="24"/>
          <w:szCs w:val="24"/>
        </w:rPr>
        <w:t>Cette intégration vise à simplifier le parcours de paiement de nos clients, à renforcer la traçabilité des transactions et à favoriser l’inclusion financière, tout en respectant les exigences techniques, contractuelles, réglementaires et de sécurité applicables aux services MTN Mobile Money.</w:t>
      </w:r>
    </w:p>
    <w:p>
      <w:pPr>
        <w:pStyle w:val="Normal"/>
        <w:ind w:firstLine="454"/>
        <w:jc w:val="both"/>
        <w:rPr>
          <w:sz w:val="24"/>
          <w:szCs w:val="24"/>
        </w:rPr>
      </w:pPr>
      <w:r>
        <w:rPr>
          <w:sz w:val="24"/>
          <w:szCs w:val="24"/>
        </w:rPr>
        <w:t>À cet effet, nous vous prions de bien vouloir examiner notre demande, nous accompagner dans la procédure d’onboarding et, sous réserve de la validation de notre dossier, nous accorder les accès de production nécessaires à l’utilisation des API MTN Mobile Money. Les formulaires KYC, le questionnaire d’onboarding API ainsi que les pièces administratives, juridiques et techniques requises sont joints ou seront communiqués conformément à vos instructions.</w:t>
      </w:r>
    </w:p>
    <w:p>
      <w:pPr>
        <w:pStyle w:val="Normal"/>
        <w:ind w:firstLine="454"/>
        <w:jc w:val="both"/>
        <w:rPr>
          <w:sz w:val="24"/>
          <w:szCs w:val="24"/>
        </w:rPr>
      </w:pPr>
      <w:r>
        <w:rPr>
          <w:sz w:val="24"/>
          <w:szCs w:val="24"/>
        </w:rPr>
        <w:t>Nous restons disponibles pour toute information complémentaire, démonstration technique ou séance de travail utile à l’étude et à la finalisation de ce partenariat.</w:t>
      </w:r>
    </w:p>
    <w:p>
      <w:pPr>
        <w:pStyle w:val="Normal"/>
        <w:ind w:firstLine="454"/>
        <w:jc w:val="both"/>
        <w:rPr>
          <w:sz w:val="24"/>
          <w:szCs w:val="24"/>
        </w:rPr>
      </w:pPr>
      <w:r>
        <w:rPr>
          <w:sz w:val="24"/>
          <w:szCs w:val="24"/>
        </w:rPr>
        <w:t>Dans l’attente d’une suite favorable, nous vous prions d’agréer, Monsieur le Directeur Général, l’expression de notre haute considération.</w:t>
      </w:r>
    </w:p>
    <w:p>
      <w:pPr>
        <w:pStyle w:val="Normal"/>
        <w:rPr/>
      </w:pPr>
      <w:r>
        <w:rPr/>
      </w:r>
    </w:p>
    <w:tbl>
      <w:tblPr>
        <w:tblW w:w="9071" w:type="dxa"/>
        <w:jc w:val="center"/>
        <w:tblInd w:w="0" w:type="dxa"/>
        <w:tblLayout w:type="fixed"/>
        <w:tblCellMar>
          <w:top w:w="0" w:type="dxa"/>
          <w:start w:w="0" w:type="dxa"/>
          <w:bottom w:w="0" w:type="dxa"/>
          <w:end w:w="0" w:type="dxa"/>
        </w:tblCellMar>
        <w:tblLook w:noHBand="0" w:noVBand="1" w:firstColumn="1" w:lastRow="0" w:lastColumn="0" w:firstRow="1" w:val="04a0"/>
        <w:tblBorders>
          <w:top w:val="nil" w:sz="0" w:space="0" w:color="auto"/>
          <w:left w:val="nil" w:sz="0" w:space="0" w:color="auto"/>
          <w:bottom w:val="nil" w:sz="0" w:space="0" w:color="auto"/>
          <w:right w:val="nil" w:sz="0" w:space="0" w:color="auto"/>
          <w:insideH w:val="nil" w:sz="0" w:space="0" w:color="auto"/>
          <w:insideV w:val="nil" w:sz="0" w:space="0" w:color="auto"/>
          <w:start w:val="nil" w:sz="0" w:space="0" w:color="auto"/>
          <w:end w:val="nil" w:sz="0" w:space="0" w:color="auto"/>
        </w:tblBorders>
      </w:tblPr>
      <w:tblGrid>
        <w:gridCol w:w="4251"/>
        <w:gridCol w:w="4820"/>
      </w:tblGrid>
      <w:tr>
        <w:trPr/>
        <w:tc>
          <w:tcPr>
            <w:tcW w:w="4251" w:type="dxa"/>
            <w:tcBorders>
              <w:top w:val="nil" w:sz="0"/>
              <w:left w:val="nil" w:sz="0"/>
              <w:bottom w:val="nil" w:sz="0"/>
              <w:right w:val="nil" w:sz="0"/>
              <w:insideH w:val="nil" w:sz="0"/>
              <w:insideV w:val="nil" w:sz="0"/>
              <w:start w:val="nil" w:sz="0"/>
              <w:end w:val="nil" w:sz="0"/>
            </w:tcBorders>
          </w:tcPr>
          <w:p>
            <w:pPr>
              <w:pStyle w:val="Normal"/>
              <w:widowControl/>
              <w:bidi w:val="0"/>
              <w:spacing w:lineRule="auto" w:line="259" w:before="0" w:after="120"/>
              <w:jc w:val="start"/>
              <w:rPr/>
            </w:pPr>
            <w:r>
              <w:rPr/>
            </w:r>
          </w:p>
        </w:tc>
        <w:tc>
          <w:tcPr>
            <w:tcW w:w="4820" w:type="dxa"/>
            <w:tcBorders>
              <w:top w:val="nil" w:sz="0"/>
              <w:left w:val="nil" w:sz="0"/>
              <w:bottom w:val="nil" w:sz="0"/>
              <w:right w:val="nil" w:sz="0"/>
              <w:insideH w:val="nil" w:sz="0"/>
              <w:insideV w:val="nil" w:sz="0"/>
              <w:start w:val="nil" w:sz="0"/>
              <w:end w:val="nil" w:sz="0"/>
            </w:tcBorders>
          </w:tcPr>
          <w:p>
            <w:pPr>
              <w:pStyle w:val="Normal"/>
              <w:jc w:val="center"/>
              <w:rPr>
                <w:b/>
              </w:rPr>
            </w:pPr>
            <w:r>
              <w:rPr>
                <w:b/>
              </w:rPr>
            </w:r>
          </w:p>
          <w:p>
            <w:pPr>
              <w:pStyle w:val="Normal"/>
              <w:spacing w:before="0" w:after="120"/>
              <w:jc w:val="center"/>
              <w:rPr/>
            </w:pPr>
            <w:r>
              <w:rPr>
                <w:b/>
              </w:rPr>
              <w:t xml:space="preserve">Pour </w:t>
            </w:r>
            <w:r>
              <w:rPr>
                <w:b/>
              </w:rPr>
              <w:t>l’ETS HOT KOKI CHAUD</w:t>
            </w:r>
            <w:r>
              <w:rPr>
                <w:b/>
              </w:rPr>
              <w:t xml:space="preserve"> </w:t>
            </w:r>
            <w:r>
              <w:rPr/>
              <w:br/>
              <w:br/>
            </w:r>
            <w:r>
              <w:rPr>
                <w:b/>
                <w:bCs/>
              </w:rPr>
              <w:t>GUEMAKO BAMLOPPA Nathan</w:t>
            </w:r>
            <w:r>
              <w:rPr>
                <w:b/>
                <w:bCs/>
              </w:rPr>
              <w:t>e</w:t>
            </w:r>
            <w:r>
              <w:rPr>
                <w:b/>
                <w:bCs/>
              </w:rPr>
              <w:t>el Pérez</w:t>
            </w:r>
            <w:r>
              <w:rPr/>
              <w:br/>
            </w:r>
            <w:r>
              <w:rPr>
                <w:b/>
                <w:bCs/>
              </w:rPr>
              <w:t>Gérant Principal</w:t>
            </w:r>
            <w:r>
              <w:rPr>
                <w:b/>
              </w:rPr>
              <w:br/>
            </w:r>
          </w:p>
        </w:tc>
      </w:tr>
    </w:tbl>
    <w:sectPr>
      <w:footerReference w:type="even" r:id="rId2"/>
      <w:footerReference w:type="default" r:id="rId3"/>
      <w:footerReference w:type="first" r:id="rId4"/>
      <w:type w:val="nextPage"/>
      <w:pgSz w:w="11906" w:h="16838"/>
      <w:pgMar w:left="1247" w:right="1247"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Hot Koki  </w:t>
    </w:r>
    <w:r>
      <w:rPr>
        <w:color w:val="646464"/>
        <w:sz w:val="16"/>
      </w:rPr>
      <w:t>Chaud</w:t>
    </w:r>
    <w:r>
      <w:rPr>
        <w:color w:val="646464"/>
        <w:sz w:val="16"/>
      </w:rPr>
      <w:t>— Demande de partenariat MTN Mobile Money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Hot Koki  </w:t>
    </w:r>
    <w:r>
      <w:rPr>
        <w:color w:val="646464"/>
        <w:sz w:val="16"/>
      </w:rPr>
      <w:t>Chaud</w:t>
    </w:r>
    <w:r>
      <w:rPr>
        <w:color w:val="646464"/>
        <w:sz w:val="16"/>
      </w:rPr>
      <w:t>— Demande de partenariat MTN Mobile Money</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Times New Roman" w:hAnsi="Times New Roman" w:eastAsia="Times New Roman"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LibreOffice/26.2.5.2$Linux_X86_64 LibreOffice_project/cd7284b4cbbfeb507e630c1aac019f4157393acb</Application>
  <AppVersion>15.0000</AppVersion>
  <Pages>1</Pages>
  <Words>350</Words>
  <Characters>1988</Characters>
  <CharactersWithSpaces>2331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Hot Koki</dc:creator>
  <dc:description>generated by python-docx</dc:description>
  <cp:keywords>Hot Koki MTN Mobile Money partenariat API Cash Collection</cp:keywords>
  <dc:language>fr-FR</dc:language>
  <cp:lastModifiedBy/>
  <dcterms:modified xsi:type="dcterms:W3CDTF">2026-09-19T12:50:21Z</dcterms:modified>
  <cp:revision>3</cp:revision>
  <dc:subject>Demande d’intégration aux services API MTN Mobile Money</dc:subject>
  <dc:title>Lettre de demande de partenariat MTN Mobile Money — Hot Koki</dc:title>
</cp:coreProperties>
</file>

<file path=docProps/custom.xml><?xml version="1.0" encoding="utf-8"?>
<Properties xmlns="http://schemas.openxmlformats.org/officeDocument/2006/custom-properties" xmlns:vt="http://schemas.openxmlformats.org/officeDocument/2006/docPropsVTypes"/>
</file>