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6E"/>
          <w:sz w:val="48"/>
          <w:szCs w:val="48"/>
        </w:rPr>
        <w:t xml:space="preserve">RÈGLEMENT INTÉRIEUR</w:t>
      </w:r>
    </w:p>
    <w:p>
      <w:pPr>
        <w:spacing w:after="80" w:before="0"/>
        <w:jc w:val="center"/>
      </w:pPr>
      <w:r>
        <w:rPr>
          <w:rFonts w:ascii="Arial" w:cs="Arial" w:eastAsia="Arial" w:hAnsi="Arial"/>
          <w:b/>
          <w:bCs/>
          <w:color w:val="2E75B6"/>
          <w:sz w:val="36"/>
          <w:szCs w:val="36"/>
        </w:rPr>
        <w:t xml:space="preserve">NovaTech SAS</w:t>
      </w:r>
    </w:p>
    <w:p>
      <w:pPr>
        <w:spacing w:after="80" w:before="0"/>
        <w:jc w:val="center"/>
      </w:pPr>
      <w:r>
        <w:rPr>
          <w:rFonts w:ascii="Arial" w:cs="Arial" w:eastAsia="Arial" w:hAnsi="Arial"/>
          <w:color w:val="777777"/>
          <w:sz w:val="24"/>
          <w:szCs w:val="24"/>
        </w:rPr>
        <w:t xml:space="preserve">Startup technologique — Intelligence Artificielle &amp; SaaS</w:t>
      </w:r>
    </w:p>
    <w:p>
      <w:pPr>
        <w:spacing w:after="80" w:before="0"/>
        <w:jc w:val="center"/>
      </w:pPr>
      <w:r>
        <w:rPr>
          <w:rFonts w:ascii="Arial" w:cs="Arial" w:eastAsia="Arial" w:hAnsi="Arial"/>
          <w:color w:val="777777"/>
          <w:sz w:val="22"/>
          <w:szCs w:val="22"/>
        </w:rPr>
        <w:t xml:space="preserve">Siège social : 14 Rue de l'Innovation, 75011 Paris | SIREN : 842 156 793</w:t>
      </w:r>
    </w:p>
    <w:p>
      <w:pPr>
        <w:spacing w:after="80" w:before="0"/>
        <w:jc w:val="center"/>
      </w:pPr>
      <w:r>
        <w:rPr>
          <w:rFonts w:ascii="Arial" w:cs="Arial" w:eastAsia="Arial" w:hAnsi="Arial"/>
          <w:color w:val="777777"/>
          <w:sz w:val="22"/>
          <w:szCs w:val="22"/>
        </w:rPr>
        <w:t xml:space="preserve">Version 2.1 — Entrée en vigueur : 1er janvier 2025</w:t>
      </w:r>
    </w:p>
    <w:p>
      <w:pPr>
        <w:spacing w:after="480" w:before="0"/>
        <w:jc w:val="center"/>
      </w:pPr>
      <w:r>
        <w:rPr>
          <w:rFonts w:ascii="Arial" w:cs="Arial" w:eastAsia="Arial" w:hAnsi="Arial"/>
          <w:i/>
          <w:iCs/>
          <w:color w:val="555555"/>
          <w:sz w:val="22"/>
          <w:szCs w:val="22"/>
        </w:rPr>
        <w:t xml:space="preserve">Approuvé par : Aminata Koné, CEO | Validé par le CSE le 15 décembre 2024</w:t>
      </w:r>
    </w:p>
    <w:p>
      <w:pPr>
        <w:pStyle w:val="Heading1"/>
      </w:pPr>
      <w:r>
        <w:t xml:space="preserve">Article 1 — Champ d'application</w:t>
      </w:r>
    </w:p>
    <w:p>
      <w:pPr>
        <w:spacing w:after="160"/>
      </w:pPr>
      <w:r>
        <w:rPr>
          <w:rFonts w:ascii="Arial" w:cs="Arial" w:eastAsia="Arial" w:hAnsi="Arial"/>
          <w:sz w:val="24"/>
          <w:szCs w:val="24"/>
        </w:rPr>
        <w:t xml:space="preserve">Le présent règlement intérieur s'applique à l'ensemble du personnel salarié de NovaTech SAS (ci-après « la Société »), quelle que soit la nature de leur contrat (CDI, CDD, alternance, stage de plus de 2 mois), dès leur premier jour de présence dans l'entreprise.</w:t>
      </w:r>
    </w:p>
    <w:p>
      <w:pPr>
        <w:spacing w:after="160"/>
      </w:pPr>
      <w:r>
        <w:rPr>
          <w:rFonts w:ascii="Arial" w:cs="Arial" w:eastAsia="Arial" w:hAnsi="Arial"/>
          <w:sz w:val="24"/>
          <w:szCs w:val="24"/>
        </w:rPr>
        <w:t xml:space="preserve">Il s'applique dans tous les locaux de la Société, ainsi que dans tout lieu où le salarié représente NovaTech (client, conférence, déplacement professionnel). Il s'applique également aux situations de télétravail tel que défini à l'Article 6.</w:t>
      </w:r>
    </w:p>
    <w:p>
      <w:pPr>
        <w:spacing w:after="80"/>
      </w:pPr>
      <w:r>
        <w:rPr>
          <w:rFonts w:ascii="Arial" w:cs="Arial" w:eastAsia="Arial" w:hAnsi="Arial"/>
          <w:b/>
          <w:bCs/>
          <w:sz w:val="24"/>
          <w:szCs w:val="24"/>
        </w:rPr>
        <w:t xml:space="preserve">Références légales :</w:t>
      </w:r>
    </w:p>
    <w:p>
      <w:pPr>
        <w:pStyle w:val="ListParagraph"/>
        <w:numPr>
          <w:ilvl w:val="0"/>
          <w:numId w:val="2"/>
        </w:numPr>
        <w:spacing w:after="60"/>
      </w:pPr>
      <w:r>
        <w:rPr>
          <w:rFonts w:ascii="Arial" w:cs="Arial" w:eastAsia="Arial" w:hAnsi="Arial"/>
          <w:sz w:val="24"/>
          <w:szCs w:val="24"/>
        </w:rPr>
        <w:t xml:space="preserve">Code du travail, articles L.1321-1 à L.1321-6</w:t>
      </w:r>
    </w:p>
    <w:p>
      <w:pPr>
        <w:pStyle w:val="ListParagraph"/>
        <w:numPr>
          <w:ilvl w:val="0"/>
          <w:numId w:val="2"/>
        </w:numPr>
        <w:spacing w:after="60"/>
      </w:pPr>
      <w:r>
        <w:rPr>
          <w:rFonts w:ascii="Arial" w:cs="Arial" w:eastAsia="Arial" w:hAnsi="Arial"/>
          <w:sz w:val="24"/>
          <w:szCs w:val="24"/>
        </w:rPr>
        <w:t xml:space="preserve">Convention collective applicable : Syntec (IDCC 1486)</w:t>
      </w:r>
    </w:p>
    <w:p>
      <w:pPr>
        <w:pStyle w:val="ListParagraph"/>
        <w:numPr>
          <w:ilvl w:val="0"/>
          <w:numId w:val="2"/>
        </w:numPr>
        <w:spacing w:after="200"/>
      </w:pPr>
      <w:r>
        <w:rPr>
          <w:rFonts w:ascii="Arial" w:cs="Arial" w:eastAsia="Arial" w:hAnsi="Arial"/>
          <w:sz w:val="24"/>
          <w:szCs w:val="24"/>
        </w:rPr>
        <w:t xml:space="preserve">Accord d'entreprise NovaTech du 10 novembre 2024</w:t>
      </w:r>
    </w:p>
    <w:p>
      <w:pPr>
        <w:pStyle w:val="Heading1"/>
      </w:pPr>
      <w:r>
        <w:t xml:space="preserve">Article 2 — Horaires de travail</w:t>
      </w:r>
    </w:p>
    <w:p>
      <w:pPr>
        <w:pStyle w:val="Heading2"/>
      </w:pPr>
      <w:r>
        <w:t xml:space="preserve">2.1 Horaires standards</w:t>
      </w:r>
    </w:p>
    <w:p>
      <w:pPr>
        <w:spacing w:after="160"/>
      </w:pPr>
      <w:r>
        <w:rPr>
          <w:rFonts w:ascii="Arial" w:cs="Arial" w:eastAsia="Arial" w:hAnsi="Arial"/>
          <w:sz w:val="24"/>
          <w:szCs w:val="24"/>
        </w:rPr>
        <w:t xml:space="preserve">La durée légale du travail est fixée à 35 heures hebdomadaires pour les employés non cadres. Les cadres au forfait jour sont soumis à une convention de 218 jours par an, conformément à l'article L.3121-58 du Code du travail.</w:t>
      </w:r>
    </w:p>
    <w:p>
      <w:pPr>
        <w:pStyle w:val="ListParagraph"/>
        <w:numPr>
          <w:ilvl w:val="0"/>
          <w:numId w:val="2"/>
        </w:numPr>
        <w:spacing w:after="60"/>
      </w:pPr>
      <w:r>
        <w:rPr>
          <w:rFonts w:ascii="Arial" w:cs="Arial" w:eastAsia="Arial" w:hAnsi="Arial"/>
          <w:sz w:val="24"/>
          <w:szCs w:val="24"/>
        </w:rPr>
        <w:t xml:space="preserve">Plage horaire fixe : 10h00 – 16h00 (présence obligatoire)</w:t>
      </w:r>
    </w:p>
    <w:p>
      <w:pPr>
        <w:pStyle w:val="ListParagraph"/>
        <w:numPr>
          <w:ilvl w:val="0"/>
          <w:numId w:val="2"/>
        </w:numPr>
        <w:spacing w:after="60"/>
      </w:pPr>
      <w:r>
        <w:rPr>
          <w:rFonts w:ascii="Arial" w:cs="Arial" w:eastAsia="Arial" w:hAnsi="Arial"/>
          <w:sz w:val="24"/>
          <w:szCs w:val="24"/>
        </w:rPr>
        <w:t xml:space="preserve">Plage horaire flexible : 8h00 – 10h00 et 16h00 – 19h00</w:t>
      </w:r>
    </w:p>
    <w:p>
      <w:pPr>
        <w:pStyle w:val="ListParagraph"/>
        <w:numPr>
          <w:ilvl w:val="0"/>
          <w:numId w:val="2"/>
        </w:numPr>
        <w:spacing w:after="200"/>
      </w:pPr>
      <w:r>
        <w:rPr>
          <w:rFonts w:ascii="Arial" w:cs="Arial" w:eastAsia="Arial" w:hAnsi="Arial"/>
          <w:sz w:val="24"/>
          <w:szCs w:val="24"/>
        </w:rPr>
        <w:t xml:space="preserve">Pause déjeuner : 45 minutes minimum, non comptabilisée dans le temps de travail</w:t>
      </w:r>
    </w:p>
    <w:p>
      <w:pPr>
        <w:pStyle w:val="Heading2"/>
      </w:pPr>
      <w:r>
        <w:t xml:space="preserve">2.2 Heures supplémentaires</w:t>
      </w:r>
    </w:p>
    <w:p>
      <w:pPr>
        <w:spacing w:after="160"/>
      </w:pPr>
      <w:r>
        <w:rPr>
          <w:rFonts w:ascii="Arial" w:cs="Arial" w:eastAsia="Arial" w:hAnsi="Arial"/>
          <w:sz w:val="24"/>
          <w:szCs w:val="24"/>
        </w:rPr>
        <w:t xml:space="preserve">Toute heure supplémentaire doit être préalablement validée par écrit par le manager direct et la Direction des Ressources Humaines. Les heures supplémentaires non autorisées ne seront ni rémunérées ni récupérées.</w:t>
      </w:r>
    </w:p>
    <w:p>
      <w:pPr>
        <w:spacing w:after="200"/>
      </w:pPr>
      <w:r>
        <w:rPr>
          <w:rFonts w:ascii="Arial" w:cs="Arial" w:eastAsia="Arial" w:hAnsi="Arial"/>
          <w:sz w:val="24"/>
          <w:szCs w:val="24"/>
        </w:rPr>
        <w:t xml:space="preserve">Majoration légale applicable : 25% pour les 8 premières heures au-delà de 35h, 50% au-delà (Art. L.3121-36 du Code du travail).</w:t>
      </w:r>
    </w:p>
    <w:p>
      <w:pPr>
        <w:pStyle w:val="Heading1"/>
      </w:pPr>
      <w:r>
        <w:t xml:space="preserve">Article 3 — Hygiène, sécurité et conditions de travail</w:t>
      </w:r>
    </w:p>
    <w:p>
      <w:pPr>
        <w:pStyle w:val="Heading2"/>
      </w:pPr>
      <w:r>
        <w:t xml:space="preserve">3.1 Obligations générales</w:t>
      </w:r>
    </w:p>
    <w:p>
      <w:pPr>
        <w:spacing w:after="160"/>
      </w:pPr>
      <w:r>
        <w:rPr>
          <w:rFonts w:ascii="Arial" w:cs="Arial" w:eastAsia="Arial" w:hAnsi="Arial"/>
          <w:sz w:val="24"/>
          <w:szCs w:val="24"/>
        </w:rPr>
        <w:t xml:space="preserve">Chaque salarié est tenu de respecter les consignes de sécurité affichées dans les locaux et de participer aux formations obligatoires de sécurité. Conformément à l'article L.4122-1 du Code du travail, tout salarié a l'obligation de prendre soin de sa propre santé et de celle des autres personnes concernées par ses actes.</w:t>
      </w:r>
    </w:p>
    <w:p>
      <w:pPr>
        <w:pStyle w:val="ListParagraph"/>
        <w:numPr>
          <w:ilvl w:val="0"/>
          <w:numId w:val="2"/>
        </w:numPr>
        <w:spacing w:after="60"/>
      </w:pPr>
      <w:r>
        <w:rPr>
          <w:rFonts w:ascii="Arial" w:cs="Arial" w:eastAsia="Arial" w:hAnsi="Arial"/>
          <w:sz w:val="24"/>
          <w:szCs w:val="24"/>
        </w:rPr>
        <w:t xml:space="preserve">Signalement immédiat de tout accident de travail au responsable RH : rh@novatech.io</w:t>
      </w:r>
    </w:p>
    <w:p>
      <w:pPr>
        <w:pStyle w:val="ListParagraph"/>
        <w:numPr>
          <w:ilvl w:val="0"/>
          <w:numId w:val="2"/>
        </w:numPr>
        <w:spacing w:after="60"/>
      </w:pPr>
      <w:r>
        <w:rPr>
          <w:rFonts w:ascii="Arial" w:cs="Arial" w:eastAsia="Arial" w:hAnsi="Arial"/>
          <w:sz w:val="24"/>
          <w:szCs w:val="24"/>
        </w:rPr>
        <w:t xml:space="preserve">Interdiction de fumer et vapoter dans l'ensemble des locaux (espaces fumeurs désignés en extérieur)</w:t>
      </w:r>
    </w:p>
    <w:p>
      <w:pPr>
        <w:pStyle w:val="ListParagraph"/>
        <w:numPr>
          <w:ilvl w:val="0"/>
          <w:numId w:val="2"/>
        </w:numPr>
        <w:spacing w:after="200"/>
      </w:pPr>
      <w:r>
        <w:rPr>
          <w:rFonts w:ascii="Arial" w:cs="Arial" w:eastAsia="Arial" w:hAnsi="Arial"/>
          <w:sz w:val="24"/>
          <w:szCs w:val="24"/>
        </w:rPr>
        <w:t xml:space="preserve">Toute consommation d'alcool est interdite sur le lieu de travail, sauf lors d'événements d'entreprise encadrés</w:t>
      </w:r>
    </w:p>
    <w:p>
      <w:pPr>
        <w:pStyle w:val="Heading2"/>
      </w:pPr>
      <w:r>
        <w:t xml:space="preserve">3.2 Ergonomie et bien-être</w:t>
      </w:r>
    </w:p>
    <w:p>
      <w:pPr>
        <w:spacing w:after="200"/>
      </w:pPr>
      <w:r>
        <w:rPr>
          <w:rFonts w:ascii="Arial" w:cs="Arial" w:eastAsia="Arial" w:hAnsi="Arial"/>
          <w:sz w:val="24"/>
          <w:szCs w:val="24"/>
        </w:rPr>
        <w:t xml:space="preserve">NovaTech met à disposition de chaque salarié un poste de travail ergonomique. Les salariés peuvent solliciter une visite de leur poste par le médecin du travail. Le Document Unique d'Évaluation des Risques Professionnels (DUERP) est accessible sur le SharePoint interne (RH &gt; Sécurité &gt; DUERP 2025).</w:t>
      </w:r>
    </w:p>
    <w:p>
      <w:pPr>
        <w:pStyle w:val="Heading1"/>
      </w:pPr>
      <w:r>
        <w:t xml:space="preserve">Article 4 — Discipline et sanctions</w:t>
      </w:r>
    </w:p>
    <w:p>
      <w:pPr>
        <w:spacing w:after="160"/>
      </w:pPr>
      <w:r>
        <w:rPr>
          <w:rFonts w:ascii="Arial" w:cs="Arial" w:eastAsia="Arial" w:hAnsi="Arial"/>
          <w:sz w:val="24"/>
          <w:szCs w:val="24"/>
        </w:rPr>
        <w:t xml:space="preserve">Tout manquement aux dispositions du présent règlement, aux instructions données par la hiérarchie ou aux engagements contractuels est susceptible de faire l'objet d'une sanction disciplinaire, dans le respect de la procédure prévue aux articles L.1332-1 à L.1332-4 du Code du travail.</w:t>
      </w:r>
    </w:p>
    <w:p>
      <w:pPr>
        <w:pStyle w:val="Heading2"/>
      </w:pPr>
      <w:r>
        <w:t xml:space="preserve">4.1 Échelle des sanctions</w:t>
      </w:r>
    </w:p>
    <w:p>
      <w:pPr>
        <w:pStyle w:val="ListParagraph"/>
        <w:numPr>
          <w:ilvl w:val="0"/>
          <w:numId w:val="3"/>
        </w:numPr>
        <w:spacing w:after="60"/>
      </w:pPr>
      <w:r>
        <w:rPr>
          <w:rFonts w:ascii="Arial" w:cs="Arial" w:eastAsia="Arial" w:hAnsi="Arial"/>
          <w:sz w:val="24"/>
          <w:szCs w:val="24"/>
        </w:rPr>
        <w:t xml:space="preserve">Avertissement écrit (sans impact immédiat sur la rémunération)</w:t>
      </w:r>
    </w:p>
    <w:p>
      <w:pPr>
        <w:pStyle w:val="ListParagraph"/>
        <w:numPr>
          <w:ilvl w:val="0"/>
          <w:numId w:val="3"/>
        </w:numPr>
        <w:spacing w:after="60"/>
      </w:pPr>
      <w:r>
        <w:rPr>
          <w:rFonts w:ascii="Arial" w:cs="Arial" w:eastAsia="Arial" w:hAnsi="Arial"/>
          <w:sz w:val="24"/>
          <w:szCs w:val="24"/>
        </w:rPr>
        <w:t xml:space="preserve">Mise à pied disciplinaire conservatoire (1 à 5 jours, sans rémunération)</w:t>
      </w:r>
    </w:p>
    <w:p>
      <w:pPr>
        <w:pStyle w:val="ListParagraph"/>
        <w:numPr>
          <w:ilvl w:val="0"/>
          <w:numId w:val="3"/>
        </w:numPr>
        <w:spacing w:after="60"/>
      </w:pPr>
      <w:r>
        <w:rPr>
          <w:rFonts w:ascii="Arial" w:cs="Arial" w:eastAsia="Arial" w:hAnsi="Arial"/>
          <w:sz w:val="24"/>
          <w:szCs w:val="24"/>
        </w:rPr>
        <w:t xml:space="preserve">Rétrogradation ou mutation</w:t>
      </w:r>
    </w:p>
    <w:p>
      <w:pPr>
        <w:pStyle w:val="ListParagraph"/>
        <w:numPr>
          <w:ilvl w:val="0"/>
          <w:numId w:val="3"/>
        </w:numPr>
        <w:spacing w:after="200"/>
      </w:pPr>
      <w:r>
        <w:rPr>
          <w:rFonts w:ascii="Arial" w:cs="Arial" w:eastAsia="Arial" w:hAnsi="Arial"/>
          <w:sz w:val="24"/>
          <w:szCs w:val="24"/>
        </w:rPr>
        <w:t xml:space="preserve">Licenciement pour faute simple, grave ou lourde</w:t>
      </w:r>
    </w:p>
    <w:p>
      <w:pPr>
        <w:pStyle w:val="Heading1"/>
      </w:pPr>
      <w:r>
        <w:t xml:space="preserve">Article 5 — Usage des outils numériques</w:t>
      </w:r>
    </w:p>
    <w:p>
      <w:pPr>
        <w:spacing w:after="160"/>
      </w:pPr>
      <w:r>
        <w:rPr>
          <w:rFonts w:ascii="Arial" w:cs="Arial" w:eastAsia="Arial" w:hAnsi="Arial"/>
          <w:sz w:val="24"/>
          <w:szCs w:val="24"/>
        </w:rPr>
        <w:t xml:space="preserve">Les équipements informatiques (ordinateurs, téléphones, accès réseau, licences logicielles) mis à la disposition des salariés sont des outils professionnels. Leur utilisation à des fins personnelles est tolérée de manière raisonnable, dans la limite où elle ne nuit pas à la productivité ni à la sécurité des systèmes.</w:t>
      </w:r>
    </w:p>
    <w:p>
      <w:pPr>
        <w:pStyle w:val="ListParagraph"/>
        <w:numPr>
          <w:ilvl w:val="0"/>
          <w:numId w:val="2"/>
        </w:numPr>
        <w:spacing w:after="60"/>
      </w:pPr>
      <w:r>
        <w:rPr>
          <w:rFonts w:ascii="Arial" w:cs="Arial" w:eastAsia="Arial" w:hAnsi="Arial"/>
          <w:sz w:val="24"/>
          <w:szCs w:val="24"/>
        </w:rPr>
        <w:t xml:space="preserve">Il est formellement interdit d'installer des logiciels non approuvés par la DSI sur les équipements de la Société</w:t>
      </w:r>
    </w:p>
    <w:p>
      <w:pPr>
        <w:pStyle w:val="ListParagraph"/>
        <w:numPr>
          <w:ilvl w:val="0"/>
          <w:numId w:val="2"/>
        </w:numPr>
        <w:spacing w:after="60"/>
      </w:pPr>
      <w:r>
        <w:rPr>
          <w:rFonts w:ascii="Arial" w:cs="Arial" w:eastAsia="Arial" w:hAnsi="Arial"/>
          <w:sz w:val="24"/>
          <w:szCs w:val="24"/>
        </w:rPr>
        <w:t xml:space="preserve">Toute clé USB externe doit être scannée avant utilisation. Les transferts de données confidentielles sur support externe sont soumis à autorisation écrite</w:t>
      </w:r>
    </w:p>
    <w:p>
      <w:pPr>
        <w:pStyle w:val="ListParagraph"/>
        <w:numPr>
          <w:ilvl w:val="0"/>
          <w:numId w:val="2"/>
        </w:numPr>
        <w:spacing w:after="60"/>
      </w:pPr>
      <w:r>
        <w:rPr>
          <w:rFonts w:ascii="Arial" w:cs="Arial" w:eastAsia="Arial" w:hAnsi="Arial"/>
          <w:sz w:val="24"/>
          <w:szCs w:val="24"/>
        </w:rPr>
        <w:t xml:space="preserve">Les communications par email professionnels peuvent faire l'objet d'une surveillance dans les conditions prévues par la CNIL (délibération n°2004-032)</w:t>
      </w:r>
    </w:p>
    <w:p>
      <w:pPr>
        <w:pStyle w:val="ListParagraph"/>
        <w:numPr>
          <w:ilvl w:val="0"/>
          <w:numId w:val="2"/>
        </w:numPr>
        <w:spacing w:after="200"/>
      </w:pPr>
      <w:r>
        <w:rPr>
          <w:rFonts w:ascii="Arial" w:cs="Arial" w:eastAsia="Arial" w:hAnsi="Arial"/>
          <w:sz w:val="24"/>
          <w:szCs w:val="24"/>
        </w:rPr>
        <w:t xml:space="preserve">Référence politique de sécurité complète : Document DSI-SEC-2025-v3, accessible sur SharePoint &gt; DSI &gt; Politiques</w:t>
      </w:r>
    </w:p>
    <w:p>
      <w:pPr>
        <w:pStyle w:val="Heading1"/>
      </w:pPr>
      <w:r>
        <w:t xml:space="preserve">Article 6 — Confidentialité et protection des données</w:t>
      </w:r>
    </w:p>
    <w:p>
      <w:pPr>
        <w:spacing w:after="160"/>
      </w:pPr>
      <w:r>
        <w:rPr>
          <w:rFonts w:ascii="Arial" w:cs="Arial" w:eastAsia="Arial" w:hAnsi="Arial"/>
          <w:sz w:val="24"/>
          <w:szCs w:val="24"/>
        </w:rPr>
        <w:t xml:space="preserve">Tout salarié de NovaTech est tenu à une obligation de confidentialité concernant les informations dont il a connaissance dans l'exercice de ses fonctions. Cette obligation perdure après la cessation du contrat de travail, conformément aux clauses contractuelles individuelles.</w:t>
      </w:r>
    </w:p>
    <w:p>
      <w:pPr>
        <w:spacing w:after="200"/>
      </w:pPr>
      <w:r>
        <w:rPr>
          <w:rFonts w:ascii="Arial" w:cs="Arial" w:eastAsia="Arial" w:hAnsi="Arial"/>
          <w:sz w:val="24"/>
          <w:szCs w:val="24"/>
        </w:rPr>
        <w:t xml:space="preserve">La protection des données personnelles (clients, partenaires, salariés) est régie par le RGPD (Règlement UE 2016/679). Le Délégué à la Protection des Données (DPO) est joignable à : dpo@novatech.io. Toute violation de données doit être signalée dans les 24 heures.</w:t>
      </w:r>
    </w:p>
    <w:p>
      <w:pPr>
        <w:pStyle w:val="Heading1"/>
      </w:pPr>
      <w:r>
        <w:t xml:space="preserve">Signatures et entrée en vigueur</w:t>
      </w:r>
    </w:p>
    <w:p>
      <w:pPr>
        <w:spacing w:after="160"/>
      </w:pPr>
      <w:r>
        <w:rPr>
          <w:rFonts w:ascii="Arial" w:cs="Arial" w:eastAsia="Arial" w:hAnsi="Arial"/>
          <w:sz w:val="24"/>
          <w:szCs w:val="24"/>
        </w:rPr>
        <w:t xml:space="preserve">Le présent règlement intérieur a été soumis pour avis au Comité Social et Économique (CSE) lors de sa réunion du 15 décembre 2024. Il a été déposé à l'inspection du travail le 20 décembre 2024 et au greffe du conseil de prud'hommes compétent le même jour.</w:t>
      </w:r>
    </w:p>
    <w:p>
      <w:pPr>
        <w:spacing w:after="400"/>
      </w:pPr>
      <w:r>
        <w:rPr>
          <w:rFonts w:ascii="Arial" w:cs="Arial" w:eastAsia="Arial" w:hAnsi="Arial"/>
          <w:sz w:val="24"/>
          <w:szCs w:val="24"/>
        </w:rPr>
        <w:t xml:space="preserve">Il entre en vigueur le 1er janvier 2025, date à partir de laquelle il abroge et remplace toutes les versions antérieures.</w:t>
      </w:r>
    </w:p>
    <w:p>
      <w:pPr>
        <w:spacing w:after="80"/>
      </w:pPr>
      <w:r>
        <w:rPr>
          <w:rFonts w:ascii="Arial" w:cs="Arial" w:eastAsia="Arial" w:hAnsi="Arial"/>
          <w:sz w:val="24"/>
          <w:szCs w:val="24"/>
        </w:rPr>
        <w:t xml:space="preserve">Fait à Paris, le 20 décembre 2024</w:t>
      </w:r>
    </w:p>
    <w:p>
      <w:pPr>
        <w:spacing w:after="400"/>
      </w:pPr>
      <w:r>
        <w:rPr>
          <w:rFonts w:ascii="Arial" w:cs="Arial" w:eastAsia="Arial" w:hAnsi="Arial"/>
          <w:b/>
          <w:bCs/>
          <w:sz w:val="24"/>
          <w:szCs w:val="24"/>
        </w:rPr>
        <w:t xml:space="preserve">Aminata Koné, Présidente Directrice Générale de NovaTech SAS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NovaTech SAS — Règlement Intérieur — Version 2.1 — Janvier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2026-04-20T16:41:34.406Z</dcterms:created>
  <dcterms:modified xsi:type="dcterms:W3CDTF">2026-04-20T16:41:34.407Z</dcterms:modified>
</cp:coreProperties>
</file>

<file path=docProps/custom.xml><?xml version="1.0" encoding="utf-8"?>
<Properties xmlns="http://schemas.openxmlformats.org/officeDocument/2006/custom-properties" xmlns:vt="http://schemas.openxmlformats.org/officeDocument/2006/docPropsVTypes"/>
</file>