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FDD4" w14:textId="77777777" w:rsidR="007D7C71" w:rsidRPr="009E05C8" w:rsidRDefault="009309C7" w:rsidP="007D7C71">
      <w:pPr>
        <w:rPr>
          <w:b/>
        </w:rPr>
      </w:pPr>
      <w:r>
        <w:t xml:space="preserve"> </w:t>
      </w:r>
      <w:hyperlink r:id="rId5" w:history="1">
        <w:r w:rsidR="007D7C71" w:rsidRPr="00CE79E1">
          <w:rPr>
            <w:rStyle w:val="Hyperlink"/>
            <w:b/>
          </w:rPr>
          <w:t>https://www.federalreserve.gov/monetarypolicy/policy-normalization.htm</w:t>
        </w:r>
      </w:hyperlink>
      <w:r w:rsidR="007D7C71" w:rsidRPr="009E05C8">
        <w:rPr>
          <w:b/>
        </w:rPr>
        <w:t xml:space="preserve"> </w:t>
      </w:r>
    </w:p>
    <w:p w14:paraId="17FF9A84" w14:textId="77777777" w:rsidR="007D7C71" w:rsidRPr="007D7C71" w:rsidRDefault="007D7C71" w:rsidP="007D7C71">
      <w:pPr>
        <w:shd w:val="clear" w:color="auto" w:fill="F6F6F6"/>
        <w:spacing w:after="0" w:line="240" w:lineRule="auto"/>
        <w:textAlignment w:val="bottom"/>
        <w:outlineLvl w:val="1"/>
        <w:rPr>
          <w:rFonts w:ascii="Georgia" w:eastAsia="Times New Roman" w:hAnsi="Georgia" w:cs="Arial"/>
          <w:b/>
          <w:color w:val="163855"/>
          <w:sz w:val="32"/>
          <w:szCs w:val="32"/>
        </w:rPr>
      </w:pPr>
      <w:r w:rsidRPr="007D7C71">
        <w:rPr>
          <w:rFonts w:ascii="Georgia" w:eastAsia="Times New Roman" w:hAnsi="Georgia" w:cs="Arial"/>
          <w:b/>
          <w:color w:val="163855"/>
          <w:sz w:val="32"/>
          <w:szCs w:val="32"/>
        </w:rPr>
        <w:t>Policy Normalization</w:t>
      </w:r>
    </w:p>
    <w:p w14:paraId="43D76E07" w14:textId="77777777" w:rsidR="007D7C71" w:rsidRPr="007D7C71" w:rsidRDefault="007D7C71" w:rsidP="007D7C71">
      <w:pPr>
        <w:spacing w:after="0" w:line="240" w:lineRule="auto"/>
        <w:outlineLvl w:val="2"/>
        <w:rPr>
          <w:rFonts w:ascii="Georgia" w:eastAsia="Times New Roman" w:hAnsi="Georgia" w:cs="Arial"/>
          <w:b/>
          <w:color w:val="163855"/>
        </w:rPr>
      </w:pPr>
      <w:r w:rsidRPr="007D7C71">
        <w:rPr>
          <w:rFonts w:ascii="Georgia" w:eastAsia="Times New Roman" w:hAnsi="Georgia" w:cs="Arial"/>
          <w:b/>
          <w:color w:val="163855"/>
          <w:sz w:val="27"/>
          <w:szCs w:val="27"/>
        </w:rPr>
        <w:t xml:space="preserve">FOMC Communications related to Policy Normalization </w:t>
      </w:r>
      <w:r w:rsidRPr="007D7C71">
        <w:rPr>
          <w:rFonts w:ascii="Georgia" w:eastAsia="Times New Roman" w:hAnsi="Georgia" w:cs="Arial"/>
          <w:b/>
          <w:color w:val="163855"/>
        </w:rPr>
        <w:t>(June 14, 2017)</w:t>
      </w:r>
    </w:p>
    <w:p w14:paraId="3AA4E599" w14:textId="77777777" w:rsidR="007D7C71" w:rsidRPr="009E05C8" w:rsidRDefault="007D7C71" w:rsidP="007D7C71">
      <w:pPr>
        <w:spacing w:after="150" w:line="240" w:lineRule="auto"/>
        <w:rPr>
          <w:rFonts w:ascii="Arial" w:eastAsia="Times New Roman" w:hAnsi="Arial" w:cs="Arial"/>
          <w:color w:val="333333"/>
          <w:sz w:val="21"/>
          <w:szCs w:val="21"/>
        </w:rPr>
      </w:pPr>
      <w:r w:rsidRPr="009E05C8">
        <w:rPr>
          <w:rFonts w:ascii="Arial" w:eastAsia="Times New Roman" w:hAnsi="Arial" w:cs="Arial"/>
          <w:color w:val="333333"/>
          <w:sz w:val="21"/>
          <w:szCs w:val="21"/>
        </w:rPr>
        <w:t xml:space="preserve">The Federal Open Market Committee (FOMC) outlined its approach to monetary policy normalization in the Policy Normalization Principles and Plans that it issued after its September 2014 meeting. The FOMC indicated that there would be two main components to policy normalization: gradually raising its target range for the federal funds rate to more normal levels and gradually reducing the Federal Reserve’s securities holdings. The Committee augmented these Principles and Plans at its March 2015 FOMC meeting by announcing more details about the approach it would use to raise the federal funds rate and other short-term interest rates. At its </w:t>
      </w:r>
      <w:r w:rsidRPr="00AB40E8">
        <w:rPr>
          <w:rFonts w:ascii="Arial" w:eastAsia="Times New Roman" w:hAnsi="Arial" w:cs="Arial"/>
          <w:b/>
          <w:color w:val="333333"/>
          <w:sz w:val="21"/>
          <w:szCs w:val="21"/>
        </w:rPr>
        <w:t>December 2015 meeting</w:t>
      </w:r>
      <w:r w:rsidRPr="009E05C8">
        <w:rPr>
          <w:rFonts w:ascii="Arial" w:eastAsia="Times New Roman" w:hAnsi="Arial" w:cs="Arial"/>
          <w:color w:val="333333"/>
          <w:sz w:val="21"/>
          <w:szCs w:val="21"/>
        </w:rPr>
        <w:t xml:space="preserve">, the FOMC decided that economic conditions and the economic outlook warranted taking </w:t>
      </w:r>
      <w:r w:rsidRPr="00AB40E8">
        <w:rPr>
          <w:rFonts w:ascii="Arial" w:eastAsia="Times New Roman" w:hAnsi="Arial" w:cs="Arial"/>
          <w:b/>
          <w:color w:val="333333"/>
          <w:sz w:val="21"/>
          <w:szCs w:val="21"/>
        </w:rPr>
        <w:t>the first step in normalizing the stance of monetary policy</w:t>
      </w:r>
      <w:r w:rsidRPr="009E05C8">
        <w:rPr>
          <w:rFonts w:ascii="Arial" w:eastAsia="Times New Roman" w:hAnsi="Arial" w:cs="Arial"/>
          <w:color w:val="333333"/>
          <w:sz w:val="21"/>
          <w:szCs w:val="21"/>
        </w:rPr>
        <w:t xml:space="preserve">; accordingly, the Committee voted to </w:t>
      </w:r>
      <w:r w:rsidRPr="00AB40E8">
        <w:rPr>
          <w:rFonts w:ascii="Arial" w:eastAsia="Times New Roman" w:hAnsi="Arial" w:cs="Arial"/>
          <w:b/>
          <w:color w:val="333333"/>
          <w:sz w:val="21"/>
          <w:szCs w:val="21"/>
        </w:rPr>
        <w:t>raise the target range for the federal funds rate</w:t>
      </w:r>
      <w:r w:rsidRPr="009E05C8">
        <w:rPr>
          <w:rFonts w:ascii="Arial" w:eastAsia="Times New Roman" w:hAnsi="Arial" w:cs="Arial"/>
          <w:color w:val="333333"/>
          <w:sz w:val="21"/>
          <w:szCs w:val="21"/>
        </w:rPr>
        <w:t xml:space="preserve"> for the first time since December 2008</w:t>
      </w:r>
      <w:r w:rsidRPr="00FE531E">
        <w:rPr>
          <w:rFonts w:ascii="Arial" w:eastAsia="Times New Roman" w:hAnsi="Arial" w:cs="Arial"/>
          <w:sz w:val="21"/>
          <w:szCs w:val="21"/>
        </w:rPr>
        <w:t xml:space="preserve">. </w:t>
      </w:r>
      <w:r w:rsidR="00AB40E8">
        <w:rPr>
          <w:rFonts w:ascii="Arial" w:eastAsia="Times New Roman" w:hAnsi="Arial" w:cs="Arial"/>
          <w:sz w:val="21"/>
          <w:szCs w:val="21"/>
        </w:rPr>
        <w:t>…</w:t>
      </w:r>
      <w:r w:rsidRPr="00FE531E">
        <w:rPr>
          <w:rFonts w:ascii="Arial" w:eastAsia="Times New Roman" w:hAnsi="Arial" w:cs="Arial"/>
          <w:sz w:val="21"/>
          <w:szCs w:val="21"/>
        </w:rPr>
        <w:t xml:space="preserve"> The Committee has continued to gradually raise the target range for the federal funds </w:t>
      </w:r>
      <w:r w:rsidRPr="009E05C8">
        <w:rPr>
          <w:rFonts w:ascii="Arial" w:eastAsia="Times New Roman" w:hAnsi="Arial" w:cs="Arial"/>
          <w:color w:val="333333"/>
          <w:sz w:val="21"/>
          <w:szCs w:val="21"/>
        </w:rPr>
        <w:t>rate as the economy has strengthened and the economic outlook has evolved. Following its June 2017 FOMC meeting, the FOMC announced additional details about its planned approach for gradually reducing the Federal Reserve’s securities holdings over time.</w:t>
      </w:r>
    </w:p>
    <w:p w14:paraId="6308FD5D" w14:textId="77777777" w:rsidR="007D7C71" w:rsidRPr="007D7C71" w:rsidRDefault="007D7C71" w:rsidP="007D7C71">
      <w:pPr>
        <w:spacing w:after="0" w:line="240" w:lineRule="auto"/>
        <w:outlineLvl w:val="3"/>
        <w:rPr>
          <w:rFonts w:ascii="Georgia" w:eastAsia="Times New Roman" w:hAnsi="Georgia" w:cs="Arial"/>
          <w:b/>
          <w:color w:val="163855"/>
          <w:sz w:val="24"/>
          <w:szCs w:val="24"/>
        </w:rPr>
      </w:pPr>
      <w:r w:rsidRPr="007D7C71">
        <w:rPr>
          <w:rFonts w:ascii="Georgia" w:eastAsia="Times New Roman" w:hAnsi="Georgia" w:cs="Arial"/>
          <w:b/>
          <w:color w:val="163855"/>
          <w:sz w:val="24"/>
          <w:szCs w:val="24"/>
        </w:rPr>
        <w:t>Policy Normalization Principles and Plans</w:t>
      </w:r>
    </w:p>
    <w:p w14:paraId="6AECD05E" w14:textId="77777777" w:rsidR="007D7C71" w:rsidRDefault="007D7C71" w:rsidP="007D7C71">
      <w:pPr>
        <w:spacing w:after="0" w:line="240" w:lineRule="auto"/>
        <w:rPr>
          <w:rFonts w:ascii="Arial" w:eastAsia="Times New Roman" w:hAnsi="Arial" w:cs="Arial"/>
          <w:color w:val="333333"/>
          <w:sz w:val="21"/>
          <w:szCs w:val="21"/>
        </w:rPr>
      </w:pPr>
      <w:r w:rsidRPr="009E05C8">
        <w:rPr>
          <w:rFonts w:ascii="Arial" w:eastAsia="Times New Roman" w:hAnsi="Arial" w:cs="Arial"/>
          <w:color w:val="333333"/>
          <w:sz w:val="21"/>
          <w:szCs w:val="21"/>
        </w:rPr>
        <w:t xml:space="preserve">Over the </w:t>
      </w:r>
      <w:r w:rsidRPr="00AB40E8">
        <w:rPr>
          <w:rFonts w:ascii="Arial" w:eastAsia="Times New Roman" w:hAnsi="Arial" w:cs="Arial"/>
          <w:b/>
          <w:color w:val="333333"/>
          <w:sz w:val="21"/>
          <w:szCs w:val="21"/>
        </w:rPr>
        <w:t>spring and summer of 2014</w:t>
      </w:r>
      <w:r w:rsidRPr="009E05C8">
        <w:rPr>
          <w:rFonts w:ascii="Arial" w:eastAsia="Times New Roman" w:hAnsi="Arial" w:cs="Arial"/>
          <w:color w:val="333333"/>
          <w:sz w:val="21"/>
          <w:szCs w:val="21"/>
        </w:rPr>
        <w:t xml:space="preserve">, the FOMC discussed ways to normalize the stance of monetary policy and the Federal Reserve's securities holdings. The discussions were part of prudent planning and did not imply that normalization would necessarily begin soon. The Committee continued to judge that many of the normalization principles that it adopted in June 2011 remained applicable. However, in light of the changes in the System Open Market Account (SOMA) portfolio since 2011 and enhancements in the tools the Committee would have available to implement policy during normalization, the Committee concluded that some aspects of the eventual normalization process would likely differ from those specified earlier. </w:t>
      </w:r>
      <w:r w:rsidRPr="00AB40E8">
        <w:rPr>
          <w:rFonts w:ascii="Arial" w:eastAsia="Times New Roman" w:hAnsi="Arial" w:cs="Arial"/>
          <w:b/>
          <w:color w:val="333333"/>
          <w:sz w:val="21"/>
          <w:szCs w:val="21"/>
        </w:rPr>
        <w:t>The Committee also agreed that it was appropriate to provide additional information regarding its normalization plans.</w:t>
      </w:r>
      <w:r w:rsidRPr="009E05C8">
        <w:rPr>
          <w:rFonts w:ascii="Arial" w:eastAsia="Times New Roman" w:hAnsi="Arial" w:cs="Arial"/>
          <w:color w:val="333333"/>
          <w:sz w:val="21"/>
          <w:szCs w:val="21"/>
        </w:rPr>
        <w:t xml:space="preserve"> </w:t>
      </w:r>
      <w:r w:rsidRPr="00FE531E">
        <w:rPr>
          <w:rFonts w:ascii="Arial" w:eastAsia="Times New Roman" w:hAnsi="Arial" w:cs="Arial"/>
          <w:sz w:val="21"/>
          <w:szCs w:val="21"/>
        </w:rPr>
        <w:t>In </w:t>
      </w:r>
      <w:hyperlink r:id="rId6" w:history="1">
        <w:r w:rsidRPr="00FE531E">
          <w:rPr>
            <w:rFonts w:ascii="Arial" w:eastAsia="Times New Roman" w:hAnsi="Arial" w:cs="Arial"/>
            <w:sz w:val="21"/>
            <w:szCs w:val="21"/>
          </w:rPr>
          <w:t>September 2014</w:t>
        </w:r>
      </w:hyperlink>
      <w:r w:rsidRPr="009E05C8">
        <w:rPr>
          <w:rFonts w:ascii="Arial" w:eastAsia="Times New Roman" w:hAnsi="Arial" w:cs="Arial"/>
          <w:color w:val="333333"/>
          <w:sz w:val="21"/>
          <w:szCs w:val="21"/>
        </w:rPr>
        <w:t xml:space="preserve">, all FOMC participants but one agreed on the </w:t>
      </w:r>
      <w:r w:rsidRPr="00AB40E8">
        <w:rPr>
          <w:rFonts w:ascii="Arial" w:eastAsia="Times New Roman" w:hAnsi="Arial" w:cs="Arial"/>
          <w:b/>
          <w:color w:val="333333"/>
          <w:sz w:val="21"/>
          <w:szCs w:val="21"/>
        </w:rPr>
        <w:t>following key elements of the approach they intended to implement when it became appropriate to begin normalizing the stance of monetary policy</w:t>
      </w:r>
      <w:r w:rsidRPr="009E05C8">
        <w:rPr>
          <w:rFonts w:ascii="Arial" w:eastAsia="Times New Roman" w:hAnsi="Arial" w:cs="Arial"/>
          <w:color w:val="333333"/>
          <w:sz w:val="21"/>
          <w:szCs w:val="21"/>
        </w:rPr>
        <w:t>:</w:t>
      </w:r>
    </w:p>
    <w:p w14:paraId="1A02A275" w14:textId="77777777" w:rsidR="007D7C71" w:rsidRPr="00AB40E8" w:rsidRDefault="007D7C71" w:rsidP="007D7C71">
      <w:pPr>
        <w:numPr>
          <w:ilvl w:val="0"/>
          <w:numId w:val="2"/>
        </w:numPr>
        <w:spacing w:after="150" w:line="240" w:lineRule="auto"/>
        <w:rPr>
          <w:rFonts w:ascii="Arial" w:eastAsia="Times New Roman" w:hAnsi="Arial" w:cs="Arial"/>
          <w:b/>
          <w:color w:val="333333"/>
          <w:sz w:val="21"/>
          <w:szCs w:val="21"/>
        </w:rPr>
      </w:pPr>
      <w:r w:rsidRPr="00FE531E">
        <w:rPr>
          <w:rFonts w:ascii="Arial" w:eastAsia="Times New Roman" w:hAnsi="Arial" w:cs="Arial"/>
          <w:color w:val="333333"/>
          <w:sz w:val="21"/>
          <w:szCs w:val="21"/>
        </w:rPr>
        <w:t xml:space="preserve">The Committee will determine the </w:t>
      </w:r>
      <w:r w:rsidRPr="00AB40E8">
        <w:rPr>
          <w:rFonts w:ascii="Arial" w:eastAsia="Times New Roman" w:hAnsi="Arial" w:cs="Arial"/>
          <w:b/>
          <w:color w:val="333333"/>
          <w:sz w:val="21"/>
          <w:szCs w:val="21"/>
        </w:rPr>
        <w:t>timing and pace of policy normalization--meaning steps to raise the federal funds rate and other short-term interest rates to more normal levels and to reduce the Federal Reserve's securities holdings--so as to promote its statutory mandate of maximum employment and price stability.</w:t>
      </w:r>
    </w:p>
    <w:p w14:paraId="721F232A" w14:textId="77777777" w:rsidR="007D7C71" w:rsidRPr="00FE531E" w:rsidRDefault="007D7C71" w:rsidP="007D7C71">
      <w:pPr>
        <w:numPr>
          <w:ilvl w:val="1"/>
          <w:numId w:val="2"/>
        </w:numPr>
        <w:spacing w:after="0" w:line="240" w:lineRule="auto"/>
        <w:rPr>
          <w:rFonts w:ascii="Arial" w:eastAsia="Times New Roman" w:hAnsi="Arial" w:cs="Arial"/>
          <w:color w:val="333333"/>
          <w:sz w:val="21"/>
          <w:szCs w:val="21"/>
        </w:rPr>
      </w:pPr>
      <w:r w:rsidRPr="00FE531E">
        <w:rPr>
          <w:rFonts w:ascii="Arial" w:eastAsia="Times New Roman" w:hAnsi="Arial" w:cs="Arial"/>
          <w:color w:val="333333"/>
          <w:sz w:val="21"/>
          <w:szCs w:val="21"/>
        </w:rPr>
        <w:t>When economic conditions and the economic outlook warrant a less accommodative monetary policy, the Committee will raise its target range for the federal funds rate.</w:t>
      </w:r>
    </w:p>
    <w:p w14:paraId="2F94F918" w14:textId="77777777" w:rsidR="007D7C71" w:rsidRPr="00FE531E" w:rsidRDefault="007D7C71" w:rsidP="007D7C71">
      <w:pPr>
        <w:numPr>
          <w:ilvl w:val="1"/>
          <w:numId w:val="2"/>
        </w:numPr>
        <w:spacing w:after="0" w:line="240" w:lineRule="auto"/>
        <w:rPr>
          <w:rFonts w:ascii="Arial" w:eastAsia="Times New Roman" w:hAnsi="Arial" w:cs="Arial"/>
          <w:color w:val="333333"/>
          <w:sz w:val="21"/>
          <w:szCs w:val="21"/>
        </w:rPr>
      </w:pPr>
      <w:r w:rsidRPr="00FE531E">
        <w:rPr>
          <w:rFonts w:ascii="Arial" w:eastAsia="Times New Roman" w:hAnsi="Arial" w:cs="Arial"/>
          <w:color w:val="333333"/>
          <w:sz w:val="21"/>
          <w:szCs w:val="21"/>
        </w:rPr>
        <w:t>During normalization, the Federal Reserve intends to move the federal funds rate into the target range set by the FOMC primarily by adjusting the interest rate it pays on excess reserve balances.</w:t>
      </w:r>
    </w:p>
    <w:p w14:paraId="0124EADC" w14:textId="77777777" w:rsidR="007D7C71" w:rsidRPr="00FE531E" w:rsidRDefault="007D7C71" w:rsidP="007D7C71">
      <w:pPr>
        <w:numPr>
          <w:ilvl w:val="1"/>
          <w:numId w:val="2"/>
        </w:numPr>
        <w:spacing w:after="150" w:line="240" w:lineRule="auto"/>
        <w:rPr>
          <w:rFonts w:ascii="Arial" w:eastAsia="Times New Roman" w:hAnsi="Arial" w:cs="Arial"/>
          <w:color w:val="333333"/>
          <w:sz w:val="21"/>
          <w:szCs w:val="21"/>
        </w:rPr>
      </w:pPr>
      <w:r w:rsidRPr="00FE531E">
        <w:rPr>
          <w:rFonts w:ascii="Arial" w:eastAsia="Times New Roman" w:hAnsi="Arial" w:cs="Arial"/>
          <w:color w:val="333333"/>
          <w:sz w:val="21"/>
          <w:szCs w:val="21"/>
        </w:rPr>
        <w:t>During normalization, the Federal Reserve intends to use an overnight reverse repurchase agreement facility and other supplementary tools as needed to help control the federal funds rate. The Committee will use an overnight reverse repurchase agreement facility only to the extent necessary and will phase it out when it is no longer needed to help control the federal funds rate.</w:t>
      </w:r>
    </w:p>
    <w:p w14:paraId="0052A4EF" w14:textId="77777777" w:rsidR="007D7C71" w:rsidRPr="00FE531E" w:rsidRDefault="007D7C71" w:rsidP="007D7C71">
      <w:pPr>
        <w:numPr>
          <w:ilvl w:val="0"/>
          <w:numId w:val="2"/>
        </w:numPr>
        <w:spacing w:after="150" w:line="240" w:lineRule="auto"/>
        <w:rPr>
          <w:rFonts w:ascii="Arial" w:eastAsia="Times New Roman" w:hAnsi="Arial" w:cs="Arial"/>
          <w:color w:val="333333"/>
          <w:sz w:val="21"/>
          <w:szCs w:val="21"/>
        </w:rPr>
      </w:pPr>
      <w:r w:rsidRPr="00AB40E8">
        <w:rPr>
          <w:rFonts w:ascii="Arial" w:eastAsia="Times New Roman" w:hAnsi="Arial" w:cs="Arial"/>
          <w:b/>
          <w:color w:val="333333"/>
          <w:sz w:val="21"/>
          <w:szCs w:val="21"/>
        </w:rPr>
        <w:t>The Committee intends to reduce the Federal Reserve's securities holdings in a gradual and predictable manner primarily by ceasing to reinvest repayments of principal on securities</w:t>
      </w:r>
      <w:r w:rsidRPr="00FE531E">
        <w:rPr>
          <w:rFonts w:ascii="Arial" w:eastAsia="Times New Roman" w:hAnsi="Arial" w:cs="Arial"/>
          <w:color w:val="333333"/>
          <w:sz w:val="21"/>
          <w:szCs w:val="21"/>
        </w:rPr>
        <w:t xml:space="preserve"> held in the </w:t>
      </w:r>
      <w:r w:rsidR="00AB40E8" w:rsidRPr="009E05C8">
        <w:rPr>
          <w:rFonts w:ascii="Arial" w:eastAsia="Times New Roman" w:hAnsi="Arial" w:cs="Arial"/>
          <w:color w:val="333333"/>
          <w:sz w:val="21"/>
          <w:szCs w:val="21"/>
        </w:rPr>
        <w:t xml:space="preserve">System Open Market Account </w:t>
      </w:r>
      <w:r w:rsidR="00AB40E8">
        <w:rPr>
          <w:rFonts w:ascii="Arial" w:eastAsia="Times New Roman" w:hAnsi="Arial" w:cs="Arial"/>
          <w:color w:val="333333"/>
          <w:sz w:val="21"/>
          <w:szCs w:val="21"/>
        </w:rPr>
        <w:t>(</w:t>
      </w:r>
      <w:r w:rsidRPr="00FE531E">
        <w:rPr>
          <w:rFonts w:ascii="Arial" w:eastAsia="Times New Roman" w:hAnsi="Arial" w:cs="Arial"/>
          <w:color w:val="333333"/>
          <w:sz w:val="21"/>
          <w:szCs w:val="21"/>
        </w:rPr>
        <w:t>SOMA</w:t>
      </w:r>
      <w:r w:rsidR="00AB40E8">
        <w:rPr>
          <w:rFonts w:ascii="Arial" w:eastAsia="Times New Roman" w:hAnsi="Arial" w:cs="Arial"/>
          <w:color w:val="333333"/>
          <w:sz w:val="21"/>
          <w:szCs w:val="21"/>
        </w:rPr>
        <w:t>)</w:t>
      </w:r>
      <w:r w:rsidRPr="00FE531E">
        <w:rPr>
          <w:rFonts w:ascii="Arial" w:eastAsia="Times New Roman" w:hAnsi="Arial" w:cs="Arial"/>
          <w:color w:val="333333"/>
          <w:sz w:val="21"/>
          <w:szCs w:val="21"/>
        </w:rPr>
        <w:t>.</w:t>
      </w:r>
    </w:p>
    <w:p w14:paraId="7D8E2257" w14:textId="77777777" w:rsidR="007D7C71" w:rsidRPr="00FE531E" w:rsidRDefault="007D7C71" w:rsidP="007D7C71">
      <w:pPr>
        <w:numPr>
          <w:ilvl w:val="1"/>
          <w:numId w:val="2"/>
        </w:numPr>
        <w:spacing w:after="0" w:line="240" w:lineRule="auto"/>
        <w:rPr>
          <w:rFonts w:ascii="Arial" w:eastAsia="Times New Roman" w:hAnsi="Arial" w:cs="Arial"/>
          <w:color w:val="333333"/>
          <w:sz w:val="21"/>
          <w:szCs w:val="21"/>
        </w:rPr>
      </w:pPr>
      <w:r w:rsidRPr="00FE531E">
        <w:rPr>
          <w:rFonts w:ascii="Arial" w:eastAsia="Times New Roman" w:hAnsi="Arial" w:cs="Arial"/>
          <w:color w:val="333333"/>
          <w:sz w:val="21"/>
          <w:szCs w:val="21"/>
        </w:rPr>
        <w:t>The Committee expects to cease or commence phasing out reinvestments after it begins increasing the target range for the federal funds rate; the timing will depend on how economic and financial conditions and the economic outlook evolve.</w:t>
      </w:r>
    </w:p>
    <w:p w14:paraId="50C84DD0" w14:textId="77777777" w:rsidR="007D7C71" w:rsidRPr="00FE531E" w:rsidRDefault="007D7C71" w:rsidP="007D7C71">
      <w:pPr>
        <w:numPr>
          <w:ilvl w:val="1"/>
          <w:numId w:val="2"/>
        </w:numPr>
        <w:spacing w:after="0" w:line="240" w:lineRule="auto"/>
        <w:rPr>
          <w:rFonts w:ascii="Arial" w:eastAsia="Times New Roman" w:hAnsi="Arial" w:cs="Arial"/>
          <w:color w:val="333333"/>
          <w:sz w:val="21"/>
          <w:szCs w:val="21"/>
        </w:rPr>
      </w:pPr>
      <w:r w:rsidRPr="00FE531E">
        <w:rPr>
          <w:rFonts w:ascii="Arial" w:eastAsia="Times New Roman" w:hAnsi="Arial" w:cs="Arial"/>
          <w:color w:val="333333"/>
          <w:sz w:val="21"/>
          <w:szCs w:val="21"/>
        </w:rPr>
        <w:t>The Committee currently does not anticipate selling agency mortgage-backed securities as part of the normalization process, although limited sales might be warranted in the longer run to reduce or eliminate residual holdings. The timing and pace of any sales would be communicated to the public in advance.</w:t>
      </w:r>
    </w:p>
    <w:p w14:paraId="2F5E0FC9" w14:textId="77777777" w:rsidR="007D7C71" w:rsidRPr="00FE531E" w:rsidRDefault="007D7C71" w:rsidP="007D7C71">
      <w:pPr>
        <w:numPr>
          <w:ilvl w:val="0"/>
          <w:numId w:val="2"/>
        </w:numPr>
        <w:spacing w:after="150" w:line="240" w:lineRule="auto"/>
        <w:rPr>
          <w:rFonts w:ascii="Arial" w:eastAsia="Times New Roman" w:hAnsi="Arial" w:cs="Arial"/>
          <w:color w:val="333333"/>
          <w:sz w:val="21"/>
          <w:szCs w:val="21"/>
        </w:rPr>
      </w:pPr>
      <w:r w:rsidRPr="00FE531E">
        <w:rPr>
          <w:rFonts w:ascii="Arial" w:eastAsia="Times New Roman" w:hAnsi="Arial" w:cs="Arial"/>
          <w:color w:val="333333"/>
          <w:sz w:val="21"/>
          <w:szCs w:val="21"/>
        </w:rPr>
        <w:t>The Committee intends that the Federal Reserve will, in the longer run, hold no more securities than necessary to implement monetary policy efficiently and effectively, and that it will hold primarily Treasury securities, thereby minimizing the effect of Federal Reserve holdings on the allocation of credit across sectors of the economy.</w:t>
      </w:r>
    </w:p>
    <w:p w14:paraId="46906916" w14:textId="77777777" w:rsidR="007D7C71" w:rsidRPr="00FE531E" w:rsidRDefault="007D7C71" w:rsidP="007D7C71">
      <w:pPr>
        <w:numPr>
          <w:ilvl w:val="0"/>
          <w:numId w:val="2"/>
        </w:numPr>
        <w:spacing w:after="0" w:line="240" w:lineRule="auto"/>
        <w:rPr>
          <w:rFonts w:ascii="Arial" w:eastAsia="Times New Roman" w:hAnsi="Arial" w:cs="Arial"/>
          <w:color w:val="333333"/>
          <w:sz w:val="21"/>
          <w:szCs w:val="21"/>
        </w:rPr>
      </w:pPr>
      <w:r w:rsidRPr="00FE531E">
        <w:rPr>
          <w:rFonts w:ascii="Arial" w:eastAsia="Times New Roman" w:hAnsi="Arial" w:cs="Arial"/>
          <w:color w:val="333333"/>
          <w:sz w:val="21"/>
          <w:szCs w:val="21"/>
        </w:rPr>
        <w:t>The Committee is prepared to adjust the details of its approach to policy normalization in light of economic and financial developments.</w:t>
      </w:r>
    </w:p>
    <w:p w14:paraId="2D1C4D61" w14:textId="77777777" w:rsidR="007D7C71" w:rsidRDefault="007D7C71"/>
    <w:p w14:paraId="31D15AA8" w14:textId="4DB603FD" w:rsidR="000E03E5" w:rsidRDefault="000E03E5">
      <w:r>
        <w:lastRenderedPageBreak/>
        <w:fldChar w:fldCharType="begin"/>
      </w:r>
      <w:r>
        <w:instrText xml:space="preserve"> LINK </w:instrText>
      </w:r>
      <w:r w:rsidR="00656572">
        <w:instrText xml:space="preserve">Excel.Sheet.12 "C:\\Users\\Rhonda\\Desktop\\Sp 20 all\\FOMC int rates -spindown excel wo ftntes3-20-20.v4.xlsx" Sheet1!R3C4:R41C13 </w:instrText>
      </w:r>
      <w:r>
        <w:instrText xml:space="preserve">\a \f 5 \h  \* MERGEFORMAT </w:instrText>
      </w:r>
      <w:r>
        <w:fldChar w:fldCharType="separate"/>
      </w:r>
    </w:p>
    <w:tbl>
      <w:tblPr>
        <w:tblStyle w:val="TableGrid"/>
        <w:tblW w:w="10660" w:type="dxa"/>
        <w:tblLook w:val="04A0" w:firstRow="1" w:lastRow="0" w:firstColumn="1" w:lastColumn="0" w:noHBand="0" w:noVBand="1"/>
      </w:tblPr>
      <w:tblGrid>
        <w:gridCol w:w="1460"/>
        <w:gridCol w:w="222"/>
        <w:gridCol w:w="2087"/>
        <w:gridCol w:w="1630"/>
        <w:gridCol w:w="1392"/>
        <w:gridCol w:w="339"/>
        <w:gridCol w:w="1114"/>
        <w:gridCol w:w="299"/>
        <w:gridCol w:w="1133"/>
        <w:gridCol w:w="1114"/>
      </w:tblGrid>
      <w:tr w:rsidR="000E03E5" w:rsidRPr="000E03E5" w14:paraId="5F154A5A" w14:textId="77777777" w:rsidTr="000E03E5">
        <w:trPr>
          <w:trHeight w:val="288"/>
        </w:trPr>
        <w:tc>
          <w:tcPr>
            <w:tcW w:w="1520" w:type="dxa"/>
            <w:gridSpan w:val="2"/>
            <w:noWrap/>
            <w:hideMark/>
          </w:tcPr>
          <w:p w14:paraId="478F9F65" w14:textId="77777777" w:rsidR="000E03E5" w:rsidRPr="000E03E5" w:rsidRDefault="000E03E5">
            <w:pPr>
              <w:rPr>
                <w:b/>
                <w:bCs/>
              </w:rPr>
            </w:pPr>
            <w:r w:rsidRPr="000E03E5">
              <w:rPr>
                <w:b/>
                <w:bCs/>
              </w:rPr>
              <w:t>FOMC 3-20-20</w:t>
            </w:r>
          </w:p>
        </w:tc>
        <w:tc>
          <w:tcPr>
            <w:tcW w:w="2100" w:type="dxa"/>
            <w:noWrap/>
            <w:hideMark/>
          </w:tcPr>
          <w:p w14:paraId="6BE2C0A7" w14:textId="77777777" w:rsidR="000E03E5" w:rsidRPr="000E03E5" w:rsidRDefault="000E03E5">
            <w:pPr>
              <w:rPr>
                <w:b/>
                <w:bCs/>
              </w:rPr>
            </w:pPr>
          </w:p>
        </w:tc>
        <w:tc>
          <w:tcPr>
            <w:tcW w:w="1640" w:type="dxa"/>
            <w:noWrap/>
            <w:hideMark/>
          </w:tcPr>
          <w:p w14:paraId="7505B423" w14:textId="77777777" w:rsidR="000E03E5" w:rsidRPr="000E03E5" w:rsidRDefault="000E03E5"/>
        </w:tc>
        <w:tc>
          <w:tcPr>
            <w:tcW w:w="1400" w:type="dxa"/>
            <w:noWrap/>
            <w:hideMark/>
          </w:tcPr>
          <w:p w14:paraId="76DC8B16" w14:textId="77777777" w:rsidR="000E03E5" w:rsidRPr="000E03E5" w:rsidRDefault="000E03E5"/>
        </w:tc>
        <w:tc>
          <w:tcPr>
            <w:tcW w:w="340" w:type="dxa"/>
            <w:noWrap/>
            <w:hideMark/>
          </w:tcPr>
          <w:p w14:paraId="05D0CC3F" w14:textId="77777777" w:rsidR="000E03E5" w:rsidRPr="000E03E5" w:rsidRDefault="000E03E5"/>
        </w:tc>
        <w:tc>
          <w:tcPr>
            <w:tcW w:w="1120" w:type="dxa"/>
            <w:noWrap/>
            <w:hideMark/>
          </w:tcPr>
          <w:p w14:paraId="36384D1A" w14:textId="77777777" w:rsidR="000E03E5" w:rsidRPr="000E03E5" w:rsidRDefault="000E03E5"/>
        </w:tc>
        <w:tc>
          <w:tcPr>
            <w:tcW w:w="300" w:type="dxa"/>
            <w:noWrap/>
            <w:hideMark/>
          </w:tcPr>
          <w:p w14:paraId="28F2AB79" w14:textId="77777777" w:rsidR="000E03E5" w:rsidRPr="000E03E5" w:rsidRDefault="000E03E5"/>
        </w:tc>
        <w:tc>
          <w:tcPr>
            <w:tcW w:w="1120" w:type="dxa"/>
            <w:noWrap/>
            <w:hideMark/>
          </w:tcPr>
          <w:p w14:paraId="00A9104F" w14:textId="77777777" w:rsidR="000E03E5" w:rsidRPr="000E03E5" w:rsidRDefault="000E03E5" w:rsidP="000E03E5">
            <w:r w:rsidRPr="000E03E5">
              <w:t>Spindown</w:t>
            </w:r>
          </w:p>
        </w:tc>
        <w:tc>
          <w:tcPr>
            <w:tcW w:w="1120" w:type="dxa"/>
            <w:noWrap/>
            <w:hideMark/>
          </w:tcPr>
          <w:p w14:paraId="70E367E2" w14:textId="77777777" w:rsidR="000E03E5" w:rsidRPr="000E03E5" w:rsidRDefault="000E03E5" w:rsidP="000E03E5"/>
        </w:tc>
      </w:tr>
      <w:tr w:rsidR="000E03E5" w:rsidRPr="000E03E5" w14:paraId="2D3E256F" w14:textId="77777777" w:rsidTr="000E03E5">
        <w:trPr>
          <w:trHeight w:val="288"/>
        </w:trPr>
        <w:tc>
          <w:tcPr>
            <w:tcW w:w="1470" w:type="dxa"/>
            <w:noWrap/>
            <w:hideMark/>
          </w:tcPr>
          <w:p w14:paraId="4ED250CF" w14:textId="77777777" w:rsidR="000E03E5" w:rsidRPr="000E03E5" w:rsidRDefault="000E03E5"/>
        </w:tc>
        <w:tc>
          <w:tcPr>
            <w:tcW w:w="50" w:type="dxa"/>
            <w:noWrap/>
            <w:hideMark/>
          </w:tcPr>
          <w:p w14:paraId="75730789" w14:textId="77777777" w:rsidR="000E03E5" w:rsidRPr="000E03E5" w:rsidRDefault="000E03E5"/>
        </w:tc>
        <w:tc>
          <w:tcPr>
            <w:tcW w:w="2100" w:type="dxa"/>
            <w:noWrap/>
            <w:hideMark/>
          </w:tcPr>
          <w:p w14:paraId="58F51A04" w14:textId="77777777" w:rsidR="000E03E5" w:rsidRPr="000E03E5" w:rsidRDefault="000E03E5">
            <w:r w:rsidRPr="000E03E5">
              <w:t>Interest Rates</w:t>
            </w:r>
          </w:p>
        </w:tc>
        <w:tc>
          <w:tcPr>
            <w:tcW w:w="1640" w:type="dxa"/>
            <w:noWrap/>
            <w:hideMark/>
          </w:tcPr>
          <w:p w14:paraId="4DF3E00C" w14:textId="77777777" w:rsidR="000E03E5" w:rsidRPr="000E03E5" w:rsidRDefault="000E03E5" w:rsidP="000E03E5">
            <w:r w:rsidRPr="000E03E5">
              <w:t>Discount Rate</w:t>
            </w:r>
          </w:p>
        </w:tc>
        <w:tc>
          <w:tcPr>
            <w:tcW w:w="1400" w:type="dxa"/>
            <w:noWrap/>
            <w:hideMark/>
          </w:tcPr>
          <w:p w14:paraId="1FE708F9" w14:textId="77777777" w:rsidR="000E03E5" w:rsidRPr="000E03E5" w:rsidRDefault="000E03E5" w:rsidP="000E03E5">
            <w:r w:rsidRPr="000E03E5">
              <w:t>Reserve Rate</w:t>
            </w:r>
          </w:p>
        </w:tc>
        <w:tc>
          <w:tcPr>
            <w:tcW w:w="340" w:type="dxa"/>
            <w:noWrap/>
            <w:hideMark/>
          </w:tcPr>
          <w:p w14:paraId="7D4FFF69" w14:textId="77777777" w:rsidR="000E03E5" w:rsidRPr="000E03E5" w:rsidRDefault="000E03E5" w:rsidP="000E03E5"/>
        </w:tc>
        <w:tc>
          <w:tcPr>
            <w:tcW w:w="1120" w:type="dxa"/>
            <w:noWrap/>
            <w:hideMark/>
          </w:tcPr>
          <w:p w14:paraId="01065FE0" w14:textId="77777777" w:rsidR="000E03E5" w:rsidRPr="000E03E5" w:rsidRDefault="000E03E5"/>
        </w:tc>
        <w:tc>
          <w:tcPr>
            <w:tcW w:w="300" w:type="dxa"/>
            <w:noWrap/>
            <w:hideMark/>
          </w:tcPr>
          <w:p w14:paraId="6C98CA3F" w14:textId="77777777" w:rsidR="000E03E5" w:rsidRPr="000E03E5" w:rsidRDefault="000E03E5"/>
        </w:tc>
        <w:tc>
          <w:tcPr>
            <w:tcW w:w="1120" w:type="dxa"/>
            <w:noWrap/>
            <w:hideMark/>
          </w:tcPr>
          <w:p w14:paraId="3C93C3BB" w14:textId="77777777" w:rsidR="000E03E5" w:rsidRPr="000E03E5" w:rsidRDefault="000E03E5">
            <w:r w:rsidRPr="000E03E5">
              <w:t>Treasuries</w:t>
            </w:r>
          </w:p>
        </w:tc>
        <w:tc>
          <w:tcPr>
            <w:tcW w:w="1120" w:type="dxa"/>
            <w:noWrap/>
            <w:hideMark/>
          </w:tcPr>
          <w:p w14:paraId="0BC8B115" w14:textId="77777777" w:rsidR="000E03E5" w:rsidRPr="000E03E5" w:rsidRDefault="000E03E5" w:rsidP="000E03E5">
            <w:r w:rsidRPr="000E03E5">
              <w:t>MBS</w:t>
            </w:r>
          </w:p>
        </w:tc>
      </w:tr>
      <w:tr w:rsidR="000E03E5" w:rsidRPr="000E03E5" w14:paraId="1D743E0D" w14:textId="77777777" w:rsidTr="000E03E5">
        <w:trPr>
          <w:trHeight w:val="288"/>
        </w:trPr>
        <w:tc>
          <w:tcPr>
            <w:tcW w:w="1470" w:type="dxa"/>
            <w:noWrap/>
            <w:hideMark/>
          </w:tcPr>
          <w:p w14:paraId="442ECCA5" w14:textId="77777777" w:rsidR="000E03E5" w:rsidRPr="000E03E5" w:rsidRDefault="000E03E5" w:rsidP="000E03E5"/>
        </w:tc>
        <w:tc>
          <w:tcPr>
            <w:tcW w:w="50" w:type="dxa"/>
            <w:noWrap/>
            <w:hideMark/>
          </w:tcPr>
          <w:p w14:paraId="526DAE0E" w14:textId="77777777" w:rsidR="000E03E5" w:rsidRPr="000E03E5" w:rsidRDefault="000E03E5"/>
        </w:tc>
        <w:tc>
          <w:tcPr>
            <w:tcW w:w="2100" w:type="dxa"/>
            <w:noWrap/>
            <w:hideMark/>
          </w:tcPr>
          <w:p w14:paraId="54BB404D" w14:textId="77777777" w:rsidR="000E03E5" w:rsidRPr="000E03E5" w:rsidRDefault="000E03E5">
            <w:r w:rsidRPr="000E03E5">
              <w:t>Target Fed Funds Rate</w:t>
            </w:r>
          </w:p>
        </w:tc>
        <w:tc>
          <w:tcPr>
            <w:tcW w:w="1640" w:type="dxa"/>
            <w:noWrap/>
            <w:hideMark/>
          </w:tcPr>
          <w:p w14:paraId="2E9EB56C" w14:textId="77777777" w:rsidR="000E03E5" w:rsidRPr="000E03E5" w:rsidRDefault="000E03E5" w:rsidP="000E03E5">
            <w:r w:rsidRPr="000E03E5">
              <w:t>(Primary Credit)</w:t>
            </w:r>
          </w:p>
        </w:tc>
        <w:tc>
          <w:tcPr>
            <w:tcW w:w="1400" w:type="dxa"/>
            <w:noWrap/>
            <w:hideMark/>
          </w:tcPr>
          <w:p w14:paraId="19A2B5D8" w14:textId="77777777" w:rsidR="000E03E5" w:rsidRPr="000E03E5" w:rsidRDefault="000E03E5" w:rsidP="000E03E5"/>
        </w:tc>
        <w:tc>
          <w:tcPr>
            <w:tcW w:w="340" w:type="dxa"/>
            <w:noWrap/>
            <w:hideMark/>
          </w:tcPr>
          <w:p w14:paraId="1226EF7F" w14:textId="77777777" w:rsidR="000E03E5" w:rsidRPr="000E03E5" w:rsidRDefault="000E03E5" w:rsidP="000E03E5"/>
        </w:tc>
        <w:tc>
          <w:tcPr>
            <w:tcW w:w="1120" w:type="dxa"/>
            <w:noWrap/>
            <w:hideMark/>
          </w:tcPr>
          <w:p w14:paraId="7ABE8E4F" w14:textId="77777777" w:rsidR="000E03E5" w:rsidRPr="000E03E5" w:rsidRDefault="000E03E5">
            <w:r w:rsidRPr="000E03E5">
              <w:t>Effective</w:t>
            </w:r>
          </w:p>
        </w:tc>
        <w:tc>
          <w:tcPr>
            <w:tcW w:w="300" w:type="dxa"/>
            <w:noWrap/>
            <w:hideMark/>
          </w:tcPr>
          <w:p w14:paraId="7B666F39" w14:textId="77777777" w:rsidR="000E03E5" w:rsidRPr="000E03E5" w:rsidRDefault="000E03E5"/>
        </w:tc>
        <w:tc>
          <w:tcPr>
            <w:tcW w:w="1120" w:type="dxa"/>
            <w:noWrap/>
            <w:hideMark/>
          </w:tcPr>
          <w:p w14:paraId="23C5C7BC" w14:textId="77777777" w:rsidR="000E03E5" w:rsidRPr="000E03E5" w:rsidRDefault="000E03E5">
            <w:r w:rsidRPr="000E03E5">
              <w:t>&gt;  In Billions</w:t>
            </w:r>
          </w:p>
        </w:tc>
        <w:tc>
          <w:tcPr>
            <w:tcW w:w="1120" w:type="dxa"/>
            <w:noWrap/>
            <w:hideMark/>
          </w:tcPr>
          <w:p w14:paraId="758C2BAB" w14:textId="77777777" w:rsidR="000E03E5" w:rsidRPr="000E03E5" w:rsidRDefault="000E03E5">
            <w:r w:rsidRPr="000E03E5">
              <w:t>&gt;  In Billions</w:t>
            </w:r>
          </w:p>
        </w:tc>
      </w:tr>
      <w:tr w:rsidR="000E03E5" w:rsidRPr="000E03E5" w14:paraId="5EB84F2B" w14:textId="77777777" w:rsidTr="000E03E5">
        <w:trPr>
          <w:trHeight w:val="288"/>
        </w:trPr>
        <w:tc>
          <w:tcPr>
            <w:tcW w:w="1470" w:type="dxa"/>
            <w:noWrap/>
            <w:hideMark/>
          </w:tcPr>
          <w:p w14:paraId="0F7D472D" w14:textId="77777777" w:rsidR="000E03E5" w:rsidRPr="000E03E5" w:rsidRDefault="000E03E5"/>
        </w:tc>
        <w:tc>
          <w:tcPr>
            <w:tcW w:w="50" w:type="dxa"/>
            <w:noWrap/>
            <w:hideMark/>
          </w:tcPr>
          <w:p w14:paraId="542043A4" w14:textId="77777777" w:rsidR="000E03E5" w:rsidRPr="000E03E5" w:rsidRDefault="000E03E5"/>
        </w:tc>
        <w:tc>
          <w:tcPr>
            <w:tcW w:w="2100" w:type="dxa"/>
            <w:noWrap/>
            <w:hideMark/>
          </w:tcPr>
          <w:p w14:paraId="74CFD08D" w14:textId="77777777" w:rsidR="000E03E5" w:rsidRPr="000E03E5" w:rsidRDefault="000E03E5"/>
        </w:tc>
        <w:tc>
          <w:tcPr>
            <w:tcW w:w="1640" w:type="dxa"/>
            <w:noWrap/>
            <w:hideMark/>
          </w:tcPr>
          <w:p w14:paraId="6380B997" w14:textId="77777777" w:rsidR="000E03E5" w:rsidRPr="000E03E5" w:rsidRDefault="000E03E5"/>
        </w:tc>
        <w:tc>
          <w:tcPr>
            <w:tcW w:w="1400" w:type="dxa"/>
            <w:noWrap/>
            <w:hideMark/>
          </w:tcPr>
          <w:p w14:paraId="5C5CC62C" w14:textId="77777777" w:rsidR="000E03E5" w:rsidRPr="000E03E5" w:rsidRDefault="000E03E5" w:rsidP="000E03E5"/>
        </w:tc>
        <w:tc>
          <w:tcPr>
            <w:tcW w:w="340" w:type="dxa"/>
            <w:noWrap/>
            <w:hideMark/>
          </w:tcPr>
          <w:p w14:paraId="6E2B6A89" w14:textId="77777777" w:rsidR="000E03E5" w:rsidRPr="000E03E5" w:rsidRDefault="000E03E5" w:rsidP="000E03E5"/>
        </w:tc>
        <w:tc>
          <w:tcPr>
            <w:tcW w:w="1120" w:type="dxa"/>
            <w:noWrap/>
            <w:hideMark/>
          </w:tcPr>
          <w:p w14:paraId="12A300D5" w14:textId="77777777" w:rsidR="000E03E5" w:rsidRPr="000E03E5" w:rsidRDefault="000E03E5"/>
        </w:tc>
        <w:tc>
          <w:tcPr>
            <w:tcW w:w="300" w:type="dxa"/>
            <w:noWrap/>
            <w:hideMark/>
          </w:tcPr>
          <w:p w14:paraId="1263B6FC" w14:textId="77777777" w:rsidR="000E03E5" w:rsidRPr="000E03E5" w:rsidRDefault="000E03E5"/>
        </w:tc>
        <w:tc>
          <w:tcPr>
            <w:tcW w:w="1120" w:type="dxa"/>
            <w:noWrap/>
            <w:hideMark/>
          </w:tcPr>
          <w:p w14:paraId="166F9F97" w14:textId="77777777" w:rsidR="000E03E5" w:rsidRPr="000E03E5" w:rsidRDefault="000E03E5"/>
        </w:tc>
        <w:tc>
          <w:tcPr>
            <w:tcW w:w="1120" w:type="dxa"/>
            <w:noWrap/>
            <w:hideMark/>
          </w:tcPr>
          <w:p w14:paraId="534A269E" w14:textId="77777777" w:rsidR="000E03E5" w:rsidRPr="000E03E5" w:rsidRDefault="000E03E5"/>
        </w:tc>
      </w:tr>
      <w:tr w:rsidR="000E03E5" w:rsidRPr="000E03E5" w14:paraId="7F1FFE5B" w14:textId="77777777" w:rsidTr="000E03E5">
        <w:trPr>
          <w:trHeight w:val="288"/>
        </w:trPr>
        <w:tc>
          <w:tcPr>
            <w:tcW w:w="1520" w:type="dxa"/>
            <w:gridSpan w:val="2"/>
            <w:noWrap/>
            <w:hideMark/>
          </w:tcPr>
          <w:p w14:paraId="5FC2014E" w14:textId="77777777" w:rsidR="000E03E5" w:rsidRPr="000E03E5" w:rsidRDefault="000E03E5">
            <w:r w:rsidRPr="000E03E5">
              <w:t>Mar 15 2020</w:t>
            </w:r>
          </w:p>
        </w:tc>
        <w:tc>
          <w:tcPr>
            <w:tcW w:w="2100" w:type="dxa"/>
            <w:noWrap/>
            <w:hideMark/>
          </w:tcPr>
          <w:p w14:paraId="30B901A0" w14:textId="77777777" w:rsidR="000E03E5" w:rsidRPr="000E03E5" w:rsidRDefault="000E03E5">
            <w:r w:rsidRPr="000E03E5">
              <w:t>0.00% - 0.25%</w:t>
            </w:r>
          </w:p>
        </w:tc>
        <w:tc>
          <w:tcPr>
            <w:tcW w:w="1640" w:type="dxa"/>
            <w:noWrap/>
            <w:hideMark/>
          </w:tcPr>
          <w:p w14:paraId="44802D5E" w14:textId="77777777" w:rsidR="000E03E5" w:rsidRPr="000E03E5" w:rsidRDefault="000E03E5" w:rsidP="000E03E5">
            <w:r w:rsidRPr="000E03E5">
              <w:t>0.25%</w:t>
            </w:r>
          </w:p>
        </w:tc>
        <w:tc>
          <w:tcPr>
            <w:tcW w:w="1400" w:type="dxa"/>
            <w:noWrap/>
            <w:hideMark/>
          </w:tcPr>
          <w:p w14:paraId="04594B9D" w14:textId="77777777" w:rsidR="000E03E5" w:rsidRPr="000E03E5" w:rsidRDefault="000E03E5" w:rsidP="000E03E5">
            <w:r w:rsidRPr="000E03E5">
              <w:t>0.10%</w:t>
            </w:r>
          </w:p>
        </w:tc>
        <w:tc>
          <w:tcPr>
            <w:tcW w:w="340" w:type="dxa"/>
            <w:noWrap/>
            <w:hideMark/>
          </w:tcPr>
          <w:p w14:paraId="70B67F0E" w14:textId="77777777" w:rsidR="000E03E5" w:rsidRPr="000E03E5" w:rsidRDefault="000E03E5" w:rsidP="000E03E5"/>
        </w:tc>
        <w:tc>
          <w:tcPr>
            <w:tcW w:w="1120" w:type="dxa"/>
            <w:noWrap/>
            <w:hideMark/>
          </w:tcPr>
          <w:p w14:paraId="24351EB2" w14:textId="77777777" w:rsidR="000E03E5" w:rsidRPr="000E03E5" w:rsidRDefault="000E03E5"/>
        </w:tc>
        <w:tc>
          <w:tcPr>
            <w:tcW w:w="300" w:type="dxa"/>
            <w:noWrap/>
            <w:hideMark/>
          </w:tcPr>
          <w:p w14:paraId="24E747A4" w14:textId="77777777" w:rsidR="000E03E5" w:rsidRPr="000E03E5" w:rsidRDefault="000E03E5"/>
        </w:tc>
        <w:tc>
          <w:tcPr>
            <w:tcW w:w="1120" w:type="dxa"/>
            <w:noWrap/>
            <w:hideMark/>
          </w:tcPr>
          <w:p w14:paraId="57B4222A" w14:textId="77777777" w:rsidR="000E03E5" w:rsidRPr="000E03E5" w:rsidRDefault="000E03E5"/>
        </w:tc>
        <w:tc>
          <w:tcPr>
            <w:tcW w:w="1120" w:type="dxa"/>
            <w:noWrap/>
            <w:hideMark/>
          </w:tcPr>
          <w:p w14:paraId="348F78F4" w14:textId="77777777" w:rsidR="000E03E5" w:rsidRPr="000E03E5" w:rsidRDefault="000E03E5"/>
        </w:tc>
      </w:tr>
      <w:tr w:rsidR="000E03E5" w:rsidRPr="000E03E5" w14:paraId="294B4483" w14:textId="77777777" w:rsidTr="000E03E5">
        <w:trPr>
          <w:trHeight w:val="288"/>
        </w:trPr>
        <w:tc>
          <w:tcPr>
            <w:tcW w:w="1470" w:type="dxa"/>
            <w:noWrap/>
            <w:hideMark/>
          </w:tcPr>
          <w:p w14:paraId="096DE179" w14:textId="77777777" w:rsidR="000E03E5" w:rsidRPr="000E03E5" w:rsidRDefault="000E03E5"/>
        </w:tc>
        <w:tc>
          <w:tcPr>
            <w:tcW w:w="50" w:type="dxa"/>
            <w:noWrap/>
            <w:hideMark/>
          </w:tcPr>
          <w:p w14:paraId="576F8E89" w14:textId="77777777" w:rsidR="000E03E5" w:rsidRPr="000E03E5" w:rsidRDefault="000E03E5"/>
        </w:tc>
        <w:tc>
          <w:tcPr>
            <w:tcW w:w="2100" w:type="dxa"/>
            <w:noWrap/>
            <w:hideMark/>
          </w:tcPr>
          <w:p w14:paraId="6DBC04B8" w14:textId="77777777" w:rsidR="000E03E5" w:rsidRPr="000E03E5" w:rsidRDefault="000E03E5"/>
        </w:tc>
        <w:tc>
          <w:tcPr>
            <w:tcW w:w="1640" w:type="dxa"/>
            <w:noWrap/>
            <w:hideMark/>
          </w:tcPr>
          <w:p w14:paraId="610DF6B6" w14:textId="77777777" w:rsidR="000E03E5" w:rsidRPr="000E03E5" w:rsidRDefault="000E03E5"/>
        </w:tc>
        <w:tc>
          <w:tcPr>
            <w:tcW w:w="1400" w:type="dxa"/>
            <w:noWrap/>
            <w:hideMark/>
          </w:tcPr>
          <w:p w14:paraId="6FBE854C" w14:textId="77777777" w:rsidR="000E03E5" w:rsidRPr="000E03E5" w:rsidRDefault="000E03E5" w:rsidP="000E03E5"/>
        </w:tc>
        <w:tc>
          <w:tcPr>
            <w:tcW w:w="340" w:type="dxa"/>
            <w:noWrap/>
            <w:hideMark/>
          </w:tcPr>
          <w:p w14:paraId="7B0CA500" w14:textId="77777777" w:rsidR="000E03E5" w:rsidRPr="000E03E5" w:rsidRDefault="000E03E5" w:rsidP="000E03E5"/>
        </w:tc>
        <w:tc>
          <w:tcPr>
            <w:tcW w:w="1120" w:type="dxa"/>
            <w:noWrap/>
            <w:hideMark/>
          </w:tcPr>
          <w:p w14:paraId="2F22DC86" w14:textId="77777777" w:rsidR="000E03E5" w:rsidRPr="000E03E5" w:rsidRDefault="000E03E5"/>
        </w:tc>
        <w:tc>
          <w:tcPr>
            <w:tcW w:w="300" w:type="dxa"/>
            <w:noWrap/>
            <w:hideMark/>
          </w:tcPr>
          <w:p w14:paraId="6772CD54" w14:textId="77777777" w:rsidR="000E03E5" w:rsidRPr="000E03E5" w:rsidRDefault="000E03E5"/>
        </w:tc>
        <w:tc>
          <w:tcPr>
            <w:tcW w:w="1120" w:type="dxa"/>
            <w:noWrap/>
            <w:hideMark/>
          </w:tcPr>
          <w:p w14:paraId="3A3C08C0" w14:textId="77777777" w:rsidR="000E03E5" w:rsidRPr="000E03E5" w:rsidRDefault="000E03E5"/>
        </w:tc>
        <w:tc>
          <w:tcPr>
            <w:tcW w:w="1120" w:type="dxa"/>
            <w:noWrap/>
            <w:hideMark/>
          </w:tcPr>
          <w:p w14:paraId="2C28838B" w14:textId="77777777" w:rsidR="000E03E5" w:rsidRPr="000E03E5" w:rsidRDefault="000E03E5"/>
        </w:tc>
      </w:tr>
      <w:tr w:rsidR="000E03E5" w:rsidRPr="000E03E5" w14:paraId="2502B9F3" w14:textId="77777777" w:rsidTr="000E03E5">
        <w:trPr>
          <w:trHeight w:val="288"/>
        </w:trPr>
        <w:tc>
          <w:tcPr>
            <w:tcW w:w="1470" w:type="dxa"/>
            <w:noWrap/>
            <w:hideMark/>
          </w:tcPr>
          <w:p w14:paraId="47902756" w14:textId="77777777" w:rsidR="000E03E5" w:rsidRPr="000E03E5" w:rsidRDefault="000E03E5">
            <w:r w:rsidRPr="000E03E5">
              <w:t>Mar 3 2020</w:t>
            </w:r>
          </w:p>
        </w:tc>
        <w:tc>
          <w:tcPr>
            <w:tcW w:w="50" w:type="dxa"/>
            <w:noWrap/>
            <w:hideMark/>
          </w:tcPr>
          <w:p w14:paraId="0041EE9B" w14:textId="77777777" w:rsidR="000E03E5" w:rsidRPr="000E03E5" w:rsidRDefault="000E03E5"/>
        </w:tc>
        <w:tc>
          <w:tcPr>
            <w:tcW w:w="2100" w:type="dxa"/>
            <w:noWrap/>
            <w:hideMark/>
          </w:tcPr>
          <w:p w14:paraId="7C6B540C" w14:textId="77777777" w:rsidR="000E03E5" w:rsidRPr="000E03E5" w:rsidRDefault="000E03E5">
            <w:r w:rsidRPr="000E03E5">
              <w:t>1.00% - 1.25%</w:t>
            </w:r>
          </w:p>
        </w:tc>
        <w:tc>
          <w:tcPr>
            <w:tcW w:w="1640" w:type="dxa"/>
            <w:noWrap/>
            <w:hideMark/>
          </w:tcPr>
          <w:p w14:paraId="3C8442DA" w14:textId="77777777" w:rsidR="000E03E5" w:rsidRPr="000E03E5" w:rsidRDefault="000E03E5" w:rsidP="000E03E5">
            <w:r w:rsidRPr="000E03E5">
              <w:t>1.75%</w:t>
            </w:r>
          </w:p>
        </w:tc>
        <w:tc>
          <w:tcPr>
            <w:tcW w:w="1400" w:type="dxa"/>
            <w:noWrap/>
            <w:hideMark/>
          </w:tcPr>
          <w:p w14:paraId="39057C0A" w14:textId="77777777" w:rsidR="000E03E5" w:rsidRPr="000E03E5" w:rsidRDefault="000E03E5" w:rsidP="000E03E5">
            <w:r w:rsidRPr="000E03E5">
              <w:t>1.10%</w:t>
            </w:r>
          </w:p>
        </w:tc>
        <w:tc>
          <w:tcPr>
            <w:tcW w:w="340" w:type="dxa"/>
            <w:noWrap/>
            <w:hideMark/>
          </w:tcPr>
          <w:p w14:paraId="2274531E" w14:textId="77777777" w:rsidR="000E03E5" w:rsidRPr="000E03E5" w:rsidRDefault="000E03E5" w:rsidP="000E03E5"/>
        </w:tc>
        <w:tc>
          <w:tcPr>
            <w:tcW w:w="1120" w:type="dxa"/>
            <w:noWrap/>
            <w:hideMark/>
          </w:tcPr>
          <w:p w14:paraId="63A56450" w14:textId="77777777" w:rsidR="000E03E5" w:rsidRPr="000E03E5" w:rsidRDefault="000E03E5"/>
        </w:tc>
        <w:tc>
          <w:tcPr>
            <w:tcW w:w="300" w:type="dxa"/>
            <w:noWrap/>
            <w:hideMark/>
          </w:tcPr>
          <w:p w14:paraId="5B0636AA" w14:textId="77777777" w:rsidR="000E03E5" w:rsidRPr="000E03E5" w:rsidRDefault="000E03E5"/>
        </w:tc>
        <w:tc>
          <w:tcPr>
            <w:tcW w:w="1120" w:type="dxa"/>
            <w:noWrap/>
            <w:hideMark/>
          </w:tcPr>
          <w:p w14:paraId="186BFD4A" w14:textId="77777777" w:rsidR="000E03E5" w:rsidRPr="000E03E5" w:rsidRDefault="000E03E5"/>
        </w:tc>
        <w:tc>
          <w:tcPr>
            <w:tcW w:w="1120" w:type="dxa"/>
            <w:noWrap/>
            <w:hideMark/>
          </w:tcPr>
          <w:p w14:paraId="01E0B815" w14:textId="77777777" w:rsidR="000E03E5" w:rsidRPr="000E03E5" w:rsidRDefault="000E03E5"/>
        </w:tc>
      </w:tr>
      <w:tr w:rsidR="000E03E5" w:rsidRPr="000E03E5" w14:paraId="73FEE757" w14:textId="77777777" w:rsidTr="000E03E5">
        <w:trPr>
          <w:trHeight w:val="288"/>
        </w:trPr>
        <w:tc>
          <w:tcPr>
            <w:tcW w:w="1470" w:type="dxa"/>
            <w:noWrap/>
            <w:hideMark/>
          </w:tcPr>
          <w:p w14:paraId="74A45B38" w14:textId="77777777" w:rsidR="000E03E5" w:rsidRPr="000E03E5" w:rsidRDefault="000E03E5"/>
        </w:tc>
        <w:tc>
          <w:tcPr>
            <w:tcW w:w="50" w:type="dxa"/>
            <w:noWrap/>
            <w:hideMark/>
          </w:tcPr>
          <w:p w14:paraId="604C702C" w14:textId="77777777" w:rsidR="000E03E5" w:rsidRPr="000E03E5" w:rsidRDefault="000E03E5"/>
        </w:tc>
        <w:tc>
          <w:tcPr>
            <w:tcW w:w="2100" w:type="dxa"/>
            <w:noWrap/>
            <w:hideMark/>
          </w:tcPr>
          <w:p w14:paraId="6F783980" w14:textId="77777777" w:rsidR="000E03E5" w:rsidRPr="000E03E5" w:rsidRDefault="000E03E5"/>
        </w:tc>
        <w:tc>
          <w:tcPr>
            <w:tcW w:w="1640" w:type="dxa"/>
            <w:noWrap/>
            <w:hideMark/>
          </w:tcPr>
          <w:p w14:paraId="7242C474" w14:textId="77777777" w:rsidR="000E03E5" w:rsidRPr="000E03E5" w:rsidRDefault="000E03E5"/>
        </w:tc>
        <w:tc>
          <w:tcPr>
            <w:tcW w:w="1400" w:type="dxa"/>
            <w:noWrap/>
            <w:hideMark/>
          </w:tcPr>
          <w:p w14:paraId="06779825" w14:textId="77777777" w:rsidR="000E03E5" w:rsidRPr="000E03E5" w:rsidRDefault="000E03E5" w:rsidP="000E03E5"/>
        </w:tc>
        <w:tc>
          <w:tcPr>
            <w:tcW w:w="340" w:type="dxa"/>
            <w:noWrap/>
            <w:hideMark/>
          </w:tcPr>
          <w:p w14:paraId="35147C9D" w14:textId="77777777" w:rsidR="000E03E5" w:rsidRPr="000E03E5" w:rsidRDefault="000E03E5" w:rsidP="000E03E5"/>
        </w:tc>
        <w:tc>
          <w:tcPr>
            <w:tcW w:w="1120" w:type="dxa"/>
            <w:noWrap/>
            <w:hideMark/>
          </w:tcPr>
          <w:p w14:paraId="6DFD5D36" w14:textId="77777777" w:rsidR="000E03E5" w:rsidRPr="000E03E5" w:rsidRDefault="000E03E5"/>
        </w:tc>
        <w:tc>
          <w:tcPr>
            <w:tcW w:w="300" w:type="dxa"/>
            <w:noWrap/>
            <w:hideMark/>
          </w:tcPr>
          <w:p w14:paraId="2BEDDA14" w14:textId="77777777" w:rsidR="000E03E5" w:rsidRPr="000E03E5" w:rsidRDefault="000E03E5"/>
        </w:tc>
        <w:tc>
          <w:tcPr>
            <w:tcW w:w="1120" w:type="dxa"/>
            <w:noWrap/>
            <w:hideMark/>
          </w:tcPr>
          <w:p w14:paraId="5ED3F5AC" w14:textId="77777777" w:rsidR="000E03E5" w:rsidRPr="000E03E5" w:rsidRDefault="000E03E5"/>
        </w:tc>
        <w:tc>
          <w:tcPr>
            <w:tcW w:w="1120" w:type="dxa"/>
            <w:noWrap/>
            <w:hideMark/>
          </w:tcPr>
          <w:p w14:paraId="0484C179" w14:textId="77777777" w:rsidR="000E03E5" w:rsidRPr="000E03E5" w:rsidRDefault="000E03E5"/>
        </w:tc>
      </w:tr>
      <w:tr w:rsidR="000E03E5" w:rsidRPr="000E03E5" w14:paraId="39181A3C" w14:textId="77777777" w:rsidTr="000E03E5">
        <w:trPr>
          <w:trHeight w:val="288"/>
        </w:trPr>
        <w:tc>
          <w:tcPr>
            <w:tcW w:w="1470" w:type="dxa"/>
            <w:noWrap/>
            <w:hideMark/>
          </w:tcPr>
          <w:p w14:paraId="14FDF124" w14:textId="77777777" w:rsidR="000E03E5" w:rsidRPr="000E03E5" w:rsidRDefault="000E03E5">
            <w:r w:rsidRPr="000E03E5">
              <w:t>Jan. 2020</w:t>
            </w:r>
          </w:p>
        </w:tc>
        <w:tc>
          <w:tcPr>
            <w:tcW w:w="50" w:type="dxa"/>
            <w:noWrap/>
            <w:hideMark/>
          </w:tcPr>
          <w:p w14:paraId="6D18A15B" w14:textId="77777777" w:rsidR="000E03E5" w:rsidRPr="000E03E5" w:rsidRDefault="000E03E5"/>
        </w:tc>
        <w:tc>
          <w:tcPr>
            <w:tcW w:w="2100" w:type="dxa"/>
            <w:noWrap/>
            <w:hideMark/>
          </w:tcPr>
          <w:p w14:paraId="64F31180" w14:textId="77777777" w:rsidR="000E03E5" w:rsidRPr="000E03E5" w:rsidRDefault="000E03E5">
            <w:r w:rsidRPr="000E03E5">
              <w:t>1.50% - 1.75%</w:t>
            </w:r>
          </w:p>
        </w:tc>
        <w:tc>
          <w:tcPr>
            <w:tcW w:w="1640" w:type="dxa"/>
            <w:noWrap/>
            <w:hideMark/>
          </w:tcPr>
          <w:p w14:paraId="5BF335A3" w14:textId="77777777" w:rsidR="000E03E5" w:rsidRPr="000E03E5" w:rsidRDefault="000E03E5" w:rsidP="000E03E5">
            <w:r w:rsidRPr="000E03E5">
              <w:t>2.25%</w:t>
            </w:r>
          </w:p>
        </w:tc>
        <w:tc>
          <w:tcPr>
            <w:tcW w:w="1400" w:type="dxa"/>
            <w:noWrap/>
            <w:hideMark/>
          </w:tcPr>
          <w:p w14:paraId="1C5D9BC3" w14:textId="77777777" w:rsidR="000E03E5" w:rsidRPr="000E03E5" w:rsidRDefault="000E03E5" w:rsidP="000E03E5">
            <w:r w:rsidRPr="000E03E5">
              <w:t>1.60%</w:t>
            </w:r>
          </w:p>
        </w:tc>
        <w:tc>
          <w:tcPr>
            <w:tcW w:w="340" w:type="dxa"/>
            <w:noWrap/>
            <w:hideMark/>
          </w:tcPr>
          <w:p w14:paraId="4E2D50BF" w14:textId="77777777" w:rsidR="000E03E5" w:rsidRPr="000E03E5" w:rsidRDefault="000E03E5" w:rsidP="000E03E5"/>
        </w:tc>
        <w:tc>
          <w:tcPr>
            <w:tcW w:w="1120" w:type="dxa"/>
            <w:noWrap/>
            <w:hideMark/>
          </w:tcPr>
          <w:p w14:paraId="3B7F7F1C" w14:textId="77777777" w:rsidR="000E03E5" w:rsidRPr="000E03E5" w:rsidRDefault="000E03E5"/>
        </w:tc>
        <w:tc>
          <w:tcPr>
            <w:tcW w:w="300" w:type="dxa"/>
            <w:noWrap/>
            <w:hideMark/>
          </w:tcPr>
          <w:p w14:paraId="253C3934" w14:textId="77777777" w:rsidR="000E03E5" w:rsidRPr="000E03E5" w:rsidRDefault="000E03E5"/>
        </w:tc>
        <w:tc>
          <w:tcPr>
            <w:tcW w:w="1120" w:type="dxa"/>
            <w:noWrap/>
            <w:hideMark/>
          </w:tcPr>
          <w:p w14:paraId="126B462D" w14:textId="77777777" w:rsidR="000E03E5" w:rsidRPr="000E03E5" w:rsidRDefault="000E03E5"/>
        </w:tc>
        <w:tc>
          <w:tcPr>
            <w:tcW w:w="1120" w:type="dxa"/>
            <w:noWrap/>
            <w:hideMark/>
          </w:tcPr>
          <w:p w14:paraId="386FEE5C" w14:textId="77777777" w:rsidR="000E03E5" w:rsidRPr="000E03E5" w:rsidRDefault="000E03E5"/>
        </w:tc>
      </w:tr>
      <w:tr w:rsidR="000E03E5" w:rsidRPr="000E03E5" w14:paraId="32D26FC1" w14:textId="77777777" w:rsidTr="000E03E5">
        <w:trPr>
          <w:trHeight w:val="288"/>
        </w:trPr>
        <w:tc>
          <w:tcPr>
            <w:tcW w:w="1470" w:type="dxa"/>
            <w:noWrap/>
            <w:hideMark/>
          </w:tcPr>
          <w:p w14:paraId="6CB34F54" w14:textId="77777777" w:rsidR="000E03E5" w:rsidRPr="000E03E5" w:rsidRDefault="000E03E5"/>
        </w:tc>
        <w:tc>
          <w:tcPr>
            <w:tcW w:w="50" w:type="dxa"/>
            <w:noWrap/>
            <w:hideMark/>
          </w:tcPr>
          <w:p w14:paraId="35F73A0F" w14:textId="77777777" w:rsidR="000E03E5" w:rsidRPr="000E03E5" w:rsidRDefault="000E03E5"/>
        </w:tc>
        <w:tc>
          <w:tcPr>
            <w:tcW w:w="2100" w:type="dxa"/>
            <w:noWrap/>
            <w:hideMark/>
          </w:tcPr>
          <w:p w14:paraId="687B24B1" w14:textId="77777777" w:rsidR="000E03E5" w:rsidRPr="000E03E5" w:rsidRDefault="000E03E5"/>
        </w:tc>
        <w:tc>
          <w:tcPr>
            <w:tcW w:w="1640" w:type="dxa"/>
            <w:noWrap/>
            <w:hideMark/>
          </w:tcPr>
          <w:p w14:paraId="573B92EF" w14:textId="77777777" w:rsidR="000E03E5" w:rsidRPr="000E03E5" w:rsidRDefault="000E03E5"/>
        </w:tc>
        <w:tc>
          <w:tcPr>
            <w:tcW w:w="1400" w:type="dxa"/>
            <w:noWrap/>
            <w:hideMark/>
          </w:tcPr>
          <w:p w14:paraId="2380C599" w14:textId="77777777" w:rsidR="000E03E5" w:rsidRPr="000E03E5" w:rsidRDefault="000E03E5" w:rsidP="000E03E5"/>
        </w:tc>
        <w:tc>
          <w:tcPr>
            <w:tcW w:w="340" w:type="dxa"/>
            <w:noWrap/>
            <w:hideMark/>
          </w:tcPr>
          <w:p w14:paraId="1E295234" w14:textId="77777777" w:rsidR="000E03E5" w:rsidRPr="000E03E5" w:rsidRDefault="000E03E5" w:rsidP="000E03E5"/>
        </w:tc>
        <w:tc>
          <w:tcPr>
            <w:tcW w:w="1120" w:type="dxa"/>
            <w:noWrap/>
            <w:hideMark/>
          </w:tcPr>
          <w:p w14:paraId="324363A4" w14:textId="77777777" w:rsidR="000E03E5" w:rsidRPr="000E03E5" w:rsidRDefault="000E03E5"/>
        </w:tc>
        <w:tc>
          <w:tcPr>
            <w:tcW w:w="300" w:type="dxa"/>
            <w:noWrap/>
            <w:hideMark/>
          </w:tcPr>
          <w:p w14:paraId="5E5260BE" w14:textId="77777777" w:rsidR="000E03E5" w:rsidRPr="000E03E5" w:rsidRDefault="000E03E5"/>
        </w:tc>
        <w:tc>
          <w:tcPr>
            <w:tcW w:w="1120" w:type="dxa"/>
            <w:noWrap/>
            <w:hideMark/>
          </w:tcPr>
          <w:p w14:paraId="195654E2" w14:textId="77777777" w:rsidR="000E03E5" w:rsidRPr="000E03E5" w:rsidRDefault="000E03E5"/>
        </w:tc>
        <w:tc>
          <w:tcPr>
            <w:tcW w:w="1120" w:type="dxa"/>
            <w:noWrap/>
            <w:hideMark/>
          </w:tcPr>
          <w:p w14:paraId="20031F3F" w14:textId="77777777" w:rsidR="000E03E5" w:rsidRPr="000E03E5" w:rsidRDefault="000E03E5"/>
        </w:tc>
      </w:tr>
      <w:tr w:rsidR="000E03E5" w:rsidRPr="000E03E5" w14:paraId="7420CB81" w14:textId="77777777" w:rsidTr="000E03E5">
        <w:trPr>
          <w:trHeight w:val="288"/>
        </w:trPr>
        <w:tc>
          <w:tcPr>
            <w:tcW w:w="1470" w:type="dxa"/>
            <w:noWrap/>
            <w:hideMark/>
          </w:tcPr>
          <w:p w14:paraId="4E161DF9" w14:textId="77777777" w:rsidR="000E03E5" w:rsidRPr="000E03E5" w:rsidRDefault="000E03E5">
            <w:r w:rsidRPr="000E03E5">
              <w:t>Oct. 2019</w:t>
            </w:r>
          </w:p>
        </w:tc>
        <w:tc>
          <w:tcPr>
            <w:tcW w:w="50" w:type="dxa"/>
            <w:noWrap/>
            <w:hideMark/>
          </w:tcPr>
          <w:p w14:paraId="4188B1A6" w14:textId="77777777" w:rsidR="000E03E5" w:rsidRPr="000E03E5" w:rsidRDefault="000E03E5"/>
        </w:tc>
        <w:tc>
          <w:tcPr>
            <w:tcW w:w="2100" w:type="dxa"/>
            <w:noWrap/>
            <w:hideMark/>
          </w:tcPr>
          <w:p w14:paraId="3413FF21" w14:textId="77777777" w:rsidR="000E03E5" w:rsidRPr="000E03E5" w:rsidRDefault="000E03E5">
            <w:r w:rsidRPr="000E03E5">
              <w:t>1.50% - 1.75%</w:t>
            </w:r>
          </w:p>
        </w:tc>
        <w:tc>
          <w:tcPr>
            <w:tcW w:w="1640" w:type="dxa"/>
            <w:noWrap/>
            <w:hideMark/>
          </w:tcPr>
          <w:p w14:paraId="7E2F55F3" w14:textId="77777777" w:rsidR="000E03E5" w:rsidRPr="000E03E5" w:rsidRDefault="000E03E5" w:rsidP="000E03E5">
            <w:r w:rsidRPr="000E03E5">
              <w:t>2.25%</w:t>
            </w:r>
          </w:p>
        </w:tc>
        <w:tc>
          <w:tcPr>
            <w:tcW w:w="1400" w:type="dxa"/>
            <w:noWrap/>
            <w:hideMark/>
          </w:tcPr>
          <w:p w14:paraId="7901379F" w14:textId="77777777" w:rsidR="000E03E5" w:rsidRPr="000E03E5" w:rsidRDefault="000E03E5" w:rsidP="000E03E5">
            <w:r w:rsidRPr="000E03E5">
              <w:t>1.55%</w:t>
            </w:r>
          </w:p>
        </w:tc>
        <w:tc>
          <w:tcPr>
            <w:tcW w:w="340" w:type="dxa"/>
            <w:noWrap/>
            <w:hideMark/>
          </w:tcPr>
          <w:p w14:paraId="3EBFC1C7" w14:textId="77777777" w:rsidR="000E03E5" w:rsidRPr="000E03E5" w:rsidRDefault="000E03E5" w:rsidP="000E03E5"/>
        </w:tc>
        <w:tc>
          <w:tcPr>
            <w:tcW w:w="1120" w:type="dxa"/>
            <w:noWrap/>
            <w:hideMark/>
          </w:tcPr>
          <w:p w14:paraId="5D79C23D" w14:textId="77777777" w:rsidR="000E03E5" w:rsidRPr="000E03E5" w:rsidRDefault="000E03E5">
            <w:r w:rsidRPr="000E03E5">
              <w:t>Oct. 2019</w:t>
            </w:r>
          </w:p>
        </w:tc>
        <w:tc>
          <w:tcPr>
            <w:tcW w:w="300" w:type="dxa"/>
            <w:noWrap/>
            <w:hideMark/>
          </w:tcPr>
          <w:p w14:paraId="231D7AEC" w14:textId="77777777" w:rsidR="000E03E5" w:rsidRPr="000E03E5" w:rsidRDefault="000E03E5"/>
        </w:tc>
        <w:tc>
          <w:tcPr>
            <w:tcW w:w="1120" w:type="dxa"/>
            <w:noWrap/>
            <w:hideMark/>
          </w:tcPr>
          <w:p w14:paraId="3D0184A1" w14:textId="77777777" w:rsidR="000E03E5" w:rsidRPr="000E03E5" w:rsidRDefault="000E03E5" w:rsidP="000E03E5">
            <w:r w:rsidRPr="000E03E5">
              <w:t>0</w:t>
            </w:r>
          </w:p>
        </w:tc>
        <w:tc>
          <w:tcPr>
            <w:tcW w:w="1120" w:type="dxa"/>
            <w:noWrap/>
            <w:hideMark/>
          </w:tcPr>
          <w:p w14:paraId="7E49E69B" w14:textId="77777777" w:rsidR="000E03E5" w:rsidRPr="000E03E5" w:rsidRDefault="000E03E5" w:rsidP="000E03E5">
            <w:r w:rsidRPr="000E03E5">
              <w:t>0</w:t>
            </w:r>
          </w:p>
        </w:tc>
      </w:tr>
      <w:tr w:rsidR="000E03E5" w:rsidRPr="000E03E5" w14:paraId="15553176" w14:textId="77777777" w:rsidTr="000E03E5">
        <w:trPr>
          <w:trHeight w:val="288"/>
        </w:trPr>
        <w:tc>
          <w:tcPr>
            <w:tcW w:w="1470" w:type="dxa"/>
            <w:noWrap/>
            <w:hideMark/>
          </w:tcPr>
          <w:p w14:paraId="292C162A" w14:textId="77777777" w:rsidR="000E03E5" w:rsidRPr="000E03E5" w:rsidRDefault="000E03E5" w:rsidP="000E03E5"/>
        </w:tc>
        <w:tc>
          <w:tcPr>
            <w:tcW w:w="50" w:type="dxa"/>
            <w:noWrap/>
            <w:hideMark/>
          </w:tcPr>
          <w:p w14:paraId="1B5B1E4E" w14:textId="77777777" w:rsidR="000E03E5" w:rsidRPr="000E03E5" w:rsidRDefault="000E03E5"/>
        </w:tc>
        <w:tc>
          <w:tcPr>
            <w:tcW w:w="2100" w:type="dxa"/>
            <w:noWrap/>
            <w:hideMark/>
          </w:tcPr>
          <w:p w14:paraId="11A65009" w14:textId="77777777" w:rsidR="000E03E5" w:rsidRPr="000E03E5" w:rsidRDefault="000E03E5"/>
        </w:tc>
        <w:tc>
          <w:tcPr>
            <w:tcW w:w="1640" w:type="dxa"/>
            <w:noWrap/>
            <w:hideMark/>
          </w:tcPr>
          <w:p w14:paraId="34591780" w14:textId="77777777" w:rsidR="000E03E5" w:rsidRPr="000E03E5" w:rsidRDefault="000E03E5"/>
        </w:tc>
        <w:tc>
          <w:tcPr>
            <w:tcW w:w="1400" w:type="dxa"/>
            <w:noWrap/>
            <w:hideMark/>
          </w:tcPr>
          <w:p w14:paraId="58E7661C" w14:textId="77777777" w:rsidR="000E03E5" w:rsidRPr="000E03E5" w:rsidRDefault="000E03E5" w:rsidP="000E03E5"/>
        </w:tc>
        <w:tc>
          <w:tcPr>
            <w:tcW w:w="340" w:type="dxa"/>
            <w:noWrap/>
            <w:hideMark/>
          </w:tcPr>
          <w:p w14:paraId="40452D7E" w14:textId="77777777" w:rsidR="000E03E5" w:rsidRPr="000E03E5" w:rsidRDefault="000E03E5" w:rsidP="000E03E5"/>
        </w:tc>
        <w:tc>
          <w:tcPr>
            <w:tcW w:w="1120" w:type="dxa"/>
            <w:noWrap/>
            <w:hideMark/>
          </w:tcPr>
          <w:p w14:paraId="38EF1523" w14:textId="77777777" w:rsidR="000E03E5" w:rsidRPr="000E03E5" w:rsidRDefault="000E03E5"/>
        </w:tc>
        <w:tc>
          <w:tcPr>
            <w:tcW w:w="300" w:type="dxa"/>
            <w:noWrap/>
            <w:hideMark/>
          </w:tcPr>
          <w:p w14:paraId="470ABBCD" w14:textId="77777777" w:rsidR="000E03E5" w:rsidRPr="000E03E5" w:rsidRDefault="000E03E5"/>
        </w:tc>
        <w:tc>
          <w:tcPr>
            <w:tcW w:w="1120" w:type="dxa"/>
            <w:noWrap/>
            <w:hideMark/>
          </w:tcPr>
          <w:p w14:paraId="01D38A62" w14:textId="77777777" w:rsidR="000E03E5" w:rsidRPr="000E03E5" w:rsidRDefault="000E03E5"/>
        </w:tc>
        <w:tc>
          <w:tcPr>
            <w:tcW w:w="1120" w:type="dxa"/>
            <w:noWrap/>
            <w:hideMark/>
          </w:tcPr>
          <w:p w14:paraId="2B707C16" w14:textId="77777777" w:rsidR="000E03E5" w:rsidRPr="000E03E5" w:rsidRDefault="000E03E5"/>
        </w:tc>
      </w:tr>
      <w:tr w:rsidR="000E03E5" w:rsidRPr="000E03E5" w14:paraId="167C1DC0" w14:textId="77777777" w:rsidTr="000E03E5">
        <w:trPr>
          <w:trHeight w:val="288"/>
        </w:trPr>
        <w:tc>
          <w:tcPr>
            <w:tcW w:w="1470" w:type="dxa"/>
            <w:noWrap/>
            <w:hideMark/>
          </w:tcPr>
          <w:p w14:paraId="005741B4" w14:textId="77777777" w:rsidR="000E03E5" w:rsidRPr="000E03E5" w:rsidRDefault="000E03E5">
            <w:r w:rsidRPr="000E03E5">
              <w:t>Sept. 2019</w:t>
            </w:r>
          </w:p>
        </w:tc>
        <w:tc>
          <w:tcPr>
            <w:tcW w:w="50" w:type="dxa"/>
            <w:noWrap/>
            <w:hideMark/>
          </w:tcPr>
          <w:p w14:paraId="2E8054F5" w14:textId="77777777" w:rsidR="000E03E5" w:rsidRPr="000E03E5" w:rsidRDefault="000E03E5"/>
        </w:tc>
        <w:tc>
          <w:tcPr>
            <w:tcW w:w="2100" w:type="dxa"/>
            <w:noWrap/>
            <w:hideMark/>
          </w:tcPr>
          <w:p w14:paraId="0C48082F" w14:textId="77777777" w:rsidR="000E03E5" w:rsidRPr="000E03E5" w:rsidRDefault="000E03E5">
            <w:r w:rsidRPr="000E03E5">
              <w:t>1.75% - 2.00%</w:t>
            </w:r>
          </w:p>
        </w:tc>
        <w:tc>
          <w:tcPr>
            <w:tcW w:w="1640" w:type="dxa"/>
            <w:noWrap/>
            <w:hideMark/>
          </w:tcPr>
          <w:p w14:paraId="426EB862" w14:textId="77777777" w:rsidR="000E03E5" w:rsidRPr="000E03E5" w:rsidRDefault="000E03E5" w:rsidP="000E03E5">
            <w:r w:rsidRPr="000E03E5">
              <w:t>2.50%</w:t>
            </w:r>
          </w:p>
        </w:tc>
        <w:tc>
          <w:tcPr>
            <w:tcW w:w="1400" w:type="dxa"/>
            <w:noWrap/>
            <w:hideMark/>
          </w:tcPr>
          <w:p w14:paraId="2CA4621E" w14:textId="77777777" w:rsidR="000E03E5" w:rsidRPr="000E03E5" w:rsidRDefault="000E03E5" w:rsidP="000E03E5">
            <w:r w:rsidRPr="000E03E5">
              <w:t>1.80%</w:t>
            </w:r>
          </w:p>
        </w:tc>
        <w:tc>
          <w:tcPr>
            <w:tcW w:w="340" w:type="dxa"/>
            <w:noWrap/>
            <w:hideMark/>
          </w:tcPr>
          <w:p w14:paraId="3954DC8F" w14:textId="77777777" w:rsidR="000E03E5" w:rsidRPr="000E03E5" w:rsidRDefault="000E03E5" w:rsidP="000E03E5"/>
        </w:tc>
        <w:tc>
          <w:tcPr>
            <w:tcW w:w="1120" w:type="dxa"/>
            <w:noWrap/>
            <w:hideMark/>
          </w:tcPr>
          <w:p w14:paraId="079E349E" w14:textId="77777777" w:rsidR="000E03E5" w:rsidRPr="000E03E5" w:rsidRDefault="000E03E5">
            <w:r w:rsidRPr="000E03E5">
              <w:t>Sept. 2019</w:t>
            </w:r>
          </w:p>
        </w:tc>
        <w:tc>
          <w:tcPr>
            <w:tcW w:w="300" w:type="dxa"/>
            <w:noWrap/>
            <w:hideMark/>
          </w:tcPr>
          <w:p w14:paraId="5B553CA1" w14:textId="77777777" w:rsidR="000E03E5" w:rsidRPr="000E03E5" w:rsidRDefault="000E03E5"/>
        </w:tc>
        <w:tc>
          <w:tcPr>
            <w:tcW w:w="1120" w:type="dxa"/>
            <w:noWrap/>
            <w:hideMark/>
          </w:tcPr>
          <w:p w14:paraId="7003E545" w14:textId="77777777" w:rsidR="000E03E5" w:rsidRPr="000E03E5" w:rsidRDefault="000E03E5" w:rsidP="000E03E5">
            <w:r w:rsidRPr="000E03E5">
              <w:t>0</w:t>
            </w:r>
          </w:p>
        </w:tc>
        <w:tc>
          <w:tcPr>
            <w:tcW w:w="1120" w:type="dxa"/>
            <w:noWrap/>
            <w:hideMark/>
          </w:tcPr>
          <w:p w14:paraId="607F80C6" w14:textId="77777777" w:rsidR="000E03E5" w:rsidRPr="000E03E5" w:rsidRDefault="000E03E5" w:rsidP="000E03E5">
            <w:r w:rsidRPr="000E03E5">
              <w:t>0</w:t>
            </w:r>
          </w:p>
        </w:tc>
      </w:tr>
      <w:tr w:rsidR="000E03E5" w:rsidRPr="000E03E5" w14:paraId="49689D59" w14:textId="77777777" w:rsidTr="000E03E5">
        <w:trPr>
          <w:trHeight w:val="288"/>
        </w:trPr>
        <w:tc>
          <w:tcPr>
            <w:tcW w:w="1470" w:type="dxa"/>
            <w:noWrap/>
            <w:hideMark/>
          </w:tcPr>
          <w:p w14:paraId="328DFEDB" w14:textId="77777777" w:rsidR="000E03E5" w:rsidRPr="000E03E5" w:rsidRDefault="000E03E5" w:rsidP="000E03E5"/>
        </w:tc>
        <w:tc>
          <w:tcPr>
            <w:tcW w:w="50" w:type="dxa"/>
            <w:noWrap/>
            <w:hideMark/>
          </w:tcPr>
          <w:p w14:paraId="0C76E291" w14:textId="77777777" w:rsidR="000E03E5" w:rsidRPr="000E03E5" w:rsidRDefault="000E03E5"/>
        </w:tc>
        <w:tc>
          <w:tcPr>
            <w:tcW w:w="2100" w:type="dxa"/>
            <w:noWrap/>
            <w:hideMark/>
          </w:tcPr>
          <w:p w14:paraId="47DE8155" w14:textId="77777777" w:rsidR="000E03E5" w:rsidRPr="000E03E5" w:rsidRDefault="000E03E5"/>
        </w:tc>
        <w:tc>
          <w:tcPr>
            <w:tcW w:w="1640" w:type="dxa"/>
            <w:noWrap/>
            <w:hideMark/>
          </w:tcPr>
          <w:p w14:paraId="3E147D9C" w14:textId="77777777" w:rsidR="000E03E5" w:rsidRPr="000E03E5" w:rsidRDefault="000E03E5"/>
        </w:tc>
        <w:tc>
          <w:tcPr>
            <w:tcW w:w="1400" w:type="dxa"/>
            <w:noWrap/>
            <w:hideMark/>
          </w:tcPr>
          <w:p w14:paraId="33239A72" w14:textId="77777777" w:rsidR="000E03E5" w:rsidRPr="000E03E5" w:rsidRDefault="000E03E5" w:rsidP="000E03E5"/>
        </w:tc>
        <w:tc>
          <w:tcPr>
            <w:tcW w:w="340" w:type="dxa"/>
            <w:noWrap/>
            <w:hideMark/>
          </w:tcPr>
          <w:p w14:paraId="77E8D9E8" w14:textId="77777777" w:rsidR="000E03E5" w:rsidRPr="000E03E5" w:rsidRDefault="000E03E5" w:rsidP="000E03E5"/>
        </w:tc>
        <w:tc>
          <w:tcPr>
            <w:tcW w:w="1120" w:type="dxa"/>
            <w:noWrap/>
            <w:hideMark/>
          </w:tcPr>
          <w:p w14:paraId="3AFC98F6" w14:textId="77777777" w:rsidR="000E03E5" w:rsidRPr="000E03E5" w:rsidRDefault="000E03E5"/>
        </w:tc>
        <w:tc>
          <w:tcPr>
            <w:tcW w:w="300" w:type="dxa"/>
            <w:noWrap/>
            <w:hideMark/>
          </w:tcPr>
          <w:p w14:paraId="0784DCA1" w14:textId="77777777" w:rsidR="000E03E5" w:rsidRPr="000E03E5" w:rsidRDefault="000E03E5"/>
        </w:tc>
        <w:tc>
          <w:tcPr>
            <w:tcW w:w="1120" w:type="dxa"/>
            <w:noWrap/>
            <w:hideMark/>
          </w:tcPr>
          <w:p w14:paraId="0F10B600" w14:textId="77777777" w:rsidR="000E03E5" w:rsidRPr="000E03E5" w:rsidRDefault="000E03E5"/>
        </w:tc>
        <w:tc>
          <w:tcPr>
            <w:tcW w:w="1120" w:type="dxa"/>
            <w:noWrap/>
            <w:hideMark/>
          </w:tcPr>
          <w:p w14:paraId="0F22E99B" w14:textId="77777777" w:rsidR="000E03E5" w:rsidRPr="000E03E5" w:rsidRDefault="000E03E5"/>
        </w:tc>
      </w:tr>
      <w:tr w:rsidR="000E03E5" w:rsidRPr="000E03E5" w14:paraId="211B6F23" w14:textId="77777777" w:rsidTr="000E03E5">
        <w:trPr>
          <w:trHeight w:val="288"/>
        </w:trPr>
        <w:tc>
          <w:tcPr>
            <w:tcW w:w="1470" w:type="dxa"/>
            <w:noWrap/>
            <w:hideMark/>
          </w:tcPr>
          <w:p w14:paraId="4D694875" w14:textId="77777777" w:rsidR="000E03E5" w:rsidRPr="000E03E5" w:rsidRDefault="000E03E5">
            <w:r w:rsidRPr="000E03E5">
              <w:t>July. 2019</w:t>
            </w:r>
          </w:p>
        </w:tc>
        <w:tc>
          <w:tcPr>
            <w:tcW w:w="50" w:type="dxa"/>
            <w:noWrap/>
            <w:hideMark/>
          </w:tcPr>
          <w:p w14:paraId="5B0D8446" w14:textId="77777777" w:rsidR="000E03E5" w:rsidRPr="000E03E5" w:rsidRDefault="000E03E5"/>
        </w:tc>
        <w:tc>
          <w:tcPr>
            <w:tcW w:w="2100" w:type="dxa"/>
            <w:noWrap/>
            <w:hideMark/>
          </w:tcPr>
          <w:p w14:paraId="30984E1E" w14:textId="77777777" w:rsidR="000E03E5" w:rsidRPr="000E03E5" w:rsidRDefault="000E03E5">
            <w:r w:rsidRPr="000E03E5">
              <w:t>2.00% - 2.25%</w:t>
            </w:r>
          </w:p>
        </w:tc>
        <w:tc>
          <w:tcPr>
            <w:tcW w:w="1640" w:type="dxa"/>
            <w:noWrap/>
            <w:hideMark/>
          </w:tcPr>
          <w:p w14:paraId="5DF9A2D3" w14:textId="77777777" w:rsidR="000E03E5" w:rsidRPr="000E03E5" w:rsidRDefault="000E03E5" w:rsidP="000E03E5">
            <w:r w:rsidRPr="000E03E5">
              <w:t>2.75%</w:t>
            </w:r>
          </w:p>
        </w:tc>
        <w:tc>
          <w:tcPr>
            <w:tcW w:w="1400" w:type="dxa"/>
            <w:noWrap/>
            <w:hideMark/>
          </w:tcPr>
          <w:p w14:paraId="4CE84EE5" w14:textId="77777777" w:rsidR="000E03E5" w:rsidRPr="000E03E5" w:rsidRDefault="000E03E5" w:rsidP="000E03E5">
            <w:r w:rsidRPr="000E03E5">
              <w:t>2.10%</w:t>
            </w:r>
          </w:p>
        </w:tc>
        <w:tc>
          <w:tcPr>
            <w:tcW w:w="340" w:type="dxa"/>
            <w:noWrap/>
            <w:hideMark/>
          </w:tcPr>
          <w:p w14:paraId="072783A8" w14:textId="77777777" w:rsidR="000E03E5" w:rsidRPr="000E03E5" w:rsidRDefault="000E03E5" w:rsidP="000E03E5"/>
        </w:tc>
        <w:tc>
          <w:tcPr>
            <w:tcW w:w="1120" w:type="dxa"/>
            <w:noWrap/>
            <w:hideMark/>
          </w:tcPr>
          <w:p w14:paraId="11F27D0E" w14:textId="77777777" w:rsidR="000E03E5" w:rsidRPr="000E03E5" w:rsidRDefault="000E03E5">
            <w:r w:rsidRPr="000E03E5">
              <w:t>Aug. 2019</w:t>
            </w:r>
          </w:p>
        </w:tc>
        <w:tc>
          <w:tcPr>
            <w:tcW w:w="300" w:type="dxa"/>
            <w:noWrap/>
            <w:hideMark/>
          </w:tcPr>
          <w:p w14:paraId="1EB43E55" w14:textId="77777777" w:rsidR="000E03E5" w:rsidRPr="000E03E5" w:rsidRDefault="000E03E5"/>
        </w:tc>
        <w:tc>
          <w:tcPr>
            <w:tcW w:w="1120" w:type="dxa"/>
            <w:noWrap/>
            <w:hideMark/>
          </w:tcPr>
          <w:p w14:paraId="03C7F7DB" w14:textId="77777777" w:rsidR="000E03E5" w:rsidRPr="000E03E5" w:rsidRDefault="000E03E5" w:rsidP="000E03E5">
            <w:r w:rsidRPr="000E03E5">
              <w:t>0</w:t>
            </w:r>
          </w:p>
        </w:tc>
        <w:tc>
          <w:tcPr>
            <w:tcW w:w="1120" w:type="dxa"/>
            <w:noWrap/>
            <w:hideMark/>
          </w:tcPr>
          <w:p w14:paraId="297C5025" w14:textId="77777777" w:rsidR="000E03E5" w:rsidRPr="000E03E5" w:rsidRDefault="000E03E5" w:rsidP="000E03E5">
            <w:r w:rsidRPr="000E03E5">
              <w:t>0</w:t>
            </w:r>
          </w:p>
        </w:tc>
      </w:tr>
      <w:tr w:rsidR="000E03E5" w:rsidRPr="000E03E5" w14:paraId="12FED2E6" w14:textId="77777777" w:rsidTr="000E03E5">
        <w:trPr>
          <w:trHeight w:val="288"/>
        </w:trPr>
        <w:tc>
          <w:tcPr>
            <w:tcW w:w="1470" w:type="dxa"/>
            <w:noWrap/>
            <w:hideMark/>
          </w:tcPr>
          <w:p w14:paraId="3483676F" w14:textId="77777777" w:rsidR="000E03E5" w:rsidRPr="000E03E5" w:rsidRDefault="000E03E5" w:rsidP="000E03E5"/>
        </w:tc>
        <w:tc>
          <w:tcPr>
            <w:tcW w:w="50" w:type="dxa"/>
            <w:noWrap/>
            <w:hideMark/>
          </w:tcPr>
          <w:p w14:paraId="3023DF5F" w14:textId="77777777" w:rsidR="000E03E5" w:rsidRPr="000E03E5" w:rsidRDefault="000E03E5"/>
        </w:tc>
        <w:tc>
          <w:tcPr>
            <w:tcW w:w="2100" w:type="dxa"/>
            <w:noWrap/>
            <w:hideMark/>
          </w:tcPr>
          <w:p w14:paraId="6B3D1561" w14:textId="77777777" w:rsidR="000E03E5" w:rsidRPr="000E03E5" w:rsidRDefault="000E03E5"/>
        </w:tc>
        <w:tc>
          <w:tcPr>
            <w:tcW w:w="1640" w:type="dxa"/>
            <w:noWrap/>
            <w:hideMark/>
          </w:tcPr>
          <w:p w14:paraId="216A0A39" w14:textId="77777777" w:rsidR="000E03E5" w:rsidRPr="000E03E5" w:rsidRDefault="000E03E5"/>
        </w:tc>
        <w:tc>
          <w:tcPr>
            <w:tcW w:w="1400" w:type="dxa"/>
            <w:noWrap/>
            <w:hideMark/>
          </w:tcPr>
          <w:p w14:paraId="7C16FA68" w14:textId="77777777" w:rsidR="000E03E5" w:rsidRPr="000E03E5" w:rsidRDefault="000E03E5" w:rsidP="000E03E5"/>
        </w:tc>
        <w:tc>
          <w:tcPr>
            <w:tcW w:w="340" w:type="dxa"/>
            <w:noWrap/>
            <w:hideMark/>
          </w:tcPr>
          <w:p w14:paraId="18914F7C" w14:textId="77777777" w:rsidR="000E03E5" w:rsidRPr="000E03E5" w:rsidRDefault="000E03E5" w:rsidP="000E03E5"/>
        </w:tc>
        <w:tc>
          <w:tcPr>
            <w:tcW w:w="1120" w:type="dxa"/>
            <w:noWrap/>
            <w:hideMark/>
          </w:tcPr>
          <w:p w14:paraId="19A30A83" w14:textId="77777777" w:rsidR="000E03E5" w:rsidRPr="000E03E5" w:rsidRDefault="000E03E5"/>
        </w:tc>
        <w:tc>
          <w:tcPr>
            <w:tcW w:w="300" w:type="dxa"/>
            <w:noWrap/>
            <w:hideMark/>
          </w:tcPr>
          <w:p w14:paraId="1ED6FB7D" w14:textId="77777777" w:rsidR="000E03E5" w:rsidRPr="000E03E5" w:rsidRDefault="000E03E5"/>
        </w:tc>
        <w:tc>
          <w:tcPr>
            <w:tcW w:w="1120" w:type="dxa"/>
            <w:noWrap/>
            <w:hideMark/>
          </w:tcPr>
          <w:p w14:paraId="387AB138" w14:textId="77777777" w:rsidR="000E03E5" w:rsidRPr="000E03E5" w:rsidRDefault="000E03E5"/>
        </w:tc>
        <w:tc>
          <w:tcPr>
            <w:tcW w:w="1120" w:type="dxa"/>
            <w:noWrap/>
            <w:hideMark/>
          </w:tcPr>
          <w:p w14:paraId="55ED7DC5" w14:textId="77777777" w:rsidR="000E03E5" w:rsidRPr="000E03E5" w:rsidRDefault="000E03E5"/>
        </w:tc>
      </w:tr>
      <w:tr w:rsidR="000E03E5" w:rsidRPr="000E03E5" w14:paraId="3A6BC490" w14:textId="77777777" w:rsidTr="000E03E5">
        <w:trPr>
          <w:trHeight w:val="288"/>
        </w:trPr>
        <w:tc>
          <w:tcPr>
            <w:tcW w:w="1470" w:type="dxa"/>
            <w:noWrap/>
            <w:hideMark/>
          </w:tcPr>
          <w:p w14:paraId="54ED7D59" w14:textId="77777777" w:rsidR="000E03E5" w:rsidRPr="000E03E5" w:rsidRDefault="000E03E5">
            <w:r w:rsidRPr="000E03E5">
              <w:t>May. 2019</w:t>
            </w:r>
          </w:p>
        </w:tc>
        <w:tc>
          <w:tcPr>
            <w:tcW w:w="50" w:type="dxa"/>
            <w:noWrap/>
            <w:hideMark/>
          </w:tcPr>
          <w:p w14:paraId="35EE9739" w14:textId="77777777" w:rsidR="000E03E5" w:rsidRPr="000E03E5" w:rsidRDefault="000E03E5"/>
        </w:tc>
        <w:tc>
          <w:tcPr>
            <w:tcW w:w="2100" w:type="dxa"/>
            <w:noWrap/>
            <w:hideMark/>
          </w:tcPr>
          <w:p w14:paraId="1D2C4205" w14:textId="77777777" w:rsidR="000E03E5" w:rsidRPr="000E03E5" w:rsidRDefault="000E03E5">
            <w:r w:rsidRPr="000E03E5">
              <w:t>2.25% - 2.50%</w:t>
            </w:r>
          </w:p>
        </w:tc>
        <w:tc>
          <w:tcPr>
            <w:tcW w:w="1640" w:type="dxa"/>
            <w:noWrap/>
            <w:hideMark/>
          </w:tcPr>
          <w:p w14:paraId="45ED8B43" w14:textId="77777777" w:rsidR="000E03E5" w:rsidRPr="000E03E5" w:rsidRDefault="000E03E5" w:rsidP="000E03E5">
            <w:r w:rsidRPr="000E03E5">
              <w:t>3.00%</w:t>
            </w:r>
          </w:p>
        </w:tc>
        <w:tc>
          <w:tcPr>
            <w:tcW w:w="1400" w:type="dxa"/>
            <w:noWrap/>
            <w:hideMark/>
          </w:tcPr>
          <w:p w14:paraId="45047430" w14:textId="77777777" w:rsidR="000E03E5" w:rsidRPr="000E03E5" w:rsidRDefault="000E03E5" w:rsidP="000E03E5">
            <w:r w:rsidRPr="000E03E5">
              <w:t>2.35%</w:t>
            </w:r>
          </w:p>
        </w:tc>
        <w:tc>
          <w:tcPr>
            <w:tcW w:w="340" w:type="dxa"/>
            <w:noWrap/>
            <w:hideMark/>
          </w:tcPr>
          <w:p w14:paraId="56EA3006" w14:textId="77777777" w:rsidR="000E03E5" w:rsidRPr="000E03E5" w:rsidRDefault="000E03E5" w:rsidP="000E03E5"/>
        </w:tc>
        <w:tc>
          <w:tcPr>
            <w:tcW w:w="1120" w:type="dxa"/>
            <w:noWrap/>
            <w:hideMark/>
          </w:tcPr>
          <w:p w14:paraId="7141472B" w14:textId="77777777" w:rsidR="000E03E5" w:rsidRPr="000E03E5" w:rsidRDefault="000E03E5">
            <w:r w:rsidRPr="000E03E5">
              <w:t>May. 2019</w:t>
            </w:r>
          </w:p>
        </w:tc>
        <w:tc>
          <w:tcPr>
            <w:tcW w:w="300" w:type="dxa"/>
            <w:noWrap/>
            <w:hideMark/>
          </w:tcPr>
          <w:p w14:paraId="70543986" w14:textId="77777777" w:rsidR="000E03E5" w:rsidRPr="000E03E5" w:rsidRDefault="000E03E5"/>
        </w:tc>
        <w:tc>
          <w:tcPr>
            <w:tcW w:w="1120" w:type="dxa"/>
            <w:noWrap/>
            <w:hideMark/>
          </w:tcPr>
          <w:p w14:paraId="6A2FC216" w14:textId="77777777" w:rsidR="000E03E5" w:rsidRPr="000E03E5" w:rsidRDefault="000E03E5" w:rsidP="000E03E5">
            <w:r w:rsidRPr="000E03E5">
              <w:t>15</w:t>
            </w:r>
          </w:p>
        </w:tc>
        <w:tc>
          <w:tcPr>
            <w:tcW w:w="1120" w:type="dxa"/>
            <w:noWrap/>
            <w:hideMark/>
          </w:tcPr>
          <w:p w14:paraId="4535C24C" w14:textId="77777777" w:rsidR="000E03E5" w:rsidRPr="000E03E5" w:rsidRDefault="000E03E5" w:rsidP="000E03E5">
            <w:r w:rsidRPr="000E03E5">
              <w:t>20</w:t>
            </w:r>
          </w:p>
        </w:tc>
      </w:tr>
      <w:tr w:rsidR="000E03E5" w:rsidRPr="000E03E5" w14:paraId="165C457D" w14:textId="77777777" w:rsidTr="000E03E5">
        <w:trPr>
          <w:trHeight w:val="288"/>
        </w:trPr>
        <w:tc>
          <w:tcPr>
            <w:tcW w:w="1470" w:type="dxa"/>
            <w:noWrap/>
            <w:hideMark/>
          </w:tcPr>
          <w:p w14:paraId="536091D1" w14:textId="77777777" w:rsidR="000E03E5" w:rsidRPr="000E03E5" w:rsidRDefault="000E03E5" w:rsidP="000E03E5"/>
        </w:tc>
        <w:tc>
          <w:tcPr>
            <w:tcW w:w="50" w:type="dxa"/>
            <w:noWrap/>
            <w:hideMark/>
          </w:tcPr>
          <w:p w14:paraId="3AC6E009" w14:textId="77777777" w:rsidR="000E03E5" w:rsidRPr="000E03E5" w:rsidRDefault="000E03E5"/>
        </w:tc>
        <w:tc>
          <w:tcPr>
            <w:tcW w:w="2100" w:type="dxa"/>
            <w:noWrap/>
            <w:hideMark/>
          </w:tcPr>
          <w:p w14:paraId="7A8D7C54" w14:textId="77777777" w:rsidR="000E03E5" w:rsidRPr="000E03E5" w:rsidRDefault="000E03E5"/>
        </w:tc>
        <w:tc>
          <w:tcPr>
            <w:tcW w:w="1640" w:type="dxa"/>
            <w:noWrap/>
            <w:hideMark/>
          </w:tcPr>
          <w:p w14:paraId="20E79229" w14:textId="77777777" w:rsidR="000E03E5" w:rsidRPr="000E03E5" w:rsidRDefault="000E03E5"/>
        </w:tc>
        <w:tc>
          <w:tcPr>
            <w:tcW w:w="1400" w:type="dxa"/>
            <w:noWrap/>
            <w:hideMark/>
          </w:tcPr>
          <w:p w14:paraId="6EDEFB3E" w14:textId="77777777" w:rsidR="000E03E5" w:rsidRPr="000E03E5" w:rsidRDefault="000E03E5" w:rsidP="000E03E5"/>
        </w:tc>
        <w:tc>
          <w:tcPr>
            <w:tcW w:w="340" w:type="dxa"/>
            <w:noWrap/>
            <w:hideMark/>
          </w:tcPr>
          <w:p w14:paraId="7B597D3E" w14:textId="77777777" w:rsidR="000E03E5" w:rsidRPr="000E03E5" w:rsidRDefault="000E03E5" w:rsidP="000E03E5"/>
        </w:tc>
        <w:tc>
          <w:tcPr>
            <w:tcW w:w="1120" w:type="dxa"/>
            <w:noWrap/>
            <w:hideMark/>
          </w:tcPr>
          <w:p w14:paraId="3326C051" w14:textId="77777777" w:rsidR="000E03E5" w:rsidRPr="000E03E5" w:rsidRDefault="000E03E5"/>
        </w:tc>
        <w:tc>
          <w:tcPr>
            <w:tcW w:w="300" w:type="dxa"/>
            <w:noWrap/>
            <w:hideMark/>
          </w:tcPr>
          <w:p w14:paraId="70ACA296" w14:textId="77777777" w:rsidR="000E03E5" w:rsidRPr="000E03E5" w:rsidRDefault="000E03E5"/>
        </w:tc>
        <w:tc>
          <w:tcPr>
            <w:tcW w:w="1120" w:type="dxa"/>
            <w:noWrap/>
            <w:hideMark/>
          </w:tcPr>
          <w:p w14:paraId="29E6596B" w14:textId="77777777" w:rsidR="000E03E5" w:rsidRPr="000E03E5" w:rsidRDefault="000E03E5"/>
        </w:tc>
        <w:tc>
          <w:tcPr>
            <w:tcW w:w="1120" w:type="dxa"/>
            <w:noWrap/>
            <w:hideMark/>
          </w:tcPr>
          <w:p w14:paraId="05011A58" w14:textId="77777777" w:rsidR="000E03E5" w:rsidRPr="000E03E5" w:rsidRDefault="000E03E5"/>
        </w:tc>
      </w:tr>
      <w:tr w:rsidR="000E03E5" w:rsidRPr="000E03E5" w14:paraId="46B64AD1" w14:textId="77777777" w:rsidTr="000E03E5">
        <w:trPr>
          <w:trHeight w:val="288"/>
        </w:trPr>
        <w:tc>
          <w:tcPr>
            <w:tcW w:w="1520" w:type="dxa"/>
            <w:gridSpan w:val="2"/>
            <w:noWrap/>
            <w:hideMark/>
          </w:tcPr>
          <w:p w14:paraId="6CE283A1" w14:textId="77777777" w:rsidR="000E03E5" w:rsidRPr="000E03E5" w:rsidRDefault="000E03E5">
            <w:r w:rsidRPr="000E03E5">
              <w:t>March. 2019</w:t>
            </w:r>
          </w:p>
        </w:tc>
        <w:tc>
          <w:tcPr>
            <w:tcW w:w="2100" w:type="dxa"/>
            <w:noWrap/>
            <w:hideMark/>
          </w:tcPr>
          <w:p w14:paraId="48E0B2AC" w14:textId="77777777" w:rsidR="000E03E5" w:rsidRPr="000E03E5" w:rsidRDefault="000E03E5">
            <w:r w:rsidRPr="000E03E5">
              <w:t>2.25% - 2.50%</w:t>
            </w:r>
          </w:p>
        </w:tc>
        <w:tc>
          <w:tcPr>
            <w:tcW w:w="1640" w:type="dxa"/>
            <w:noWrap/>
            <w:hideMark/>
          </w:tcPr>
          <w:p w14:paraId="6F333BA3" w14:textId="77777777" w:rsidR="000E03E5" w:rsidRPr="000E03E5" w:rsidRDefault="000E03E5" w:rsidP="000E03E5">
            <w:r w:rsidRPr="000E03E5">
              <w:t>3.00%</w:t>
            </w:r>
          </w:p>
        </w:tc>
        <w:tc>
          <w:tcPr>
            <w:tcW w:w="1400" w:type="dxa"/>
            <w:noWrap/>
            <w:hideMark/>
          </w:tcPr>
          <w:p w14:paraId="1B83BD2D" w14:textId="77777777" w:rsidR="000E03E5" w:rsidRPr="000E03E5" w:rsidRDefault="000E03E5" w:rsidP="000E03E5">
            <w:r w:rsidRPr="000E03E5">
              <w:t>2.40%</w:t>
            </w:r>
          </w:p>
        </w:tc>
        <w:tc>
          <w:tcPr>
            <w:tcW w:w="340" w:type="dxa"/>
            <w:noWrap/>
            <w:hideMark/>
          </w:tcPr>
          <w:p w14:paraId="27FD1CA0" w14:textId="77777777" w:rsidR="000E03E5" w:rsidRPr="000E03E5" w:rsidRDefault="000E03E5" w:rsidP="000E03E5"/>
        </w:tc>
        <w:tc>
          <w:tcPr>
            <w:tcW w:w="1420" w:type="dxa"/>
            <w:gridSpan w:val="2"/>
            <w:noWrap/>
            <w:hideMark/>
          </w:tcPr>
          <w:p w14:paraId="343FDF39" w14:textId="77777777" w:rsidR="000E03E5" w:rsidRPr="000E03E5" w:rsidRDefault="000E03E5">
            <w:r w:rsidRPr="000E03E5">
              <w:t>March. 2019</w:t>
            </w:r>
          </w:p>
        </w:tc>
        <w:tc>
          <w:tcPr>
            <w:tcW w:w="1120" w:type="dxa"/>
            <w:noWrap/>
            <w:hideMark/>
          </w:tcPr>
          <w:p w14:paraId="116350EC" w14:textId="77777777" w:rsidR="000E03E5" w:rsidRPr="000E03E5" w:rsidRDefault="000E03E5" w:rsidP="000E03E5">
            <w:r w:rsidRPr="000E03E5">
              <w:t>30</w:t>
            </w:r>
          </w:p>
        </w:tc>
        <w:tc>
          <w:tcPr>
            <w:tcW w:w="1120" w:type="dxa"/>
            <w:noWrap/>
            <w:hideMark/>
          </w:tcPr>
          <w:p w14:paraId="2A241E97" w14:textId="77777777" w:rsidR="000E03E5" w:rsidRPr="000E03E5" w:rsidRDefault="000E03E5" w:rsidP="000E03E5">
            <w:r w:rsidRPr="000E03E5">
              <w:t>20</w:t>
            </w:r>
          </w:p>
        </w:tc>
      </w:tr>
      <w:tr w:rsidR="000E03E5" w:rsidRPr="000E03E5" w14:paraId="146432DF" w14:textId="77777777" w:rsidTr="000E03E5">
        <w:trPr>
          <w:trHeight w:val="288"/>
        </w:trPr>
        <w:tc>
          <w:tcPr>
            <w:tcW w:w="1470" w:type="dxa"/>
            <w:noWrap/>
            <w:hideMark/>
          </w:tcPr>
          <w:p w14:paraId="5A610419" w14:textId="77777777" w:rsidR="000E03E5" w:rsidRPr="000E03E5" w:rsidRDefault="000E03E5" w:rsidP="000E03E5"/>
        </w:tc>
        <w:tc>
          <w:tcPr>
            <w:tcW w:w="50" w:type="dxa"/>
            <w:noWrap/>
            <w:hideMark/>
          </w:tcPr>
          <w:p w14:paraId="56E71A8F" w14:textId="77777777" w:rsidR="000E03E5" w:rsidRPr="000E03E5" w:rsidRDefault="000E03E5"/>
        </w:tc>
        <w:tc>
          <w:tcPr>
            <w:tcW w:w="2100" w:type="dxa"/>
            <w:noWrap/>
            <w:hideMark/>
          </w:tcPr>
          <w:p w14:paraId="7AF2B3DE" w14:textId="77777777" w:rsidR="000E03E5" w:rsidRPr="000E03E5" w:rsidRDefault="000E03E5"/>
        </w:tc>
        <w:tc>
          <w:tcPr>
            <w:tcW w:w="1640" w:type="dxa"/>
            <w:noWrap/>
            <w:hideMark/>
          </w:tcPr>
          <w:p w14:paraId="4BEB3645" w14:textId="77777777" w:rsidR="000E03E5" w:rsidRPr="000E03E5" w:rsidRDefault="000E03E5"/>
        </w:tc>
        <w:tc>
          <w:tcPr>
            <w:tcW w:w="1400" w:type="dxa"/>
            <w:noWrap/>
            <w:hideMark/>
          </w:tcPr>
          <w:p w14:paraId="198DE131" w14:textId="77777777" w:rsidR="000E03E5" w:rsidRPr="000E03E5" w:rsidRDefault="000E03E5" w:rsidP="000E03E5"/>
        </w:tc>
        <w:tc>
          <w:tcPr>
            <w:tcW w:w="340" w:type="dxa"/>
            <w:noWrap/>
            <w:hideMark/>
          </w:tcPr>
          <w:p w14:paraId="7304CC65" w14:textId="77777777" w:rsidR="000E03E5" w:rsidRPr="000E03E5" w:rsidRDefault="000E03E5" w:rsidP="000E03E5"/>
        </w:tc>
        <w:tc>
          <w:tcPr>
            <w:tcW w:w="1120" w:type="dxa"/>
            <w:noWrap/>
            <w:hideMark/>
          </w:tcPr>
          <w:p w14:paraId="1A22365B" w14:textId="77777777" w:rsidR="000E03E5" w:rsidRPr="000E03E5" w:rsidRDefault="000E03E5"/>
        </w:tc>
        <w:tc>
          <w:tcPr>
            <w:tcW w:w="300" w:type="dxa"/>
            <w:noWrap/>
            <w:hideMark/>
          </w:tcPr>
          <w:p w14:paraId="2D8BF7AF" w14:textId="77777777" w:rsidR="000E03E5" w:rsidRPr="000E03E5" w:rsidRDefault="000E03E5"/>
        </w:tc>
        <w:tc>
          <w:tcPr>
            <w:tcW w:w="1120" w:type="dxa"/>
            <w:noWrap/>
            <w:hideMark/>
          </w:tcPr>
          <w:p w14:paraId="6DA9B802" w14:textId="77777777" w:rsidR="000E03E5" w:rsidRPr="000E03E5" w:rsidRDefault="000E03E5"/>
        </w:tc>
        <w:tc>
          <w:tcPr>
            <w:tcW w:w="1120" w:type="dxa"/>
            <w:noWrap/>
            <w:hideMark/>
          </w:tcPr>
          <w:p w14:paraId="230510DA" w14:textId="77777777" w:rsidR="000E03E5" w:rsidRPr="000E03E5" w:rsidRDefault="000E03E5"/>
        </w:tc>
      </w:tr>
      <w:tr w:rsidR="000E03E5" w:rsidRPr="000E03E5" w14:paraId="6A915FFA" w14:textId="77777777" w:rsidTr="000E03E5">
        <w:trPr>
          <w:trHeight w:val="288"/>
        </w:trPr>
        <w:tc>
          <w:tcPr>
            <w:tcW w:w="1470" w:type="dxa"/>
            <w:noWrap/>
            <w:hideMark/>
          </w:tcPr>
          <w:p w14:paraId="630046EA" w14:textId="77777777" w:rsidR="000E03E5" w:rsidRPr="000E03E5" w:rsidRDefault="000E03E5">
            <w:r w:rsidRPr="000E03E5">
              <w:t>Dec. 2018</w:t>
            </w:r>
          </w:p>
        </w:tc>
        <w:tc>
          <w:tcPr>
            <w:tcW w:w="50" w:type="dxa"/>
            <w:noWrap/>
            <w:hideMark/>
          </w:tcPr>
          <w:p w14:paraId="1CAD57CD" w14:textId="77777777" w:rsidR="000E03E5" w:rsidRPr="000E03E5" w:rsidRDefault="000E03E5"/>
        </w:tc>
        <w:tc>
          <w:tcPr>
            <w:tcW w:w="2100" w:type="dxa"/>
            <w:noWrap/>
            <w:hideMark/>
          </w:tcPr>
          <w:p w14:paraId="410E1051" w14:textId="77777777" w:rsidR="000E03E5" w:rsidRPr="000E03E5" w:rsidRDefault="000E03E5">
            <w:r w:rsidRPr="000E03E5">
              <w:t>2.25% - 2.50%</w:t>
            </w:r>
          </w:p>
        </w:tc>
        <w:tc>
          <w:tcPr>
            <w:tcW w:w="1640" w:type="dxa"/>
            <w:noWrap/>
            <w:hideMark/>
          </w:tcPr>
          <w:p w14:paraId="5394B9C8" w14:textId="77777777" w:rsidR="000E03E5" w:rsidRPr="000E03E5" w:rsidRDefault="000E03E5" w:rsidP="000E03E5">
            <w:r w:rsidRPr="000E03E5">
              <w:t>3.00%</w:t>
            </w:r>
          </w:p>
        </w:tc>
        <w:tc>
          <w:tcPr>
            <w:tcW w:w="1400" w:type="dxa"/>
            <w:noWrap/>
            <w:hideMark/>
          </w:tcPr>
          <w:p w14:paraId="0BA81D01" w14:textId="77777777" w:rsidR="000E03E5" w:rsidRPr="000E03E5" w:rsidRDefault="000E03E5" w:rsidP="000E03E5">
            <w:r w:rsidRPr="000E03E5">
              <w:t>2.40%</w:t>
            </w:r>
          </w:p>
        </w:tc>
        <w:tc>
          <w:tcPr>
            <w:tcW w:w="340" w:type="dxa"/>
            <w:noWrap/>
            <w:hideMark/>
          </w:tcPr>
          <w:p w14:paraId="4B6D5FB1" w14:textId="77777777" w:rsidR="000E03E5" w:rsidRPr="000E03E5" w:rsidRDefault="000E03E5" w:rsidP="000E03E5"/>
        </w:tc>
        <w:tc>
          <w:tcPr>
            <w:tcW w:w="1120" w:type="dxa"/>
            <w:noWrap/>
            <w:hideMark/>
          </w:tcPr>
          <w:p w14:paraId="3DFCE936" w14:textId="77777777" w:rsidR="000E03E5" w:rsidRPr="000E03E5" w:rsidRDefault="000E03E5">
            <w:r w:rsidRPr="000E03E5">
              <w:t>Dec. 2018</w:t>
            </w:r>
          </w:p>
        </w:tc>
        <w:tc>
          <w:tcPr>
            <w:tcW w:w="300" w:type="dxa"/>
            <w:noWrap/>
            <w:hideMark/>
          </w:tcPr>
          <w:p w14:paraId="2A8B8347" w14:textId="77777777" w:rsidR="000E03E5" w:rsidRPr="000E03E5" w:rsidRDefault="000E03E5"/>
        </w:tc>
        <w:tc>
          <w:tcPr>
            <w:tcW w:w="1120" w:type="dxa"/>
            <w:noWrap/>
            <w:hideMark/>
          </w:tcPr>
          <w:p w14:paraId="4537F948" w14:textId="77777777" w:rsidR="000E03E5" w:rsidRPr="000E03E5" w:rsidRDefault="000E03E5" w:rsidP="000E03E5">
            <w:r w:rsidRPr="000E03E5">
              <w:t>30</w:t>
            </w:r>
          </w:p>
        </w:tc>
        <w:tc>
          <w:tcPr>
            <w:tcW w:w="1120" w:type="dxa"/>
            <w:noWrap/>
            <w:hideMark/>
          </w:tcPr>
          <w:p w14:paraId="0F632BBB" w14:textId="77777777" w:rsidR="000E03E5" w:rsidRPr="000E03E5" w:rsidRDefault="000E03E5" w:rsidP="000E03E5">
            <w:r w:rsidRPr="000E03E5">
              <w:t>20</w:t>
            </w:r>
          </w:p>
        </w:tc>
      </w:tr>
      <w:tr w:rsidR="000E03E5" w:rsidRPr="000E03E5" w14:paraId="0CF22A93" w14:textId="77777777" w:rsidTr="000E03E5">
        <w:trPr>
          <w:trHeight w:val="288"/>
        </w:trPr>
        <w:tc>
          <w:tcPr>
            <w:tcW w:w="1470" w:type="dxa"/>
            <w:noWrap/>
            <w:hideMark/>
          </w:tcPr>
          <w:p w14:paraId="661BD8C1" w14:textId="77777777" w:rsidR="000E03E5" w:rsidRPr="000E03E5" w:rsidRDefault="000E03E5" w:rsidP="000E03E5"/>
        </w:tc>
        <w:tc>
          <w:tcPr>
            <w:tcW w:w="50" w:type="dxa"/>
            <w:noWrap/>
            <w:hideMark/>
          </w:tcPr>
          <w:p w14:paraId="55574345" w14:textId="77777777" w:rsidR="000E03E5" w:rsidRPr="000E03E5" w:rsidRDefault="000E03E5"/>
        </w:tc>
        <w:tc>
          <w:tcPr>
            <w:tcW w:w="2100" w:type="dxa"/>
            <w:noWrap/>
            <w:hideMark/>
          </w:tcPr>
          <w:p w14:paraId="0FBCA222" w14:textId="77777777" w:rsidR="000E03E5" w:rsidRPr="000E03E5" w:rsidRDefault="000E03E5"/>
        </w:tc>
        <w:tc>
          <w:tcPr>
            <w:tcW w:w="1640" w:type="dxa"/>
            <w:noWrap/>
            <w:hideMark/>
          </w:tcPr>
          <w:p w14:paraId="52A4B3B0" w14:textId="77777777" w:rsidR="000E03E5" w:rsidRPr="000E03E5" w:rsidRDefault="000E03E5"/>
        </w:tc>
        <w:tc>
          <w:tcPr>
            <w:tcW w:w="1400" w:type="dxa"/>
            <w:noWrap/>
            <w:hideMark/>
          </w:tcPr>
          <w:p w14:paraId="138E4FC4" w14:textId="77777777" w:rsidR="000E03E5" w:rsidRPr="000E03E5" w:rsidRDefault="000E03E5" w:rsidP="000E03E5"/>
        </w:tc>
        <w:tc>
          <w:tcPr>
            <w:tcW w:w="340" w:type="dxa"/>
            <w:noWrap/>
            <w:hideMark/>
          </w:tcPr>
          <w:p w14:paraId="5596CA19" w14:textId="77777777" w:rsidR="000E03E5" w:rsidRPr="000E03E5" w:rsidRDefault="000E03E5" w:rsidP="000E03E5"/>
        </w:tc>
        <w:tc>
          <w:tcPr>
            <w:tcW w:w="1120" w:type="dxa"/>
            <w:noWrap/>
            <w:hideMark/>
          </w:tcPr>
          <w:p w14:paraId="14D40E41" w14:textId="77777777" w:rsidR="000E03E5" w:rsidRPr="000E03E5" w:rsidRDefault="000E03E5"/>
        </w:tc>
        <w:tc>
          <w:tcPr>
            <w:tcW w:w="300" w:type="dxa"/>
            <w:noWrap/>
            <w:hideMark/>
          </w:tcPr>
          <w:p w14:paraId="2633A00B" w14:textId="77777777" w:rsidR="000E03E5" w:rsidRPr="000E03E5" w:rsidRDefault="000E03E5"/>
        </w:tc>
        <w:tc>
          <w:tcPr>
            <w:tcW w:w="1120" w:type="dxa"/>
            <w:noWrap/>
            <w:hideMark/>
          </w:tcPr>
          <w:p w14:paraId="258F83F7" w14:textId="77777777" w:rsidR="000E03E5" w:rsidRPr="000E03E5" w:rsidRDefault="000E03E5"/>
        </w:tc>
        <w:tc>
          <w:tcPr>
            <w:tcW w:w="1120" w:type="dxa"/>
            <w:noWrap/>
            <w:hideMark/>
          </w:tcPr>
          <w:p w14:paraId="0DC65687" w14:textId="77777777" w:rsidR="000E03E5" w:rsidRPr="000E03E5" w:rsidRDefault="000E03E5"/>
        </w:tc>
      </w:tr>
      <w:tr w:rsidR="000E03E5" w:rsidRPr="000E03E5" w14:paraId="38FA0F53" w14:textId="77777777" w:rsidTr="000E03E5">
        <w:trPr>
          <w:trHeight w:val="288"/>
        </w:trPr>
        <w:tc>
          <w:tcPr>
            <w:tcW w:w="1470" w:type="dxa"/>
            <w:noWrap/>
            <w:hideMark/>
          </w:tcPr>
          <w:p w14:paraId="4157FF5A" w14:textId="77777777" w:rsidR="000E03E5" w:rsidRPr="000E03E5" w:rsidRDefault="000E03E5">
            <w:r w:rsidRPr="000E03E5">
              <w:t>Sept. 2018</w:t>
            </w:r>
          </w:p>
        </w:tc>
        <w:tc>
          <w:tcPr>
            <w:tcW w:w="50" w:type="dxa"/>
            <w:noWrap/>
            <w:hideMark/>
          </w:tcPr>
          <w:p w14:paraId="67EBF124" w14:textId="77777777" w:rsidR="000E03E5" w:rsidRPr="000E03E5" w:rsidRDefault="000E03E5"/>
        </w:tc>
        <w:tc>
          <w:tcPr>
            <w:tcW w:w="2100" w:type="dxa"/>
            <w:noWrap/>
            <w:hideMark/>
          </w:tcPr>
          <w:p w14:paraId="618EDCED" w14:textId="77777777" w:rsidR="000E03E5" w:rsidRPr="000E03E5" w:rsidRDefault="000E03E5">
            <w:r w:rsidRPr="000E03E5">
              <w:t>2.00% - 2.25%</w:t>
            </w:r>
          </w:p>
        </w:tc>
        <w:tc>
          <w:tcPr>
            <w:tcW w:w="1640" w:type="dxa"/>
            <w:noWrap/>
            <w:hideMark/>
          </w:tcPr>
          <w:p w14:paraId="40BE4AB0" w14:textId="77777777" w:rsidR="000E03E5" w:rsidRPr="000E03E5" w:rsidRDefault="000E03E5" w:rsidP="000E03E5">
            <w:r w:rsidRPr="000E03E5">
              <w:t>2.75%</w:t>
            </w:r>
          </w:p>
        </w:tc>
        <w:tc>
          <w:tcPr>
            <w:tcW w:w="1400" w:type="dxa"/>
            <w:noWrap/>
            <w:hideMark/>
          </w:tcPr>
          <w:p w14:paraId="5F440C91" w14:textId="77777777" w:rsidR="000E03E5" w:rsidRPr="000E03E5" w:rsidRDefault="000E03E5" w:rsidP="000E03E5">
            <w:r w:rsidRPr="000E03E5">
              <w:t>2.20%</w:t>
            </w:r>
          </w:p>
        </w:tc>
        <w:tc>
          <w:tcPr>
            <w:tcW w:w="340" w:type="dxa"/>
            <w:noWrap/>
            <w:hideMark/>
          </w:tcPr>
          <w:p w14:paraId="50A2ED38" w14:textId="77777777" w:rsidR="000E03E5" w:rsidRPr="000E03E5" w:rsidRDefault="000E03E5" w:rsidP="000E03E5"/>
        </w:tc>
        <w:tc>
          <w:tcPr>
            <w:tcW w:w="1120" w:type="dxa"/>
            <w:noWrap/>
            <w:hideMark/>
          </w:tcPr>
          <w:p w14:paraId="15734F51" w14:textId="77777777" w:rsidR="000E03E5" w:rsidRPr="000E03E5" w:rsidRDefault="000E03E5">
            <w:r w:rsidRPr="000E03E5">
              <w:t>Oct. 2018</w:t>
            </w:r>
          </w:p>
        </w:tc>
        <w:tc>
          <w:tcPr>
            <w:tcW w:w="300" w:type="dxa"/>
            <w:noWrap/>
            <w:hideMark/>
          </w:tcPr>
          <w:p w14:paraId="03B6A554" w14:textId="77777777" w:rsidR="000E03E5" w:rsidRPr="000E03E5" w:rsidRDefault="000E03E5"/>
        </w:tc>
        <w:tc>
          <w:tcPr>
            <w:tcW w:w="1120" w:type="dxa"/>
            <w:noWrap/>
            <w:hideMark/>
          </w:tcPr>
          <w:p w14:paraId="10F14542" w14:textId="77777777" w:rsidR="000E03E5" w:rsidRPr="000E03E5" w:rsidRDefault="000E03E5" w:rsidP="000E03E5">
            <w:r w:rsidRPr="000E03E5">
              <w:t>30</w:t>
            </w:r>
          </w:p>
        </w:tc>
        <w:tc>
          <w:tcPr>
            <w:tcW w:w="1120" w:type="dxa"/>
            <w:noWrap/>
            <w:hideMark/>
          </w:tcPr>
          <w:p w14:paraId="12FAC23B" w14:textId="77777777" w:rsidR="000E03E5" w:rsidRPr="000E03E5" w:rsidRDefault="000E03E5" w:rsidP="000E03E5">
            <w:r w:rsidRPr="000E03E5">
              <w:t>20</w:t>
            </w:r>
          </w:p>
        </w:tc>
      </w:tr>
      <w:tr w:rsidR="000E03E5" w:rsidRPr="000E03E5" w14:paraId="59487B54" w14:textId="77777777" w:rsidTr="000E03E5">
        <w:trPr>
          <w:trHeight w:val="288"/>
        </w:trPr>
        <w:tc>
          <w:tcPr>
            <w:tcW w:w="1470" w:type="dxa"/>
            <w:noWrap/>
            <w:hideMark/>
          </w:tcPr>
          <w:p w14:paraId="6C2ABE56" w14:textId="77777777" w:rsidR="000E03E5" w:rsidRPr="000E03E5" w:rsidRDefault="000E03E5" w:rsidP="000E03E5"/>
        </w:tc>
        <w:tc>
          <w:tcPr>
            <w:tcW w:w="50" w:type="dxa"/>
            <w:noWrap/>
            <w:hideMark/>
          </w:tcPr>
          <w:p w14:paraId="3ED4EB9E" w14:textId="77777777" w:rsidR="000E03E5" w:rsidRPr="000E03E5" w:rsidRDefault="000E03E5"/>
        </w:tc>
        <w:tc>
          <w:tcPr>
            <w:tcW w:w="2100" w:type="dxa"/>
            <w:noWrap/>
            <w:hideMark/>
          </w:tcPr>
          <w:p w14:paraId="095FE857" w14:textId="77777777" w:rsidR="000E03E5" w:rsidRPr="000E03E5" w:rsidRDefault="000E03E5"/>
        </w:tc>
        <w:tc>
          <w:tcPr>
            <w:tcW w:w="1640" w:type="dxa"/>
            <w:noWrap/>
            <w:hideMark/>
          </w:tcPr>
          <w:p w14:paraId="3F610036" w14:textId="77777777" w:rsidR="000E03E5" w:rsidRPr="000E03E5" w:rsidRDefault="000E03E5"/>
        </w:tc>
        <w:tc>
          <w:tcPr>
            <w:tcW w:w="1400" w:type="dxa"/>
            <w:noWrap/>
            <w:hideMark/>
          </w:tcPr>
          <w:p w14:paraId="0751F0B6" w14:textId="77777777" w:rsidR="000E03E5" w:rsidRPr="000E03E5" w:rsidRDefault="000E03E5"/>
        </w:tc>
        <w:tc>
          <w:tcPr>
            <w:tcW w:w="340" w:type="dxa"/>
            <w:noWrap/>
            <w:hideMark/>
          </w:tcPr>
          <w:p w14:paraId="6D8C2877" w14:textId="77777777" w:rsidR="000E03E5" w:rsidRPr="000E03E5" w:rsidRDefault="000E03E5"/>
        </w:tc>
        <w:tc>
          <w:tcPr>
            <w:tcW w:w="1120" w:type="dxa"/>
            <w:noWrap/>
            <w:hideMark/>
          </w:tcPr>
          <w:p w14:paraId="34F95FD5" w14:textId="77777777" w:rsidR="000E03E5" w:rsidRPr="000E03E5" w:rsidRDefault="000E03E5"/>
        </w:tc>
        <w:tc>
          <w:tcPr>
            <w:tcW w:w="300" w:type="dxa"/>
            <w:noWrap/>
            <w:hideMark/>
          </w:tcPr>
          <w:p w14:paraId="5DDE38EE" w14:textId="77777777" w:rsidR="000E03E5" w:rsidRPr="000E03E5" w:rsidRDefault="000E03E5"/>
        </w:tc>
        <w:tc>
          <w:tcPr>
            <w:tcW w:w="1120" w:type="dxa"/>
            <w:noWrap/>
            <w:hideMark/>
          </w:tcPr>
          <w:p w14:paraId="313AF866" w14:textId="77777777" w:rsidR="000E03E5" w:rsidRPr="000E03E5" w:rsidRDefault="000E03E5"/>
        </w:tc>
        <w:tc>
          <w:tcPr>
            <w:tcW w:w="1120" w:type="dxa"/>
            <w:noWrap/>
            <w:hideMark/>
          </w:tcPr>
          <w:p w14:paraId="3E583726" w14:textId="77777777" w:rsidR="000E03E5" w:rsidRPr="000E03E5" w:rsidRDefault="000E03E5" w:rsidP="000E03E5"/>
        </w:tc>
      </w:tr>
      <w:tr w:rsidR="000E03E5" w:rsidRPr="000E03E5" w14:paraId="2FD974CF" w14:textId="77777777" w:rsidTr="000E03E5">
        <w:trPr>
          <w:trHeight w:val="288"/>
        </w:trPr>
        <w:tc>
          <w:tcPr>
            <w:tcW w:w="1470" w:type="dxa"/>
            <w:noWrap/>
            <w:hideMark/>
          </w:tcPr>
          <w:p w14:paraId="4CB02D24" w14:textId="77777777" w:rsidR="000E03E5" w:rsidRPr="000E03E5" w:rsidRDefault="000E03E5">
            <w:r w:rsidRPr="000E03E5">
              <w:t>June. 2018</w:t>
            </w:r>
          </w:p>
        </w:tc>
        <w:tc>
          <w:tcPr>
            <w:tcW w:w="50" w:type="dxa"/>
            <w:noWrap/>
            <w:hideMark/>
          </w:tcPr>
          <w:p w14:paraId="1DC09FF0" w14:textId="77777777" w:rsidR="000E03E5" w:rsidRPr="000E03E5" w:rsidRDefault="000E03E5"/>
        </w:tc>
        <w:tc>
          <w:tcPr>
            <w:tcW w:w="2100" w:type="dxa"/>
            <w:noWrap/>
            <w:hideMark/>
          </w:tcPr>
          <w:p w14:paraId="01C47636" w14:textId="77777777" w:rsidR="000E03E5" w:rsidRPr="000E03E5" w:rsidRDefault="000E03E5">
            <w:r w:rsidRPr="000E03E5">
              <w:t>1.75% - 2.00%</w:t>
            </w:r>
          </w:p>
        </w:tc>
        <w:tc>
          <w:tcPr>
            <w:tcW w:w="1640" w:type="dxa"/>
            <w:noWrap/>
            <w:hideMark/>
          </w:tcPr>
          <w:p w14:paraId="68F795AF" w14:textId="77777777" w:rsidR="000E03E5" w:rsidRPr="000E03E5" w:rsidRDefault="000E03E5" w:rsidP="000E03E5">
            <w:r w:rsidRPr="000E03E5">
              <w:t>2.50%</w:t>
            </w:r>
          </w:p>
        </w:tc>
        <w:tc>
          <w:tcPr>
            <w:tcW w:w="1400" w:type="dxa"/>
            <w:noWrap/>
            <w:hideMark/>
          </w:tcPr>
          <w:p w14:paraId="7D3650E3" w14:textId="77777777" w:rsidR="000E03E5" w:rsidRPr="000E03E5" w:rsidRDefault="000E03E5" w:rsidP="000E03E5">
            <w:r w:rsidRPr="000E03E5">
              <w:t>1.95%</w:t>
            </w:r>
          </w:p>
        </w:tc>
        <w:tc>
          <w:tcPr>
            <w:tcW w:w="340" w:type="dxa"/>
            <w:noWrap/>
            <w:hideMark/>
          </w:tcPr>
          <w:p w14:paraId="27C9FE0A" w14:textId="77777777" w:rsidR="000E03E5" w:rsidRPr="000E03E5" w:rsidRDefault="000E03E5" w:rsidP="000E03E5"/>
        </w:tc>
        <w:tc>
          <w:tcPr>
            <w:tcW w:w="1120" w:type="dxa"/>
            <w:noWrap/>
            <w:hideMark/>
          </w:tcPr>
          <w:p w14:paraId="0B239CEE" w14:textId="77777777" w:rsidR="000E03E5" w:rsidRPr="000E03E5" w:rsidRDefault="000E03E5">
            <w:r w:rsidRPr="000E03E5">
              <w:t>July. 2018</w:t>
            </w:r>
          </w:p>
        </w:tc>
        <w:tc>
          <w:tcPr>
            <w:tcW w:w="300" w:type="dxa"/>
            <w:noWrap/>
            <w:hideMark/>
          </w:tcPr>
          <w:p w14:paraId="7047FB06" w14:textId="77777777" w:rsidR="000E03E5" w:rsidRPr="000E03E5" w:rsidRDefault="000E03E5"/>
        </w:tc>
        <w:tc>
          <w:tcPr>
            <w:tcW w:w="1120" w:type="dxa"/>
            <w:noWrap/>
            <w:hideMark/>
          </w:tcPr>
          <w:p w14:paraId="14760799" w14:textId="77777777" w:rsidR="000E03E5" w:rsidRPr="000E03E5" w:rsidRDefault="000E03E5" w:rsidP="000E03E5">
            <w:r w:rsidRPr="000E03E5">
              <w:t>24</w:t>
            </w:r>
          </w:p>
        </w:tc>
        <w:tc>
          <w:tcPr>
            <w:tcW w:w="1120" w:type="dxa"/>
            <w:noWrap/>
            <w:hideMark/>
          </w:tcPr>
          <w:p w14:paraId="0F0E3A26" w14:textId="77777777" w:rsidR="000E03E5" w:rsidRPr="000E03E5" w:rsidRDefault="000E03E5" w:rsidP="000E03E5">
            <w:r w:rsidRPr="000E03E5">
              <w:t>16</w:t>
            </w:r>
          </w:p>
        </w:tc>
      </w:tr>
      <w:tr w:rsidR="000E03E5" w:rsidRPr="000E03E5" w14:paraId="13F8AD99" w14:textId="77777777" w:rsidTr="000E03E5">
        <w:trPr>
          <w:trHeight w:val="288"/>
        </w:trPr>
        <w:tc>
          <w:tcPr>
            <w:tcW w:w="1470" w:type="dxa"/>
            <w:noWrap/>
            <w:hideMark/>
          </w:tcPr>
          <w:p w14:paraId="4462FB19" w14:textId="77777777" w:rsidR="000E03E5" w:rsidRPr="000E03E5" w:rsidRDefault="000E03E5" w:rsidP="000E03E5"/>
        </w:tc>
        <w:tc>
          <w:tcPr>
            <w:tcW w:w="50" w:type="dxa"/>
            <w:noWrap/>
            <w:hideMark/>
          </w:tcPr>
          <w:p w14:paraId="2447B604" w14:textId="77777777" w:rsidR="000E03E5" w:rsidRPr="000E03E5" w:rsidRDefault="000E03E5"/>
        </w:tc>
        <w:tc>
          <w:tcPr>
            <w:tcW w:w="2100" w:type="dxa"/>
            <w:noWrap/>
            <w:hideMark/>
          </w:tcPr>
          <w:p w14:paraId="6E1E7950" w14:textId="77777777" w:rsidR="000E03E5" w:rsidRPr="000E03E5" w:rsidRDefault="000E03E5"/>
        </w:tc>
        <w:tc>
          <w:tcPr>
            <w:tcW w:w="1640" w:type="dxa"/>
            <w:noWrap/>
            <w:hideMark/>
          </w:tcPr>
          <w:p w14:paraId="2220E54E" w14:textId="77777777" w:rsidR="000E03E5" w:rsidRPr="000E03E5" w:rsidRDefault="000E03E5"/>
        </w:tc>
        <w:tc>
          <w:tcPr>
            <w:tcW w:w="1400" w:type="dxa"/>
            <w:noWrap/>
            <w:hideMark/>
          </w:tcPr>
          <w:p w14:paraId="6309A2E5" w14:textId="77777777" w:rsidR="000E03E5" w:rsidRPr="000E03E5" w:rsidRDefault="000E03E5"/>
        </w:tc>
        <w:tc>
          <w:tcPr>
            <w:tcW w:w="340" w:type="dxa"/>
            <w:noWrap/>
            <w:hideMark/>
          </w:tcPr>
          <w:p w14:paraId="03BB28ED" w14:textId="77777777" w:rsidR="000E03E5" w:rsidRPr="000E03E5" w:rsidRDefault="000E03E5"/>
        </w:tc>
        <w:tc>
          <w:tcPr>
            <w:tcW w:w="1120" w:type="dxa"/>
            <w:noWrap/>
            <w:hideMark/>
          </w:tcPr>
          <w:p w14:paraId="3E1DB7A2" w14:textId="77777777" w:rsidR="000E03E5" w:rsidRPr="000E03E5" w:rsidRDefault="000E03E5"/>
        </w:tc>
        <w:tc>
          <w:tcPr>
            <w:tcW w:w="300" w:type="dxa"/>
            <w:noWrap/>
            <w:hideMark/>
          </w:tcPr>
          <w:p w14:paraId="151A89C9" w14:textId="77777777" w:rsidR="000E03E5" w:rsidRPr="000E03E5" w:rsidRDefault="000E03E5"/>
        </w:tc>
        <w:tc>
          <w:tcPr>
            <w:tcW w:w="1120" w:type="dxa"/>
            <w:noWrap/>
            <w:hideMark/>
          </w:tcPr>
          <w:p w14:paraId="3624A5E2" w14:textId="77777777" w:rsidR="000E03E5" w:rsidRPr="000E03E5" w:rsidRDefault="000E03E5"/>
        </w:tc>
        <w:tc>
          <w:tcPr>
            <w:tcW w:w="1120" w:type="dxa"/>
            <w:noWrap/>
            <w:hideMark/>
          </w:tcPr>
          <w:p w14:paraId="36FC9BFB" w14:textId="77777777" w:rsidR="000E03E5" w:rsidRPr="000E03E5" w:rsidRDefault="000E03E5" w:rsidP="000E03E5"/>
        </w:tc>
      </w:tr>
      <w:tr w:rsidR="000E03E5" w:rsidRPr="000E03E5" w14:paraId="256A2E08" w14:textId="77777777" w:rsidTr="000E03E5">
        <w:trPr>
          <w:trHeight w:val="288"/>
        </w:trPr>
        <w:tc>
          <w:tcPr>
            <w:tcW w:w="1470" w:type="dxa"/>
            <w:noWrap/>
            <w:hideMark/>
          </w:tcPr>
          <w:p w14:paraId="46289003" w14:textId="77777777" w:rsidR="000E03E5" w:rsidRPr="000E03E5" w:rsidRDefault="000E03E5">
            <w:r w:rsidRPr="000E03E5">
              <w:t>Mar. 2018</w:t>
            </w:r>
          </w:p>
        </w:tc>
        <w:tc>
          <w:tcPr>
            <w:tcW w:w="50" w:type="dxa"/>
            <w:noWrap/>
            <w:hideMark/>
          </w:tcPr>
          <w:p w14:paraId="1D299D3B" w14:textId="77777777" w:rsidR="000E03E5" w:rsidRPr="000E03E5" w:rsidRDefault="000E03E5"/>
        </w:tc>
        <w:tc>
          <w:tcPr>
            <w:tcW w:w="2100" w:type="dxa"/>
            <w:noWrap/>
            <w:hideMark/>
          </w:tcPr>
          <w:p w14:paraId="6081A79D" w14:textId="77777777" w:rsidR="000E03E5" w:rsidRPr="000E03E5" w:rsidRDefault="000E03E5">
            <w:r w:rsidRPr="000E03E5">
              <w:t>1.50% - 1.75%</w:t>
            </w:r>
          </w:p>
        </w:tc>
        <w:tc>
          <w:tcPr>
            <w:tcW w:w="1640" w:type="dxa"/>
            <w:noWrap/>
            <w:hideMark/>
          </w:tcPr>
          <w:p w14:paraId="6908214D" w14:textId="77777777" w:rsidR="000E03E5" w:rsidRPr="000E03E5" w:rsidRDefault="000E03E5" w:rsidP="000E03E5">
            <w:r w:rsidRPr="000E03E5">
              <w:t>2.25%</w:t>
            </w:r>
          </w:p>
        </w:tc>
        <w:tc>
          <w:tcPr>
            <w:tcW w:w="1400" w:type="dxa"/>
            <w:noWrap/>
            <w:hideMark/>
          </w:tcPr>
          <w:p w14:paraId="77F27D0E" w14:textId="77777777" w:rsidR="000E03E5" w:rsidRPr="000E03E5" w:rsidRDefault="000E03E5" w:rsidP="000E03E5">
            <w:r w:rsidRPr="000E03E5">
              <w:t>1.75%</w:t>
            </w:r>
          </w:p>
        </w:tc>
        <w:tc>
          <w:tcPr>
            <w:tcW w:w="340" w:type="dxa"/>
            <w:noWrap/>
            <w:hideMark/>
          </w:tcPr>
          <w:p w14:paraId="2CB48C7B" w14:textId="77777777" w:rsidR="000E03E5" w:rsidRPr="000E03E5" w:rsidRDefault="000E03E5" w:rsidP="000E03E5"/>
        </w:tc>
        <w:tc>
          <w:tcPr>
            <w:tcW w:w="1120" w:type="dxa"/>
            <w:noWrap/>
            <w:hideMark/>
          </w:tcPr>
          <w:p w14:paraId="257E110B" w14:textId="77777777" w:rsidR="000E03E5" w:rsidRPr="000E03E5" w:rsidRDefault="000E03E5">
            <w:r w:rsidRPr="000E03E5">
              <w:t>April. 2018</w:t>
            </w:r>
          </w:p>
        </w:tc>
        <w:tc>
          <w:tcPr>
            <w:tcW w:w="300" w:type="dxa"/>
            <w:noWrap/>
            <w:hideMark/>
          </w:tcPr>
          <w:p w14:paraId="70609BF9" w14:textId="77777777" w:rsidR="000E03E5" w:rsidRPr="000E03E5" w:rsidRDefault="000E03E5"/>
        </w:tc>
        <w:tc>
          <w:tcPr>
            <w:tcW w:w="1120" w:type="dxa"/>
            <w:noWrap/>
            <w:hideMark/>
          </w:tcPr>
          <w:p w14:paraId="454C9C83" w14:textId="77777777" w:rsidR="000E03E5" w:rsidRPr="000E03E5" w:rsidRDefault="000E03E5" w:rsidP="000E03E5">
            <w:r w:rsidRPr="000E03E5">
              <w:t>18</w:t>
            </w:r>
          </w:p>
        </w:tc>
        <w:tc>
          <w:tcPr>
            <w:tcW w:w="1120" w:type="dxa"/>
            <w:noWrap/>
            <w:hideMark/>
          </w:tcPr>
          <w:p w14:paraId="271D2D93" w14:textId="77777777" w:rsidR="000E03E5" w:rsidRPr="000E03E5" w:rsidRDefault="000E03E5" w:rsidP="000E03E5">
            <w:r w:rsidRPr="000E03E5">
              <w:t>12</w:t>
            </w:r>
          </w:p>
        </w:tc>
      </w:tr>
      <w:tr w:rsidR="000E03E5" w:rsidRPr="000E03E5" w14:paraId="700505B1" w14:textId="77777777" w:rsidTr="000E03E5">
        <w:trPr>
          <w:trHeight w:val="288"/>
        </w:trPr>
        <w:tc>
          <w:tcPr>
            <w:tcW w:w="1470" w:type="dxa"/>
            <w:noWrap/>
            <w:hideMark/>
          </w:tcPr>
          <w:p w14:paraId="7574A346" w14:textId="77777777" w:rsidR="000E03E5" w:rsidRPr="000E03E5" w:rsidRDefault="000E03E5" w:rsidP="000E03E5"/>
        </w:tc>
        <w:tc>
          <w:tcPr>
            <w:tcW w:w="50" w:type="dxa"/>
            <w:noWrap/>
            <w:hideMark/>
          </w:tcPr>
          <w:p w14:paraId="16A8A161" w14:textId="77777777" w:rsidR="000E03E5" w:rsidRPr="000E03E5" w:rsidRDefault="000E03E5"/>
        </w:tc>
        <w:tc>
          <w:tcPr>
            <w:tcW w:w="2100" w:type="dxa"/>
            <w:noWrap/>
            <w:hideMark/>
          </w:tcPr>
          <w:p w14:paraId="5E43BDE9" w14:textId="77777777" w:rsidR="000E03E5" w:rsidRPr="000E03E5" w:rsidRDefault="000E03E5"/>
        </w:tc>
        <w:tc>
          <w:tcPr>
            <w:tcW w:w="1640" w:type="dxa"/>
            <w:noWrap/>
            <w:hideMark/>
          </w:tcPr>
          <w:p w14:paraId="67D96BE8" w14:textId="77777777" w:rsidR="000E03E5" w:rsidRPr="000E03E5" w:rsidRDefault="000E03E5"/>
        </w:tc>
        <w:tc>
          <w:tcPr>
            <w:tcW w:w="1400" w:type="dxa"/>
            <w:noWrap/>
            <w:hideMark/>
          </w:tcPr>
          <w:p w14:paraId="1B0DA270" w14:textId="77777777" w:rsidR="000E03E5" w:rsidRPr="000E03E5" w:rsidRDefault="000E03E5"/>
        </w:tc>
        <w:tc>
          <w:tcPr>
            <w:tcW w:w="340" w:type="dxa"/>
            <w:noWrap/>
            <w:hideMark/>
          </w:tcPr>
          <w:p w14:paraId="751D5F87" w14:textId="77777777" w:rsidR="000E03E5" w:rsidRPr="000E03E5" w:rsidRDefault="000E03E5"/>
        </w:tc>
        <w:tc>
          <w:tcPr>
            <w:tcW w:w="1120" w:type="dxa"/>
            <w:noWrap/>
            <w:hideMark/>
          </w:tcPr>
          <w:p w14:paraId="02E6AAC5" w14:textId="77777777" w:rsidR="000E03E5" w:rsidRPr="000E03E5" w:rsidRDefault="000E03E5"/>
        </w:tc>
        <w:tc>
          <w:tcPr>
            <w:tcW w:w="300" w:type="dxa"/>
            <w:noWrap/>
            <w:hideMark/>
          </w:tcPr>
          <w:p w14:paraId="6631EA42" w14:textId="77777777" w:rsidR="000E03E5" w:rsidRPr="000E03E5" w:rsidRDefault="000E03E5"/>
        </w:tc>
        <w:tc>
          <w:tcPr>
            <w:tcW w:w="1120" w:type="dxa"/>
            <w:noWrap/>
            <w:hideMark/>
          </w:tcPr>
          <w:p w14:paraId="23F4C3A4" w14:textId="77777777" w:rsidR="000E03E5" w:rsidRPr="000E03E5" w:rsidRDefault="000E03E5"/>
        </w:tc>
        <w:tc>
          <w:tcPr>
            <w:tcW w:w="1120" w:type="dxa"/>
            <w:noWrap/>
            <w:hideMark/>
          </w:tcPr>
          <w:p w14:paraId="00023702" w14:textId="77777777" w:rsidR="000E03E5" w:rsidRPr="000E03E5" w:rsidRDefault="000E03E5" w:rsidP="000E03E5"/>
        </w:tc>
      </w:tr>
      <w:tr w:rsidR="000E03E5" w:rsidRPr="000E03E5" w14:paraId="782AC6B5" w14:textId="77777777" w:rsidTr="000E03E5">
        <w:trPr>
          <w:trHeight w:val="288"/>
        </w:trPr>
        <w:tc>
          <w:tcPr>
            <w:tcW w:w="1470" w:type="dxa"/>
            <w:noWrap/>
            <w:hideMark/>
          </w:tcPr>
          <w:p w14:paraId="0BB83976" w14:textId="77777777" w:rsidR="000E03E5" w:rsidRPr="000E03E5" w:rsidRDefault="000E03E5">
            <w:r w:rsidRPr="000E03E5">
              <w:t>Dec. 2017</w:t>
            </w:r>
          </w:p>
        </w:tc>
        <w:tc>
          <w:tcPr>
            <w:tcW w:w="50" w:type="dxa"/>
            <w:noWrap/>
            <w:hideMark/>
          </w:tcPr>
          <w:p w14:paraId="35812355" w14:textId="77777777" w:rsidR="000E03E5" w:rsidRPr="000E03E5" w:rsidRDefault="000E03E5"/>
        </w:tc>
        <w:tc>
          <w:tcPr>
            <w:tcW w:w="2100" w:type="dxa"/>
            <w:noWrap/>
            <w:hideMark/>
          </w:tcPr>
          <w:p w14:paraId="363547F3" w14:textId="77777777" w:rsidR="000E03E5" w:rsidRPr="000E03E5" w:rsidRDefault="000E03E5">
            <w:r w:rsidRPr="000E03E5">
              <w:t>1.25% - 1.50%</w:t>
            </w:r>
          </w:p>
        </w:tc>
        <w:tc>
          <w:tcPr>
            <w:tcW w:w="1640" w:type="dxa"/>
            <w:noWrap/>
            <w:hideMark/>
          </w:tcPr>
          <w:p w14:paraId="3516077A" w14:textId="77777777" w:rsidR="000E03E5" w:rsidRPr="000E03E5" w:rsidRDefault="000E03E5" w:rsidP="000E03E5">
            <w:r w:rsidRPr="000E03E5">
              <w:t>2.00%</w:t>
            </w:r>
          </w:p>
        </w:tc>
        <w:tc>
          <w:tcPr>
            <w:tcW w:w="1400" w:type="dxa"/>
            <w:noWrap/>
            <w:hideMark/>
          </w:tcPr>
          <w:p w14:paraId="292990C3" w14:textId="77777777" w:rsidR="000E03E5" w:rsidRPr="000E03E5" w:rsidRDefault="000E03E5" w:rsidP="000E03E5">
            <w:r w:rsidRPr="000E03E5">
              <w:t>1.50%</w:t>
            </w:r>
          </w:p>
        </w:tc>
        <w:tc>
          <w:tcPr>
            <w:tcW w:w="340" w:type="dxa"/>
            <w:noWrap/>
            <w:hideMark/>
          </w:tcPr>
          <w:p w14:paraId="3AA36095" w14:textId="77777777" w:rsidR="000E03E5" w:rsidRPr="000E03E5" w:rsidRDefault="000E03E5" w:rsidP="000E03E5"/>
        </w:tc>
        <w:tc>
          <w:tcPr>
            <w:tcW w:w="1120" w:type="dxa"/>
            <w:noWrap/>
            <w:hideMark/>
          </w:tcPr>
          <w:p w14:paraId="28BD0281" w14:textId="77777777" w:rsidR="000E03E5" w:rsidRPr="000E03E5" w:rsidRDefault="000E03E5">
            <w:r w:rsidRPr="000E03E5">
              <w:t>Jan. 2018</w:t>
            </w:r>
          </w:p>
        </w:tc>
        <w:tc>
          <w:tcPr>
            <w:tcW w:w="300" w:type="dxa"/>
            <w:noWrap/>
            <w:hideMark/>
          </w:tcPr>
          <w:p w14:paraId="7615E88D" w14:textId="77777777" w:rsidR="000E03E5" w:rsidRPr="000E03E5" w:rsidRDefault="000E03E5"/>
        </w:tc>
        <w:tc>
          <w:tcPr>
            <w:tcW w:w="1120" w:type="dxa"/>
            <w:noWrap/>
            <w:hideMark/>
          </w:tcPr>
          <w:p w14:paraId="41875352" w14:textId="77777777" w:rsidR="000E03E5" w:rsidRPr="000E03E5" w:rsidRDefault="000E03E5" w:rsidP="000E03E5">
            <w:r w:rsidRPr="000E03E5">
              <w:t>12</w:t>
            </w:r>
          </w:p>
        </w:tc>
        <w:tc>
          <w:tcPr>
            <w:tcW w:w="1120" w:type="dxa"/>
            <w:noWrap/>
            <w:hideMark/>
          </w:tcPr>
          <w:p w14:paraId="7F94526B" w14:textId="77777777" w:rsidR="000E03E5" w:rsidRPr="000E03E5" w:rsidRDefault="000E03E5" w:rsidP="000E03E5">
            <w:r w:rsidRPr="000E03E5">
              <w:t>8</w:t>
            </w:r>
          </w:p>
        </w:tc>
      </w:tr>
      <w:tr w:rsidR="000E03E5" w:rsidRPr="000E03E5" w14:paraId="4ACE633C" w14:textId="77777777" w:rsidTr="000E03E5">
        <w:trPr>
          <w:trHeight w:val="288"/>
        </w:trPr>
        <w:tc>
          <w:tcPr>
            <w:tcW w:w="1470" w:type="dxa"/>
            <w:noWrap/>
            <w:hideMark/>
          </w:tcPr>
          <w:p w14:paraId="1C160711" w14:textId="77777777" w:rsidR="000E03E5" w:rsidRPr="000E03E5" w:rsidRDefault="000E03E5" w:rsidP="000E03E5"/>
        </w:tc>
        <w:tc>
          <w:tcPr>
            <w:tcW w:w="50" w:type="dxa"/>
            <w:noWrap/>
            <w:hideMark/>
          </w:tcPr>
          <w:p w14:paraId="1419CDA7" w14:textId="77777777" w:rsidR="000E03E5" w:rsidRPr="000E03E5" w:rsidRDefault="000E03E5"/>
        </w:tc>
        <w:tc>
          <w:tcPr>
            <w:tcW w:w="2100" w:type="dxa"/>
            <w:noWrap/>
            <w:hideMark/>
          </w:tcPr>
          <w:p w14:paraId="3CF3352B" w14:textId="77777777" w:rsidR="000E03E5" w:rsidRPr="000E03E5" w:rsidRDefault="000E03E5"/>
        </w:tc>
        <w:tc>
          <w:tcPr>
            <w:tcW w:w="1640" w:type="dxa"/>
            <w:noWrap/>
            <w:hideMark/>
          </w:tcPr>
          <w:p w14:paraId="594B809F" w14:textId="77777777" w:rsidR="000E03E5" w:rsidRPr="000E03E5" w:rsidRDefault="000E03E5"/>
        </w:tc>
        <w:tc>
          <w:tcPr>
            <w:tcW w:w="1400" w:type="dxa"/>
            <w:noWrap/>
            <w:hideMark/>
          </w:tcPr>
          <w:p w14:paraId="409230F9" w14:textId="77777777" w:rsidR="000E03E5" w:rsidRPr="000E03E5" w:rsidRDefault="000E03E5"/>
        </w:tc>
        <w:tc>
          <w:tcPr>
            <w:tcW w:w="340" w:type="dxa"/>
            <w:noWrap/>
            <w:hideMark/>
          </w:tcPr>
          <w:p w14:paraId="436D98CC" w14:textId="77777777" w:rsidR="000E03E5" w:rsidRPr="000E03E5" w:rsidRDefault="000E03E5"/>
        </w:tc>
        <w:tc>
          <w:tcPr>
            <w:tcW w:w="1120" w:type="dxa"/>
            <w:noWrap/>
            <w:hideMark/>
          </w:tcPr>
          <w:p w14:paraId="5E8BA9DE" w14:textId="77777777" w:rsidR="000E03E5" w:rsidRPr="000E03E5" w:rsidRDefault="000E03E5">
            <w:r w:rsidRPr="000E03E5">
              <w:t>Oct. 2017</w:t>
            </w:r>
          </w:p>
        </w:tc>
        <w:tc>
          <w:tcPr>
            <w:tcW w:w="300" w:type="dxa"/>
            <w:noWrap/>
            <w:hideMark/>
          </w:tcPr>
          <w:p w14:paraId="2F0088BC" w14:textId="77777777" w:rsidR="000E03E5" w:rsidRPr="000E03E5" w:rsidRDefault="000E03E5"/>
        </w:tc>
        <w:tc>
          <w:tcPr>
            <w:tcW w:w="1120" w:type="dxa"/>
            <w:noWrap/>
            <w:hideMark/>
          </w:tcPr>
          <w:p w14:paraId="428A5B08" w14:textId="77777777" w:rsidR="000E03E5" w:rsidRPr="000E03E5" w:rsidRDefault="000E03E5" w:rsidP="000E03E5">
            <w:r w:rsidRPr="000E03E5">
              <w:t>6</w:t>
            </w:r>
          </w:p>
        </w:tc>
        <w:tc>
          <w:tcPr>
            <w:tcW w:w="1120" w:type="dxa"/>
            <w:noWrap/>
            <w:hideMark/>
          </w:tcPr>
          <w:p w14:paraId="50D3075D" w14:textId="77777777" w:rsidR="000E03E5" w:rsidRPr="000E03E5" w:rsidRDefault="000E03E5" w:rsidP="000E03E5">
            <w:r w:rsidRPr="000E03E5">
              <w:t>4</w:t>
            </w:r>
          </w:p>
        </w:tc>
      </w:tr>
      <w:tr w:rsidR="000E03E5" w:rsidRPr="000E03E5" w14:paraId="0E537F38" w14:textId="77777777" w:rsidTr="000E03E5">
        <w:trPr>
          <w:trHeight w:val="288"/>
        </w:trPr>
        <w:tc>
          <w:tcPr>
            <w:tcW w:w="1470" w:type="dxa"/>
            <w:noWrap/>
            <w:hideMark/>
          </w:tcPr>
          <w:p w14:paraId="6AC1D693" w14:textId="77777777" w:rsidR="000E03E5" w:rsidRPr="000E03E5" w:rsidRDefault="000E03E5">
            <w:r w:rsidRPr="000E03E5">
              <w:t>June. 2017</w:t>
            </w:r>
          </w:p>
        </w:tc>
        <w:tc>
          <w:tcPr>
            <w:tcW w:w="50" w:type="dxa"/>
            <w:noWrap/>
            <w:hideMark/>
          </w:tcPr>
          <w:p w14:paraId="2951C72E" w14:textId="77777777" w:rsidR="000E03E5" w:rsidRPr="000E03E5" w:rsidRDefault="000E03E5"/>
        </w:tc>
        <w:tc>
          <w:tcPr>
            <w:tcW w:w="2100" w:type="dxa"/>
            <w:noWrap/>
            <w:hideMark/>
          </w:tcPr>
          <w:p w14:paraId="4152FA44" w14:textId="77777777" w:rsidR="000E03E5" w:rsidRPr="000E03E5" w:rsidRDefault="000E03E5">
            <w:r w:rsidRPr="000E03E5">
              <w:t>1.00% - 1.25%</w:t>
            </w:r>
          </w:p>
        </w:tc>
        <w:tc>
          <w:tcPr>
            <w:tcW w:w="1640" w:type="dxa"/>
            <w:noWrap/>
            <w:hideMark/>
          </w:tcPr>
          <w:p w14:paraId="2757D247" w14:textId="77777777" w:rsidR="000E03E5" w:rsidRPr="000E03E5" w:rsidRDefault="000E03E5" w:rsidP="000E03E5">
            <w:r w:rsidRPr="000E03E5">
              <w:t>1.75%</w:t>
            </w:r>
          </w:p>
        </w:tc>
        <w:tc>
          <w:tcPr>
            <w:tcW w:w="1400" w:type="dxa"/>
            <w:noWrap/>
            <w:hideMark/>
          </w:tcPr>
          <w:p w14:paraId="6F2AC3E2" w14:textId="77777777" w:rsidR="000E03E5" w:rsidRPr="000E03E5" w:rsidRDefault="000E03E5" w:rsidP="000E03E5">
            <w:r w:rsidRPr="000E03E5">
              <w:t>1.25%</w:t>
            </w:r>
          </w:p>
        </w:tc>
        <w:tc>
          <w:tcPr>
            <w:tcW w:w="340" w:type="dxa"/>
            <w:noWrap/>
            <w:hideMark/>
          </w:tcPr>
          <w:p w14:paraId="56A9A9FD" w14:textId="77777777" w:rsidR="000E03E5" w:rsidRPr="000E03E5" w:rsidRDefault="000E03E5" w:rsidP="000E03E5"/>
        </w:tc>
        <w:tc>
          <w:tcPr>
            <w:tcW w:w="1120" w:type="dxa"/>
            <w:noWrap/>
            <w:hideMark/>
          </w:tcPr>
          <w:p w14:paraId="45EB3689" w14:textId="77777777" w:rsidR="000E03E5" w:rsidRPr="000E03E5" w:rsidRDefault="000E03E5"/>
        </w:tc>
        <w:tc>
          <w:tcPr>
            <w:tcW w:w="300" w:type="dxa"/>
            <w:noWrap/>
            <w:hideMark/>
          </w:tcPr>
          <w:p w14:paraId="6B9807A0" w14:textId="77777777" w:rsidR="000E03E5" w:rsidRPr="000E03E5" w:rsidRDefault="000E03E5"/>
        </w:tc>
        <w:tc>
          <w:tcPr>
            <w:tcW w:w="1120" w:type="dxa"/>
            <w:noWrap/>
            <w:hideMark/>
          </w:tcPr>
          <w:p w14:paraId="42696782" w14:textId="77777777" w:rsidR="000E03E5" w:rsidRPr="000E03E5" w:rsidRDefault="000E03E5"/>
        </w:tc>
        <w:tc>
          <w:tcPr>
            <w:tcW w:w="1120" w:type="dxa"/>
            <w:noWrap/>
            <w:hideMark/>
          </w:tcPr>
          <w:p w14:paraId="60B4ACBB" w14:textId="77777777" w:rsidR="000E03E5" w:rsidRPr="000E03E5" w:rsidRDefault="000E03E5" w:rsidP="000E03E5"/>
        </w:tc>
      </w:tr>
      <w:tr w:rsidR="000E03E5" w:rsidRPr="000E03E5" w14:paraId="54A7E809" w14:textId="77777777" w:rsidTr="000E03E5">
        <w:trPr>
          <w:trHeight w:val="288"/>
        </w:trPr>
        <w:tc>
          <w:tcPr>
            <w:tcW w:w="1470" w:type="dxa"/>
            <w:noWrap/>
            <w:hideMark/>
          </w:tcPr>
          <w:p w14:paraId="34442F6E" w14:textId="77777777" w:rsidR="000E03E5" w:rsidRPr="000E03E5" w:rsidRDefault="000E03E5" w:rsidP="000E03E5"/>
        </w:tc>
        <w:tc>
          <w:tcPr>
            <w:tcW w:w="50" w:type="dxa"/>
            <w:noWrap/>
            <w:hideMark/>
          </w:tcPr>
          <w:p w14:paraId="36DC6F9F" w14:textId="77777777" w:rsidR="000E03E5" w:rsidRPr="000E03E5" w:rsidRDefault="000E03E5"/>
        </w:tc>
        <w:tc>
          <w:tcPr>
            <w:tcW w:w="2100" w:type="dxa"/>
            <w:noWrap/>
            <w:hideMark/>
          </w:tcPr>
          <w:p w14:paraId="41B2E660" w14:textId="77777777" w:rsidR="000E03E5" w:rsidRPr="000E03E5" w:rsidRDefault="000E03E5"/>
        </w:tc>
        <w:tc>
          <w:tcPr>
            <w:tcW w:w="1640" w:type="dxa"/>
            <w:noWrap/>
            <w:hideMark/>
          </w:tcPr>
          <w:p w14:paraId="073CD2E3" w14:textId="77777777" w:rsidR="000E03E5" w:rsidRPr="000E03E5" w:rsidRDefault="000E03E5"/>
        </w:tc>
        <w:tc>
          <w:tcPr>
            <w:tcW w:w="1400" w:type="dxa"/>
            <w:noWrap/>
            <w:hideMark/>
          </w:tcPr>
          <w:p w14:paraId="4372F20E" w14:textId="77777777" w:rsidR="000E03E5" w:rsidRPr="000E03E5" w:rsidRDefault="000E03E5"/>
        </w:tc>
        <w:tc>
          <w:tcPr>
            <w:tcW w:w="340" w:type="dxa"/>
            <w:noWrap/>
            <w:hideMark/>
          </w:tcPr>
          <w:p w14:paraId="2BBCE7A4" w14:textId="77777777" w:rsidR="000E03E5" w:rsidRPr="000E03E5" w:rsidRDefault="000E03E5"/>
        </w:tc>
        <w:tc>
          <w:tcPr>
            <w:tcW w:w="1120" w:type="dxa"/>
            <w:noWrap/>
            <w:hideMark/>
          </w:tcPr>
          <w:p w14:paraId="090F4F48" w14:textId="77777777" w:rsidR="000E03E5" w:rsidRPr="000E03E5" w:rsidRDefault="000E03E5"/>
        </w:tc>
        <w:tc>
          <w:tcPr>
            <w:tcW w:w="300" w:type="dxa"/>
            <w:noWrap/>
            <w:hideMark/>
          </w:tcPr>
          <w:p w14:paraId="2B612253" w14:textId="77777777" w:rsidR="000E03E5" w:rsidRPr="000E03E5" w:rsidRDefault="000E03E5"/>
        </w:tc>
        <w:tc>
          <w:tcPr>
            <w:tcW w:w="1120" w:type="dxa"/>
            <w:noWrap/>
            <w:hideMark/>
          </w:tcPr>
          <w:p w14:paraId="486E8139" w14:textId="77777777" w:rsidR="000E03E5" w:rsidRPr="000E03E5" w:rsidRDefault="000E03E5"/>
        </w:tc>
        <w:tc>
          <w:tcPr>
            <w:tcW w:w="1120" w:type="dxa"/>
            <w:noWrap/>
            <w:hideMark/>
          </w:tcPr>
          <w:p w14:paraId="526054F4" w14:textId="77777777" w:rsidR="000E03E5" w:rsidRPr="000E03E5" w:rsidRDefault="000E03E5" w:rsidP="000E03E5"/>
        </w:tc>
      </w:tr>
      <w:tr w:rsidR="000E03E5" w:rsidRPr="000E03E5" w14:paraId="5B414AFD" w14:textId="77777777" w:rsidTr="000E03E5">
        <w:trPr>
          <w:trHeight w:val="288"/>
        </w:trPr>
        <w:tc>
          <w:tcPr>
            <w:tcW w:w="1470" w:type="dxa"/>
            <w:noWrap/>
            <w:hideMark/>
          </w:tcPr>
          <w:p w14:paraId="487D817A" w14:textId="77777777" w:rsidR="000E03E5" w:rsidRPr="000E03E5" w:rsidRDefault="000E03E5">
            <w:r w:rsidRPr="000E03E5">
              <w:t>Mar. 2017</w:t>
            </w:r>
          </w:p>
        </w:tc>
        <w:tc>
          <w:tcPr>
            <w:tcW w:w="50" w:type="dxa"/>
            <w:noWrap/>
            <w:hideMark/>
          </w:tcPr>
          <w:p w14:paraId="11DD07DB" w14:textId="77777777" w:rsidR="000E03E5" w:rsidRPr="000E03E5" w:rsidRDefault="000E03E5"/>
        </w:tc>
        <w:tc>
          <w:tcPr>
            <w:tcW w:w="2100" w:type="dxa"/>
            <w:noWrap/>
            <w:hideMark/>
          </w:tcPr>
          <w:p w14:paraId="67830A90" w14:textId="77777777" w:rsidR="000E03E5" w:rsidRPr="000E03E5" w:rsidRDefault="000E03E5">
            <w:r w:rsidRPr="000E03E5">
              <w:t>0.75% - 1.00%</w:t>
            </w:r>
          </w:p>
        </w:tc>
        <w:tc>
          <w:tcPr>
            <w:tcW w:w="1640" w:type="dxa"/>
            <w:noWrap/>
            <w:hideMark/>
          </w:tcPr>
          <w:p w14:paraId="29392462" w14:textId="77777777" w:rsidR="000E03E5" w:rsidRPr="000E03E5" w:rsidRDefault="000E03E5" w:rsidP="000E03E5">
            <w:r w:rsidRPr="000E03E5">
              <w:t>1.50%</w:t>
            </w:r>
          </w:p>
        </w:tc>
        <w:tc>
          <w:tcPr>
            <w:tcW w:w="1400" w:type="dxa"/>
            <w:noWrap/>
            <w:hideMark/>
          </w:tcPr>
          <w:p w14:paraId="103596ED" w14:textId="77777777" w:rsidR="000E03E5" w:rsidRPr="000E03E5" w:rsidRDefault="000E03E5" w:rsidP="000E03E5">
            <w:r w:rsidRPr="000E03E5">
              <w:t>1.00%</w:t>
            </w:r>
          </w:p>
        </w:tc>
        <w:tc>
          <w:tcPr>
            <w:tcW w:w="340" w:type="dxa"/>
            <w:noWrap/>
            <w:hideMark/>
          </w:tcPr>
          <w:p w14:paraId="72EBB4F9" w14:textId="77777777" w:rsidR="000E03E5" w:rsidRPr="000E03E5" w:rsidRDefault="000E03E5" w:rsidP="000E03E5"/>
        </w:tc>
        <w:tc>
          <w:tcPr>
            <w:tcW w:w="1120" w:type="dxa"/>
            <w:noWrap/>
            <w:hideMark/>
          </w:tcPr>
          <w:p w14:paraId="578A9B1C" w14:textId="77777777" w:rsidR="000E03E5" w:rsidRPr="000E03E5" w:rsidRDefault="000E03E5"/>
        </w:tc>
        <w:tc>
          <w:tcPr>
            <w:tcW w:w="300" w:type="dxa"/>
            <w:noWrap/>
            <w:hideMark/>
          </w:tcPr>
          <w:p w14:paraId="7B6D5550" w14:textId="77777777" w:rsidR="000E03E5" w:rsidRPr="000E03E5" w:rsidRDefault="000E03E5"/>
        </w:tc>
        <w:tc>
          <w:tcPr>
            <w:tcW w:w="1120" w:type="dxa"/>
            <w:noWrap/>
            <w:hideMark/>
          </w:tcPr>
          <w:p w14:paraId="2C6EDD98" w14:textId="77777777" w:rsidR="000E03E5" w:rsidRPr="000E03E5" w:rsidRDefault="000E03E5"/>
        </w:tc>
        <w:tc>
          <w:tcPr>
            <w:tcW w:w="1120" w:type="dxa"/>
            <w:noWrap/>
            <w:hideMark/>
          </w:tcPr>
          <w:p w14:paraId="3437C9B1" w14:textId="77777777" w:rsidR="000E03E5" w:rsidRPr="000E03E5" w:rsidRDefault="000E03E5" w:rsidP="000E03E5"/>
        </w:tc>
      </w:tr>
      <w:tr w:rsidR="000E03E5" w:rsidRPr="000E03E5" w14:paraId="4D7D04BC" w14:textId="77777777" w:rsidTr="000E03E5">
        <w:trPr>
          <w:trHeight w:val="288"/>
        </w:trPr>
        <w:tc>
          <w:tcPr>
            <w:tcW w:w="1470" w:type="dxa"/>
            <w:noWrap/>
            <w:hideMark/>
          </w:tcPr>
          <w:p w14:paraId="72E6B4E2" w14:textId="77777777" w:rsidR="000E03E5" w:rsidRPr="000E03E5" w:rsidRDefault="000E03E5" w:rsidP="000E03E5"/>
        </w:tc>
        <w:tc>
          <w:tcPr>
            <w:tcW w:w="50" w:type="dxa"/>
            <w:noWrap/>
            <w:hideMark/>
          </w:tcPr>
          <w:p w14:paraId="17B62E4D" w14:textId="77777777" w:rsidR="000E03E5" w:rsidRPr="000E03E5" w:rsidRDefault="000E03E5"/>
        </w:tc>
        <w:tc>
          <w:tcPr>
            <w:tcW w:w="2100" w:type="dxa"/>
            <w:noWrap/>
            <w:hideMark/>
          </w:tcPr>
          <w:p w14:paraId="431AFE8A" w14:textId="77777777" w:rsidR="000E03E5" w:rsidRPr="000E03E5" w:rsidRDefault="000E03E5"/>
        </w:tc>
        <w:tc>
          <w:tcPr>
            <w:tcW w:w="1640" w:type="dxa"/>
            <w:noWrap/>
            <w:hideMark/>
          </w:tcPr>
          <w:p w14:paraId="7DA3C14E" w14:textId="77777777" w:rsidR="000E03E5" w:rsidRPr="000E03E5" w:rsidRDefault="000E03E5"/>
        </w:tc>
        <w:tc>
          <w:tcPr>
            <w:tcW w:w="1400" w:type="dxa"/>
            <w:noWrap/>
            <w:hideMark/>
          </w:tcPr>
          <w:p w14:paraId="0E3BD0FD" w14:textId="77777777" w:rsidR="000E03E5" w:rsidRPr="000E03E5" w:rsidRDefault="000E03E5"/>
        </w:tc>
        <w:tc>
          <w:tcPr>
            <w:tcW w:w="340" w:type="dxa"/>
            <w:noWrap/>
            <w:hideMark/>
          </w:tcPr>
          <w:p w14:paraId="27CD32EF" w14:textId="77777777" w:rsidR="000E03E5" w:rsidRPr="000E03E5" w:rsidRDefault="000E03E5"/>
        </w:tc>
        <w:tc>
          <w:tcPr>
            <w:tcW w:w="1120" w:type="dxa"/>
            <w:noWrap/>
            <w:hideMark/>
          </w:tcPr>
          <w:p w14:paraId="0627B712" w14:textId="77777777" w:rsidR="000E03E5" w:rsidRPr="000E03E5" w:rsidRDefault="000E03E5"/>
        </w:tc>
        <w:tc>
          <w:tcPr>
            <w:tcW w:w="300" w:type="dxa"/>
            <w:noWrap/>
            <w:hideMark/>
          </w:tcPr>
          <w:p w14:paraId="3CA6E284" w14:textId="77777777" w:rsidR="000E03E5" w:rsidRPr="000E03E5" w:rsidRDefault="000E03E5"/>
        </w:tc>
        <w:tc>
          <w:tcPr>
            <w:tcW w:w="1120" w:type="dxa"/>
            <w:noWrap/>
            <w:hideMark/>
          </w:tcPr>
          <w:p w14:paraId="694CA589" w14:textId="77777777" w:rsidR="000E03E5" w:rsidRPr="000E03E5" w:rsidRDefault="000E03E5"/>
        </w:tc>
        <w:tc>
          <w:tcPr>
            <w:tcW w:w="1120" w:type="dxa"/>
            <w:noWrap/>
            <w:hideMark/>
          </w:tcPr>
          <w:p w14:paraId="3C7772D4" w14:textId="77777777" w:rsidR="000E03E5" w:rsidRPr="000E03E5" w:rsidRDefault="000E03E5" w:rsidP="000E03E5"/>
        </w:tc>
      </w:tr>
      <w:tr w:rsidR="000E03E5" w:rsidRPr="000E03E5" w14:paraId="4CCDA082" w14:textId="77777777" w:rsidTr="000E03E5">
        <w:trPr>
          <w:trHeight w:val="288"/>
        </w:trPr>
        <w:tc>
          <w:tcPr>
            <w:tcW w:w="1470" w:type="dxa"/>
            <w:noWrap/>
            <w:hideMark/>
          </w:tcPr>
          <w:p w14:paraId="502B7258" w14:textId="77777777" w:rsidR="000E03E5" w:rsidRPr="000E03E5" w:rsidRDefault="000E03E5">
            <w:r w:rsidRPr="000E03E5">
              <w:t>Dec. 2016</w:t>
            </w:r>
          </w:p>
        </w:tc>
        <w:tc>
          <w:tcPr>
            <w:tcW w:w="50" w:type="dxa"/>
            <w:noWrap/>
            <w:hideMark/>
          </w:tcPr>
          <w:p w14:paraId="2DCE6FD7" w14:textId="77777777" w:rsidR="000E03E5" w:rsidRPr="000E03E5" w:rsidRDefault="000E03E5"/>
        </w:tc>
        <w:tc>
          <w:tcPr>
            <w:tcW w:w="2100" w:type="dxa"/>
            <w:noWrap/>
            <w:hideMark/>
          </w:tcPr>
          <w:p w14:paraId="63A544B9" w14:textId="77777777" w:rsidR="000E03E5" w:rsidRPr="000E03E5" w:rsidRDefault="000E03E5">
            <w:r w:rsidRPr="000E03E5">
              <w:t>0.50% - 0.75%</w:t>
            </w:r>
          </w:p>
        </w:tc>
        <w:tc>
          <w:tcPr>
            <w:tcW w:w="1640" w:type="dxa"/>
            <w:noWrap/>
            <w:hideMark/>
          </w:tcPr>
          <w:p w14:paraId="564A6132" w14:textId="77777777" w:rsidR="000E03E5" w:rsidRPr="000E03E5" w:rsidRDefault="000E03E5" w:rsidP="000E03E5">
            <w:r w:rsidRPr="000E03E5">
              <w:t>1.25%</w:t>
            </w:r>
          </w:p>
        </w:tc>
        <w:tc>
          <w:tcPr>
            <w:tcW w:w="1400" w:type="dxa"/>
            <w:noWrap/>
            <w:hideMark/>
          </w:tcPr>
          <w:p w14:paraId="7E7F9BE5" w14:textId="77777777" w:rsidR="000E03E5" w:rsidRPr="000E03E5" w:rsidRDefault="000E03E5" w:rsidP="000E03E5">
            <w:r w:rsidRPr="000E03E5">
              <w:t>0.75%</w:t>
            </w:r>
          </w:p>
        </w:tc>
        <w:tc>
          <w:tcPr>
            <w:tcW w:w="340" w:type="dxa"/>
            <w:noWrap/>
            <w:hideMark/>
          </w:tcPr>
          <w:p w14:paraId="008C8D24" w14:textId="77777777" w:rsidR="000E03E5" w:rsidRPr="000E03E5" w:rsidRDefault="000E03E5" w:rsidP="000E03E5"/>
        </w:tc>
        <w:tc>
          <w:tcPr>
            <w:tcW w:w="1120" w:type="dxa"/>
            <w:noWrap/>
            <w:hideMark/>
          </w:tcPr>
          <w:p w14:paraId="2B0F55C0" w14:textId="77777777" w:rsidR="000E03E5" w:rsidRPr="000E03E5" w:rsidRDefault="000E03E5"/>
        </w:tc>
        <w:tc>
          <w:tcPr>
            <w:tcW w:w="300" w:type="dxa"/>
            <w:noWrap/>
            <w:hideMark/>
          </w:tcPr>
          <w:p w14:paraId="06597F05" w14:textId="77777777" w:rsidR="000E03E5" w:rsidRPr="000E03E5" w:rsidRDefault="000E03E5"/>
        </w:tc>
        <w:tc>
          <w:tcPr>
            <w:tcW w:w="1120" w:type="dxa"/>
            <w:noWrap/>
            <w:hideMark/>
          </w:tcPr>
          <w:p w14:paraId="326AA0BF" w14:textId="77777777" w:rsidR="000E03E5" w:rsidRPr="000E03E5" w:rsidRDefault="000E03E5"/>
        </w:tc>
        <w:tc>
          <w:tcPr>
            <w:tcW w:w="1120" w:type="dxa"/>
            <w:noWrap/>
            <w:hideMark/>
          </w:tcPr>
          <w:p w14:paraId="3FA58AE1" w14:textId="77777777" w:rsidR="000E03E5" w:rsidRPr="000E03E5" w:rsidRDefault="000E03E5" w:rsidP="000E03E5"/>
        </w:tc>
      </w:tr>
      <w:tr w:rsidR="000E03E5" w:rsidRPr="000E03E5" w14:paraId="46D3A2E4" w14:textId="77777777" w:rsidTr="000E03E5">
        <w:trPr>
          <w:trHeight w:val="288"/>
        </w:trPr>
        <w:tc>
          <w:tcPr>
            <w:tcW w:w="1470" w:type="dxa"/>
            <w:noWrap/>
            <w:hideMark/>
          </w:tcPr>
          <w:p w14:paraId="07937764" w14:textId="77777777" w:rsidR="000E03E5" w:rsidRPr="000E03E5" w:rsidRDefault="000E03E5" w:rsidP="000E03E5"/>
        </w:tc>
        <w:tc>
          <w:tcPr>
            <w:tcW w:w="50" w:type="dxa"/>
            <w:noWrap/>
            <w:hideMark/>
          </w:tcPr>
          <w:p w14:paraId="3F57FAD7" w14:textId="77777777" w:rsidR="000E03E5" w:rsidRPr="000E03E5" w:rsidRDefault="000E03E5"/>
        </w:tc>
        <w:tc>
          <w:tcPr>
            <w:tcW w:w="2100" w:type="dxa"/>
            <w:noWrap/>
            <w:hideMark/>
          </w:tcPr>
          <w:p w14:paraId="2D3ED6D5" w14:textId="77777777" w:rsidR="000E03E5" w:rsidRPr="000E03E5" w:rsidRDefault="000E03E5"/>
        </w:tc>
        <w:tc>
          <w:tcPr>
            <w:tcW w:w="1640" w:type="dxa"/>
            <w:noWrap/>
            <w:hideMark/>
          </w:tcPr>
          <w:p w14:paraId="5EC48337" w14:textId="77777777" w:rsidR="000E03E5" w:rsidRPr="000E03E5" w:rsidRDefault="000E03E5"/>
        </w:tc>
        <w:tc>
          <w:tcPr>
            <w:tcW w:w="1400" w:type="dxa"/>
            <w:noWrap/>
            <w:hideMark/>
          </w:tcPr>
          <w:p w14:paraId="33EACD04" w14:textId="77777777" w:rsidR="000E03E5" w:rsidRPr="000E03E5" w:rsidRDefault="000E03E5"/>
        </w:tc>
        <w:tc>
          <w:tcPr>
            <w:tcW w:w="340" w:type="dxa"/>
            <w:noWrap/>
            <w:hideMark/>
          </w:tcPr>
          <w:p w14:paraId="51C7EBD8" w14:textId="77777777" w:rsidR="000E03E5" w:rsidRPr="000E03E5" w:rsidRDefault="000E03E5"/>
        </w:tc>
        <w:tc>
          <w:tcPr>
            <w:tcW w:w="1120" w:type="dxa"/>
            <w:noWrap/>
            <w:hideMark/>
          </w:tcPr>
          <w:p w14:paraId="7DAF8BB1" w14:textId="77777777" w:rsidR="000E03E5" w:rsidRPr="000E03E5" w:rsidRDefault="000E03E5"/>
        </w:tc>
        <w:tc>
          <w:tcPr>
            <w:tcW w:w="300" w:type="dxa"/>
            <w:noWrap/>
            <w:hideMark/>
          </w:tcPr>
          <w:p w14:paraId="528EF76A" w14:textId="77777777" w:rsidR="000E03E5" w:rsidRPr="000E03E5" w:rsidRDefault="000E03E5"/>
        </w:tc>
        <w:tc>
          <w:tcPr>
            <w:tcW w:w="1120" w:type="dxa"/>
            <w:noWrap/>
            <w:hideMark/>
          </w:tcPr>
          <w:p w14:paraId="51B68FEC" w14:textId="77777777" w:rsidR="000E03E5" w:rsidRPr="000E03E5" w:rsidRDefault="000E03E5"/>
        </w:tc>
        <w:tc>
          <w:tcPr>
            <w:tcW w:w="1120" w:type="dxa"/>
            <w:noWrap/>
            <w:hideMark/>
          </w:tcPr>
          <w:p w14:paraId="63BC3895" w14:textId="77777777" w:rsidR="000E03E5" w:rsidRPr="000E03E5" w:rsidRDefault="000E03E5" w:rsidP="000E03E5"/>
        </w:tc>
      </w:tr>
      <w:tr w:rsidR="000E03E5" w:rsidRPr="000E03E5" w14:paraId="2E38F4D1" w14:textId="77777777" w:rsidTr="000E03E5">
        <w:trPr>
          <w:trHeight w:val="288"/>
        </w:trPr>
        <w:tc>
          <w:tcPr>
            <w:tcW w:w="1470" w:type="dxa"/>
            <w:noWrap/>
            <w:hideMark/>
          </w:tcPr>
          <w:p w14:paraId="401CDAD9" w14:textId="77777777" w:rsidR="000E03E5" w:rsidRPr="000E03E5" w:rsidRDefault="000E03E5">
            <w:r w:rsidRPr="000E03E5">
              <w:t>Dec. 2015</w:t>
            </w:r>
          </w:p>
        </w:tc>
        <w:tc>
          <w:tcPr>
            <w:tcW w:w="50" w:type="dxa"/>
            <w:noWrap/>
            <w:hideMark/>
          </w:tcPr>
          <w:p w14:paraId="2E047E64" w14:textId="77777777" w:rsidR="000E03E5" w:rsidRPr="000E03E5" w:rsidRDefault="000E03E5"/>
        </w:tc>
        <w:tc>
          <w:tcPr>
            <w:tcW w:w="2100" w:type="dxa"/>
            <w:noWrap/>
            <w:hideMark/>
          </w:tcPr>
          <w:p w14:paraId="7D7187B5" w14:textId="77777777" w:rsidR="000E03E5" w:rsidRPr="000E03E5" w:rsidRDefault="000E03E5">
            <w:r w:rsidRPr="000E03E5">
              <w:t>0.25% - 0.50%</w:t>
            </w:r>
          </w:p>
        </w:tc>
        <w:tc>
          <w:tcPr>
            <w:tcW w:w="1640" w:type="dxa"/>
            <w:noWrap/>
            <w:hideMark/>
          </w:tcPr>
          <w:p w14:paraId="0770329A" w14:textId="77777777" w:rsidR="000E03E5" w:rsidRPr="000E03E5" w:rsidRDefault="000E03E5" w:rsidP="000E03E5">
            <w:r w:rsidRPr="000E03E5">
              <w:t>1.00%</w:t>
            </w:r>
          </w:p>
        </w:tc>
        <w:tc>
          <w:tcPr>
            <w:tcW w:w="1400" w:type="dxa"/>
            <w:noWrap/>
            <w:hideMark/>
          </w:tcPr>
          <w:p w14:paraId="7651FD8E" w14:textId="77777777" w:rsidR="000E03E5" w:rsidRPr="000E03E5" w:rsidRDefault="000E03E5" w:rsidP="000E03E5">
            <w:r w:rsidRPr="000E03E5">
              <w:t>0.50%</w:t>
            </w:r>
          </w:p>
        </w:tc>
        <w:tc>
          <w:tcPr>
            <w:tcW w:w="340" w:type="dxa"/>
            <w:noWrap/>
            <w:hideMark/>
          </w:tcPr>
          <w:p w14:paraId="427938F5" w14:textId="77777777" w:rsidR="000E03E5" w:rsidRPr="000E03E5" w:rsidRDefault="000E03E5" w:rsidP="000E03E5"/>
        </w:tc>
        <w:tc>
          <w:tcPr>
            <w:tcW w:w="1120" w:type="dxa"/>
            <w:noWrap/>
            <w:hideMark/>
          </w:tcPr>
          <w:p w14:paraId="3F8AD8F5" w14:textId="77777777" w:rsidR="000E03E5" w:rsidRPr="000E03E5" w:rsidRDefault="000E03E5"/>
        </w:tc>
        <w:tc>
          <w:tcPr>
            <w:tcW w:w="300" w:type="dxa"/>
            <w:noWrap/>
            <w:hideMark/>
          </w:tcPr>
          <w:p w14:paraId="4CB2138F" w14:textId="77777777" w:rsidR="000E03E5" w:rsidRPr="000E03E5" w:rsidRDefault="000E03E5"/>
        </w:tc>
        <w:tc>
          <w:tcPr>
            <w:tcW w:w="1120" w:type="dxa"/>
            <w:noWrap/>
            <w:hideMark/>
          </w:tcPr>
          <w:p w14:paraId="66A525A5" w14:textId="77777777" w:rsidR="000E03E5" w:rsidRPr="000E03E5" w:rsidRDefault="000E03E5"/>
        </w:tc>
        <w:tc>
          <w:tcPr>
            <w:tcW w:w="1120" w:type="dxa"/>
            <w:noWrap/>
            <w:hideMark/>
          </w:tcPr>
          <w:p w14:paraId="68A21CD5" w14:textId="77777777" w:rsidR="000E03E5" w:rsidRPr="000E03E5" w:rsidRDefault="000E03E5" w:rsidP="000E03E5"/>
        </w:tc>
      </w:tr>
      <w:tr w:rsidR="000E03E5" w:rsidRPr="000E03E5" w14:paraId="4B0497AC" w14:textId="77777777" w:rsidTr="000E03E5">
        <w:trPr>
          <w:trHeight w:val="288"/>
        </w:trPr>
        <w:tc>
          <w:tcPr>
            <w:tcW w:w="1470" w:type="dxa"/>
            <w:noWrap/>
            <w:hideMark/>
          </w:tcPr>
          <w:p w14:paraId="5A14BCCF" w14:textId="77777777" w:rsidR="000E03E5" w:rsidRPr="000E03E5" w:rsidRDefault="000E03E5" w:rsidP="000E03E5"/>
        </w:tc>
        <w:tc>
          <w:tcPr>
            <w:tcW w:w="50" w:type="dxa"/>
            <w:noWrap/>
            <w:hideMark/>
          </w:tcPr>
          <w:p w14:paraId="689C2498" w14:textId="77777777" w:rsidR="000E03E5" w:rsidRPr="000E03E5" w:rsidRDefault="000E03E5"/>
        </w:tc>
        <w:tc>
          <w:tcPr>
            <w:tcW w:w="2100" w:type="dxa"/>
            <w:noWrap/>
            <w:hideMark/>
          </w:tcPr>
          <w:p w14:paraId="4934BB6D" w14:textId="77777777" w:rsidR="000E03E5" w:rsidRPr="000E03E5" w:rsidRDefault="000E03E5"/>
        </w:tc>
        <w:tc>
          <w:tcPr>
            <w:tcW w:w="1640" w:type="dxa"/>
            <w:noWrap/>
            <w:hideMark/>
          </w:tcPr>
          <w:p w14:paraId="07072722" w14:textId="77777777" w:rsidR="000E03E5" w:rsidRPr="000E03E5" w:rsidRDefault="000E03E5"/>
        </w:tc>
        <w:tc>
          <w:tcPr>
            <w:tcW w:w="1400" w:type="dxa"/>
            <w:noWrap/>
            <w:hideMark/>
          </w:tcPr>
          <w:p w14:paraId="3874F15C" w14:textId="77777777" w:rsidR="000E03E5" w:rsidRPr="000E03E5" w:rsidRDefault="000E03E5"/>
        </w:tc>
        <w:tc>
          <w:tcPr>
            <w:tcW w:w="340" w:type="dxa"/>
            <w:noWrap/>
            <w:hideMark/>
          </w:tcPr>
          <w:p w14:paraId="795C1E20" w14:textId="77777777" w:rsidR="000E03E5" w:rsidRPr="000E03E5" w:rsidRDefault="000E03E5"/>
        </w:tc>
        <w:tc>
          <w:tcPr>
            <w:tcW w:w="1120" w:type="dxa"/>
            <w:noWrap/>
            <w:hideMark/>
          </w:tcPr>
          <w:p w14:paraId="5DFCAB4F" w14:textId="77777777" w:rsidR="000E03E5" w:rsidRPr="000E03E5" w:rsidRDefault="000E03E5"/>
        </w:tc>
        <w:tc>
          <w:tcPr>
            <w:tcW w:w="300" w:type="dxa"/>
            <w:noWrap/>
            <w:hideMark/>
          </w:tcPr>
          <w:p w14:paraId="4144CEF0" w14:textId="77777777" w:rsidR="000E03E5" w:rsidRPr="000E03E5" w:rsidRDefault="000E03E5"/>
        </w:tc>
        <w:tc>
          <w:tcPr>
            <w:tcW w:w="1120" w:type="dxa"/>
            <w:noWrap/>
            <w:hideMark/>
          </w:tcPr>
          <w:p w14:paraId="07C3B3D8" w14:textId="77777777" w:rsidR="000E03E5" w:rsidRPr="000E03E5" w:rsidRDefault="000E03E5"/>
        </w:tc>
        <w:tc>
          <w:tcPr>
            <w:tcW w:w="1120" w:type="dxa"/>
            <w:noWrap/>
            <w:hideMark/>
          </w:tcPr>
          <w:p w14:paraId="79D71319" w14:textId="77777777" w:rsidR="000E03E5" w:rsidRPr="000E03E5" w:rsidRDefault="000E03E5" w:rsidP="000E03E5"/>
        </w:tc>
      </w:tr>
      <w:tr w:rsidR="000E03E5" w:rsidRPr="000E03E5" w14:paraId="257C48F1" w14:textId="77777777" w:rsidTr="000E03E5">
        <w:trPr>
          <w:trHeight w:val="288"/>
        </w:trPr>
        <w:tc>
          <w:tcPr>
            <w:tcW w:w="1470" w:type="dxa"/>
            <w:noWrap/>
            <w:hideMark/>
          </w:tcPr>
          <w:p w14:paraId="0A3B896A" w14:textId="77777777" w:rsidR="000E03E5" w:rsidRPr="000E03E5" w:rsidRDefault="000E03E5">
            <w:r w:rsidRPr="000E03E5">
              <w:t>Dec. 2008</w:t>
            </w:r>
          </w:p>
        </w:tc>
        <w:tc>
          <w:tcPr>
            <w:tcW w:w="50" w:type="dxa"/>
            <w:noWrap/>
            <w:hideMark/>
          </w:tcPr>
          <w:p w14:paraId="29135883" w14:textId="77777777" w:rsidR="000E03E5" w:rsidRPr="000E03E5" w:rsidRDefault="000E03E5"/>
        </w:tc>
        <w:tc>
          <w:tcPr>
            <w:tcW w:w="2100" w:type="dxa"/>
            <w:noWrap/>
            <w:hideMark/>
          </w:tcPr>
          <w:p w14:paraId="66376B7C" w14:textId="77777777" w:rsidR="000E03E5" w:rsidRPr="000E03E5" w:rsidRDefault="000E03E5">
            <w:r w:rsidRPr="000E03E5">
              <w:t>0.00% - 0.25%</w:t>
            </w:r>
          </w:p>
        </w:tc>
        <w:tc>
          <w:tcPr>
            <w:tcW w:w="1640" w:type="dxa"/>
            <w:noWrap/>
            <w:hideMark/>
          </w:tcPr>
          <w:p w14:paraId="77236257" w14:textId="77777777" w:rsidR="000E03E5" w:rsidRPr="000E03E5" w:rsidRDefault="000E03E5" w:rsidP="000E03E5">
            <w:r w:rsidRPr="000E03E5">
              <w:t>0.50%</w:t>
            </w:r>
          </w:p>
        </w:tc>
        <w:tc>
          <w:tcPr>
            <w:tcW w:w="1400" w:type="dxa"/>
            <w:noWrap/>
            <w:hideMark/>
          </w:tcPr>
          <w:p w14:paraId="23808BD5" w14:textId="77777777" w:rsidR="000E03E5" w:rsidRPr="000E03E5" w:rsidRDefault="000E03E5" w:rsidP="000E03E5">
            <w:r w:rsidRPr="000E03E5">
              <w:t>0.25%</w:t>
            </w:r>
          </w:p>
        </w:tc>
        <w:tc>
          <w:tcPr>
            <w:tcW w:w="340" w:type="dxa"/>
            <w:noWrap/>
            <w:hideMark/>
          </w:tcPr>
          <w:p w14:paraId="15813755" w14:textId="77777777" w:rsidR="000E03E5" w:rsidRPr="000E03E5" w:rsidRDefault="000E03E5" w:rsidP="000E03E5"/>
        </w:tc>
        <w:tc>
          <w:tcPr>
            <w:tcW w:w="1120" w:type="dxa"/>
            <w:noWrap/>
            <w:hideMark/>
          </w:tcPr>
          <w:p w14:paraId="19348043" w14:textId="77777777" w:rsidR="000E03E5" w:rsidRPr="000E03E5" w:rsidRDefault="000E03E5"/>
        </w:tc>
        <w:tc>
          <w:tcPr>
            <w:tcW w:w="300" w:type="dxa"/>
            <w:noWrap/>
            <w:hideMark/>
          </w:tcPr>
          <w:p w14:paraId="0E294FA7" w14:textId="77777777" w:rsidR="000E03E5" w:rsidRPr="000E03E5" w:rsidRDefault="000E03E5"/>
        </w:tc>
        <w:tc>
          <w:tcPr>
            <w:tcW w:w="1120" w:type="dxa"/>
            <w:noWrap/>
            <w:hideMark/>
          </w:tcPr>
          <w:p w14:paraId="61E16DD1" w14:textId="77777777" w:rsidR="000E03E5" w:rsidRPr="000E03E5" w:rsidRDefault="000E03E5"/>
        </w:tc>
        <w:tc>
          <w:tcPr>
            <w:tcW w:w="1120" w:type="dxa"/>
            <w:noWrap/>
            <w:hideMark/>
          </w:tcPr>
          <w:p w14:paraId="203ED4F4" w14:textId="77777777" w:rsidR="000E03E5" w:rsidRPr="000E03E5" w:rsidRDefault="000E03E5" w:rsidP="000E03E5"/>
        </w:tc>
      </w:tr>
    </w:tbl>
    <w:p w14:paraId="2C071726" w14:textId="77777777" w:rsidR="000E03E5" w:rsidRDefault="000E03E5">
      <w:r>
        <w:fldChar w:fldCharType="end"/>
      </w:r>
    </w:p>
    <w:p w14:paraId="270FDF3A" w14:textId="77777777" w:rsidR="000E03E5" w:rsidRDefault="000E03E5"/>
    <w:p w14:paraId="26F3866B" w14:textId="77777777" w:rsidR="000E03E5" w:rsidRDefault="000E03E5"/>
    <w:sectPr w:rsidR="000E03E5" w:rsidSect="004869BC">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E63CF"/>
    <w:multiLevelType w:val="multilevel"/>
    <w:tmpl w:val="93D8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D468C"/>
    <w:multiLevelType w:val="hybridMultilevel"/>
    <w:tmpl w:val="468CD366"/>
    <w:lvl w:ilvl="0" w:tplc="F1828FC6">
      <w:numFmt w:val="bullet"/>
      <w:lvlText w:val="-"/>
      <w:lvlJc w:val="left"/>
      <w:pPr>
        <w:ind w:left="510" w:hanging="360"/>
      </w:pPr>
      <w:rPr>
        <w:rFonts w:ascii="Calibri" w:eastAsia="Times New Roman"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C5D"/>
    <w:rsid w:val="00034237"/>
    <w:rsid w:val="000E03E5"/>
    <w:rsid w:val="000F77CB"/>
    <w:rsid w:val="00236385"/>
    <w:rsid w:val="00253012"/>
    <w:rsid w:val="00354060"/>
    <w:rsid w:val="0037133F"/>
    <w:rsid w:val="00410869"/>
    <w:rsid w:val="004869BC"/>
    <w:rsid w:val="004C27E5"/>
    <w:rsid w:val="00600F00"/>
    <w:rsid w:val="006411CD"/>
    <w:rsid w:val="00656572"/>
    <w:rsid w:val="0071375B"/>
    <w:rsid w:val="007D7C71"/>
    <w:rsid w:val="00853FB9"/>
    <w:rsid w:val="009309C7"/>
    <w:rsid w:val="009A15DC"/>
    <w:rsid w:val="009B7B00"/>
    <w:rsid w:val="009C5107"/>
    <w:rsid w:val="00AB40E8"/>
    <w:rsid w:val="00C17F9D"/>
    <w:rsid w:val="00C93C5D"/>
    <w:rsid w:val="00DC50EB"/>
    <w:rsid w:val="00E358ED"/>
    <w:rsid w:val="00F01319"/>
    <w:rsid w:val="00F256F9"/>
    <w:rsid w:val="00F622E5"/>
    <w:rsid w:val="00FD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B4DF"/>
  <w15:chartTrackingRefBased/>
  <w15:docId w15:val="{CA0E79D3-B2DB-46AC-9F39-725AB072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B9"/>
    <w:rPr>
      <w:rFonts w:ascii="Segoe UI" w:hAnsi="Segoe UI" w:cs="Segoe UI"/>
      <w:sz w:val="18"/>
      <w:szCs w:val="18"/>
    </w:rPr>
  </w:style>
  <w:style w:type="paragraph" w:styleId="ListParagraph">
    <w:name w:val="List Paragraph"/>
    <w:basedOn w:val="Normal"/>
    <w:uiPriority w:val="34"/>
    <w:qFormat/>
    <w:rsid w:val="0071375B"/>
    <w:pPr>
      <w:ind w:left="720"/>
      <w:contextualSpacing/>
    </w:pPr>
  </w:style>
  <w:style w:type="character" w:styleId="CommentReference">
    <w:name w:val="annotation reference"/>
    <w:basedOn w:val="DefaultParagraphFont"/>
    <w:uiPriority w:val="99"/>
    <w:semiHidden/>
    <w:unhideWhenUsed/>
    <w:rsid w:val="0071375B"/>
    <w:rPr>
      <w:sz w:val="16"/>
      <w:szCs w:val="16"/>
    </w:rPr>
  </w:style>
  <w:style w:type="paragraph" w:styleId="CommentText">
    <w:name w:val="annotation text"/>
    <w:basedOn w:val="Normal"/>
    <w:link w:val="CommentTextChar"/>
    <w:uiPriority w:val="99"/>
    <w:semiHidden/>
    <w:unhideWhenUsed/>
    <w:rsid w:val="0071375B"/>
    <w:pPr>
      <w:spacing w:line="240" w:lineRule="auto"/>
    </w:pPr>
    <w:rPr>
      <w:sz w:val="20"/>
      <w:szCs w:val="20"/>
    </w:rPr>
  </w:style>
  <w:style w:type="character" w:customStyle="1" w:styleId="CommentTextChar">
    <w:name w:val="Comment Text Char"/>
    <w:basedOn w:val="DefaultParagraphFont"/>
    <w:link w:val="CommentText"/>
    <w:uiPriority w:val="99"/>
    <w:semiHidden/>
    <w:rsid w:val="0071375B"/>
    <w:rPr>
      <w:sz w:val="20"/>
      <w:szCs w:val="20"/>
    </w:rPr>
  </w:style>
  <w:style w:type="paragraph" w:styleId="CommentSubject">
    <w:name w:val="annotation subject"/>
    <w:basedOn w:val="CommentText"/>
    <w:next w:val="CommentText"/>
    <w:link w:val="CommentSubjectChar"/>
    <w:uiPriority w:val="99"/>
    <w:semiHidden/>
    <w:unhideWhenUsed/>
    <w:rsid w:val="0071375B"/>
    <w:rPr>
      <w:b/>
      <w:bCs/>
    </w:rPr>
  </w:style>
  <w:style w:type="character" w:customStyle="1" w:styleId="CommentSubjectChar">
    <w:name w:val="Comment Subject Char"/>
    <w:basedOn w:val="CommentTextChar"/>
    <w:link w:val="CommentSubject"/>
    <w:uiPriority w:val="99"/>
    <w:semiHidden/>
    <w:rsid w:val="0071375B"/>
    <w:rPr>
      <w:b/>
      <w:bCs/>
      <w:sz w:val="20"/>
      <w:szCs w:val="20"/>
    </w:rPr>
  </w:style>
  <w:style w:type="character" w:styleId="Hyperlink">
    <w:name w:val="Hyperlink"/>
    <w:basedOn w:val="DefaultParagraphFont"/>
    <w:uiPriority w:val="99"/>
    <w:unhideWhenUsed/>
    <w:rsid w:val="007D7C71"/>
    <w:rPr>
      <w:color w:val="0563C1" w:themeColor="hyperlink"/>
      <w:u w:val="single"/>
    </w:rPr>
  </w:style>
  <w:style w:type="table" w:styleId="TableGrid">
    <w:name w:val="Table Grid"/>
    <w:basedOn w:val="TableNormal"/>
    <w:uiPriority w:val="39"/>
    <w:rsid w:val="000E0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3229">
      <w:bodyDiv w:val="1"/>
      <w:marLeft w:val="0"/>
      <w:marRight w:val="0"/>
      <w:marTop w:val="0"/>
      <w:marBottom w:val="0"/>
      <w:divBdr>
        <w:top w:val="none" w:sz="0" w:space="0" w:color="auto"/>
        <w:left w:val="none" w:sz="0" w:space="0" w:color="auto"/>
        <w:bottom w:val="none" w:sz="0" w:space="0" w:color="auto"/>
        <w:right w:val="none" w:sz="0" w:space="0" w:color="auto"/>
      </w:divBdr>
    </w:div>
    <w:div w:id="145316484">
      <w:bodyDiv w:val="1"/>
      <w:marLeft w:val="0"/>
      <w:marRight w:val="0"/>
      <w:marTop w:val="0"/>
      <w:marBottom w:val="0"/>
      <w:divBdr>
        <w:top w:val="none" w:sz="0" w:space="0" w:color="auto"/>
        <w:left w:val="none" w:sz="0" w:space="0" w:color="auto"/>
        <w:bottom w:val="none" w:sz="0" w:space="0" w:color="auto"/>
        <w:right w:val="none" w:sz="0" w:space="0" w:color="auto"/>
      </w:divBdr>
    </w:div>
    <w:div w:id="384646688">
      <w:bodyDiv w:val="1"/>
      <w:marLeft w:val="0"/>
      <w:marRight w:val="0"/>
      <w:marTop w:val="0"/>
      <w:marBottom w:val="0"/>
      <w:divBdr>
        <w:top w:val="none" w:sz="0" w:space="0" w:color="auto"/>
        <w:left w:val="none" w:sz="0" w:space="0" w:color="auto"/>
        <w:bottom w:val="none" w:sz="0" w:space="0" w:color="auto"/>
        <w:right w:val="none" w:sz="0" w:space="0" w:color="auto"/>
      </w:divBdr>
    </w:div>
    <w:div w:id="668605555">
      <w:bodyDiv w:val="1"/>
      <w:marLeft w:val="0"/>
      <w:marRight w:val="0"/>
      <w:marTop w:val="0"/>
      <w:marBottom w:val="0"/>
      <w:divBdr>
        <w:top w:val="none" w:sz="0" w:space="0" w:color="auto"/>
        <w:left w:val="none" w:sz="0" w:space="0" w:color="auto"/>
        <w:bottom w:val="none" w:sz="0" w:space="0" w:color="auto"/>
        <w:right w:val="none" w:sz="0" w:space="0" w:color="auto"/>
      </w:divBdr>
    </w:div>
    <w:div w:id="802505617">
      <w:bodyDiv w:val="1"/>
      <w:marLeft w:val="0"/>
      <w:marRight w:val="0"/>
      <w:marTop w:val="0"/>
      <w:marBottom w:val="0"/>
      <w:divBdr>
        <w:top w:val="none" w:sz="0" w:space="0" w:color="auto"/>
        <w:left w:val="none" w:sz="0" w:space="0" w:color="auto"/>
        <w:bottom w:val="none" w:sz="0" w:space="0" w:color="auto"/>
        <w:right w:val="none" w:sz="0" w:space="0" w:color="auto"/>
      </w:divBdr>
    </w:div>
    <w:div w:id="1007170149">
      <w:bodyDiv w:val="1"/>
      <w:marLeft w:val="0"/>
      <w:marRight w:val="0"/>
      <w:marTop w:val="0"/>
      <w:marBottom w:val="0"/>
      <w:divBdr>
        <w:top w:val="none" w:sz="0" w:space="0" w:color="auto"/>
        <w:left w:val="none" w:sz="0" w:space="0" w:color="auto"/>
        <w:bottom w:val="none" w:sz="0" w:space="0" w:color="auto"/>
        <w:right w:val="none" w:sz="0" w:space="0" w:color="auto"/>
      </w:divBdr>
    </w:div>
    <w:div w:id="1578898278">
      <w:bodyDiv w:val="1"/>
      <w:marLeft w:val="0"/>
      <w:marRight w:val="0"/>
      <w:marTop w:val="0"/>
      <w:marBottom w:val="0"/>
      <w:divBdr>
        <w:top w:val="none" w:sz="0" w:space="0" w:color="auto"/>
        <w:left w:val="none" w:sz="0" w:space="0" w:color="auto"/>
        <w:bottom w:val="none" w:sz="0" w:space="0" w:color="auto"/>
        <w:right w:val="none" w:sz="0" w:space="0" w:color="auto"/>
      </w:divBdr>
    </w:div>
    <w:div w:id="19041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reserve.gov/monetarypolicy/files/FOMC_PolicyNormalization.pdf" TargetMode="External"/><Relationship Id="rId5" Type="http://schemas.openxmlformats.org/officeDocument/2006/relationships/hyperlink" Target="https://www.federalreserve.gov/monetarypolicy/policy-normaliza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969</Words>
  <Characters>5525</Characters>
  <Application>Microsoft Office Word</Application>
  <DocSecurity>0</DocSecurity>
  <Lines>46</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Policy Normalization</vt:lpstr>
      <vt:lpstr>        FOMC Communications related to Policy Normalization (June 14, 2017)</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halpern</dc:creator>
  <cp:keywords/>
  <dc:description/>
  <cp:lastModifiedBy>Rhonda Halpern</cp:lastModifiedBy>
  <cp:revision>2</cp:revision>
  <cp:lastPrinted>2020-04-29T13:51:00Z</cp:lastPrinted>
  <dcterms:created xsi:type="dcterms:W3CDTF">2021-05-10T17:37:00Z</dcterms:created>
  <dcterms:modified xsi:type="dcterms:W3CDTF">2021-05-10T17:37:00Z</dcterms:modified>
</cp:coreProperties>
</file>