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Flowstate</w:t>
      </w:r>
    </w:p>
    <w:p>
      <w:r>
        <w:t>Bitcoin perpetual-futures order-flow dashboard</w:t>
      </w:r>
    </w:p>
    <w:p>
      <w:r>
        <w:t>Product Requirements Document  |  Version 1.0  |  28 October 2026</w:t>
      </w:r>
    </w:p>
    <w:p>
      <w:r>
        <w:t>STATUS: Proposal for a low-cost, evidence-driven prototype. Product name is provisional.</w:t>
      </w:r>
    </w:p>
    <w:p>
      <w:pPr>
        <w:pStyle w:val="Heading1"/>
      </w:pPr>
      <w:r>
        <w:t>1. Executive summary</w:t>
      </w:r>
    </w:p>
    <w:p>
      <w:r>
        <w:t>Build a calm, responsive web application that translates advanced Bitcoin perpetual-futures order flow into a small number of legible, colour-coded cards and concise, evidence-based explanations. Users can expand any card to inspect the underlying data. The app is analytical, read-only, and explicitly does not execute trades or issue buy/sell recommendations.</w:t>
      </w:r>
    </w:p>
    <w:p>
      <w:r>
        <w:t>Primary users: two experienced retail Bitcoin market observers, using Mac, iPad and iPhone. Both prefer reduced visual stimulation and predictable, non-distracting interfaces. Initial goal: test whether a clean overview makes order-flow context faster to understand, not launch a commercial platform.</w:t>
      </w:r>
    </w:p>
    <w:p>
      <w:pPr>
        <w:pStyle w:val="Heading1"/>
      </w:pPr>
      <w:r>
        <w:t>2. Product principles</w:t>
      </w:r>
    </w:p>
    <w:p>
      <w:pPr>
        <w:pStyle w:val="ListBullet"/>
      </w:pPr>
      <w:r>
        <w:t>Complexity belongs in the calculation engine, not the overview.</w:t>
      </w:r>
    </w:p>
    <w:p>
      <w:pPr>
        <w:pStyle w:val="ListBullet"/>
      </w:pPr>
      <w:r>
        <w:t>Glanceable first: five core cards, one compact price header, no scrolling trade tape or order-book wall.</w:t>
      </w:r>
    </w:p>
    <w:p>
      <w:pPr>
        <w:pStyle w:val="ListBullet"/>
      </w:pPr>
      <w:r>
        <w:t>Progressive disclosure: tap for detailed charts, source data, calculation definitions and limitations.</w:t>
      </w:r>
    </w:p>
    <w:p>
      <w:pPr>
        <w:pStyle w:val="ListBullet"/>
      </w:pPr>
      <w:r>
        <w:t>Quiet by default: no flashing numbers, sound, urgent countdowns or perpetual animation.</w:t>
      </w:r>
    </w:p>
    <w:p>
      <w:pPr>
        <w:pStyle w:val="ListBullet"/>
      </w:pPr>
      <w:r>
        <w:t>Accuracy over visual polish: missing, delayed or incomplete data must be labelled; never fabricated.</w:t>
      </w:r>
    </w:p>
    <w:p>
      <w:pPr>
        <w:pStyle w:val="ListBullet"/>
      </w:pPr>
      <w:r>
        <w:t>Interpretation is probabilistic context, not trading advice or a predictive signal.</w:t>
      </w:r>
    </w:p>
    <w:p>
      <w:pPr>
        <w:pStyle w:val="ListBullet"/>
      </w:pPr>
      <w:r>
        <w:t>Low-cost experiment: prove feeds and calculations before committing to backend infrastructure.</w:t>
      </w:r>
    </w:p>
    <w:p>
      <w:pPr>
        <w:pStyle w:val="Heading1"/>
      </w:pPr>
      <w:r>
        <w:t>3. Goals, non-goals and success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In scope for prototype</w:t>
            </w:r>
          </w:p>
        </w:tc>
        <w:tc>
          <w:tcPr>
            <w:tcW w:type="dxa" w:w="4939"/>
          </w:tcPr>
          <w:p>
            <w:r>
              <w:t>Explicitly out of scope</w:t>
            </w:r>
          </w:p>
        </w:tc>
      </w:tr>
      <w:tr>
        <w:tc>
          <w:tcPr>
            <w:tcW w:type="dxa" w:w="4939"/>
          </w:tcPr>
          <w:p>
            <w:r>
              <w:t>BTCUSDT linear perpetuals on one verified exchange</w:t>
            </w:r>
          </w:p>
        </w:tc>
        <w:tc>
          <w:tcPr>
            <w:tcW w:type="dxa" w:w="4939"/>
          </w:tcPr>
          <w:p>
            <w:r>
              <w:t>Trading, orders, wallets, API secrets or brokerage connections</w:t>
            </w:r>
          </w:p>
        </w:tc>
      </w:tr>
      <w:tr>
        <w:tc>
          <w:tcPr>
            <w:tcW w:type="dxa" w:w="4939"/>
          </w:tcPr>
          <w:p>
            <w:r>
              <w:t>Responsive overview + detail views + event history</w:t>
            </w:r>
          </w:p>
        </w:tc>
        <w:tc>
          <w:tcPr>
            <w:tcW w:type="dxa" w:w="4939"/>
          </w:tcPr>
          <w:p>
            <w:r>
              <w:t>Multi-exchange consolidated CVD in v1</w:t>
            </w:r>
          </w:p>
        </w:tc>
      </w:tr>
      <w:tr>
        <w:tc>
          <w:tcPr>
            <w:tcW w:type="dxa" w:w="4939"/>
          </w:tcPr>
          <w:p>
            <w:r>
              <w:t>Trade delta, session CVD, volume, OI, liquidations</w:t>
            </w:r>
          </w:p>
        </w:tc>
        <w:tc>
          <w:tcPr>
            <w:tcW w:type="dxa" w:w="4939"/>
          </w:tcPr>
          <w:p>
            <w:r>
              <w:t>Guaranteed complete liquidation coverage or proprietary heatmaps</w:t>
            </w:r>
          </w:p>
        </w:tc>
      </w:tr>
      <w:tr>
        <w:tc>
          <w:tcPr>
            <w:tcW w:type="dxa" w:w="4939"/>
          </w:tcPr>
          <w:p>
            <w:r>
              <w:t>Rule-based Market Pulse and controlled event notifications</w:t>
            </w:r>
          </w:p>
        </w:tc>
        <w:tc>
          <w:tcPr>
            <w:tcW w:type="dxa" w:w="4939"/>
          </w:tcPr>
          <w:p>
            <w:r>
              <w:t>LLM-generated trading signals or false confidence scores</w:t>
            </w:r>
          </w:p>
        </w:tc>
      </w:tr>
      <w:tr>
        <w:tc>
          <w:tcPr>
            <w:tcW w:type="dxa" w:w="4939"/>
          </w:tcPr>
          <w:p>
            <w:r>
              <w:t>Demo/replay mode and clear freshness labels</w:t>
            </w:r>
          </w:p>
        </w:tc>
        <w:tc>
          <w:tcPr>
            <w:tcW w:type="dxa" w:w="4939"/>
          </w:tcPr>
          <w:p>
            <w:r>
              <w:t>Paid feeds, social features, public subscriptions</w:t>
            </w:r>
          </w:p>
        </w:tc>
      </w:tr>
    </w:tbl>
    <w:p/>
    <w:p>
      <w:r>
        <w:t>Success criteria: both users can understand the overview in ~5 seconds, can locate detailed evidence in two taps or fewer, and report that the interface feels calmer than a conventional terminal. Technical success requires validated arithmetic, honest data-coverage labels and stable reconnection. These are evaluation targets, not claims of measured performance.</w:t>
      </w:r>
    </w:p>
    <w:p>
      <w:pPr>
        <w:pStyle w:val="Heading1"/>
      </w:pPr>
      <w:r>
        <w:t>4. Information architecture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View</w:t>
            </w:r>
          </w:p>
        </w:tc>
        <w:tc>
          <w:tcPr>
            <w:tcW w:type="dxa" w:w="3293"/>
          </w:tcPr>
          <w:p>
            <w:r>
              <w:t>Purpose</w:t>
            </w:r>
          </w:p>
        </w:tc>
        <w:tc>
          <w:tcPr>
            <w:tcW w:type="dxa" w:w="3293"/>
          </w:tcPr>
          <w:p>
            <w:r>
              <w:t>Behaviour</w:t>
            </w:r>
          </w:p>
        </w:tc>
      </w:tr>
      <w:tr>
        <w:tc>
          <w:tcPr>
            <w:tcW w:type="dxa" w:w="3293"/>
          </w:tcPr>
          <w:p>
            <w:r>
              <w:t>Overview</w:t>
            </w:r>
          </w:p>
        </w:tc>
        <w:tc>
          <w:tcPr>
            <w:tcW w:type="dxa" w:w="3293"/>
          </w:tcPr>
          <w:p>
            <w:r>
              <w:t>Price context + Delta, CVD, OI, Liquidations, Market Pulse</w:t>
            </w:r>
          </w:p>
        </w:tc>
        <w:tc>
          <w:tcPr>
            <w:tcW w:type="dxa" w:w="3293"/>
          </w:tcPr>
          <w:p>
            <w:r>
              <w:t>2-column cards on iPad/desktop; stacked cards on phone</w:t>
            </w:r>
          </w:p>
        </w:tc>
      </w:tr>
      <w:tr>
        <w:tc>
          <w:tcPr>
            <w:tcW w:type="dxa" w:w="3293"/>
          </w:tcPr>
          <w:p>
            <w:r>
              <w:t>Metric detail</w:t>
            </w:r>
          </w:p>
        </w:tc>
        <w:tc>
          <w:tcPr>
            <w:tcW w:type="dxa" w:w="3293"/>
          </w:tcPr>
          <w:p>
            <w:r>
              <w:t>Historical plot, definition, period, source, limitations</w:t>
            </w:r>
          </w:p>
        </w:tc>
        <w:tc>
          <w:tcPr>
            <w:tcW w:type="dxa" w:w="3293"/>
          </w:tcPr>
          <w:p>
            <w:r>
              <w:t>Opens as sheet/drawer; keyboard and touch accessible</w:t>
            </w:r>
          </w:p>
        </w:tc>
      </w:tr>
      <w:tr>
        <w:tc>
          <w:tcPr>
            <w:tcW w:type="dxa" w:w="3293"/>
          </w:tcPr>
          <w:p>
            <w:r>
              <w:t>Market Events</w:t>
            </w:r>
          </w:p>
        </w:tc>
        <w:tc>
          <w:tcPr>
            <w:tcW w:type="dxa" w:w="3293"/>
          </w:tcPr>
          <w:p>
            <w:r>
              <w:t>Significant liquidations, liquidity changes, unusual delta</w:t>
            </w:r>
          </w:p>
        </w:tc>
        <w:tc>
          <w:tcPr>
            <w:tcW w:type="dxa" w:w="3293"/>
          </w:tcPr>
          <w:p>
            <w:r>
              <w:t>Quiet event inbox; dismissible toast only for exceptional events</w:t>
            </w:r>
          </w:p>
        </w:tc>
      </w:tr>
      <w:tr>
        <w:tc>
          <w:tcPr>
            <w:tcW w:type="dxa" w:w="3293"/>
          </w:tcPr>
          <w:p>
            <w:r>
              <w:t>Settings</w:t>
            </w:r>
          </w:p>
        </w:tc>
        <w:tc>
          <w:tcPr>
            <w:tcW w:type="dxa" w:w="3293"/>
          </w:tcPr>
          <w:p>
            <w:r>
              <w:t>Exchange, timeframe, display cadence, sensitivity, accessibility</w:t>
            </w:r>
          </w:p>
        </w:tc>
        <w:tc>
          <w:tcPr>
            <w:tcW w:type="dxa" w:w="3293"/>
          </w:tcPr>
          <w:p>
            <w:r>
              <w:t>Defaults conservative; persistent local preferences</w:t>
            </w:r>
          </w:p>
        </w:tc>
      </w:tr>
      <w:tr>
        <w:tc>
          <w:tcPr>
            <w:tcW w:type="dxa" w:w="3293"/>
          </w:tcPr>
          <w:p>
            <w:r>
              <w:t>Data health</w:t>
            </w:r>
          </w:p>
        </w:tc>
        <w:tc>
          <w:tcPr>
            <w:tcW w:type="dxa" w:w="3293"/>
          </w:tcPr>
          <w:p>
            <w:r>
              <w:t>Source status, gaps, timestamps, coverage</w:t>
            </w:r>
          </w:p>
        </w:tc>
        <w:tc>
          <w:tcPr>
            <w:tcW w:type="dxa" w:w="3293"/>
          </w:tcPr>
          <w:p>
            <w:r>
              <w:t>Never conceal stale or missing feeds</w:t>
            </w:r>
          </w:p>
        </w:tc>
      </w:tr>
    </w:tbl>
    <w:p/>
    <w:p>
      <w:pPr>
        <w:pStyle w:val="Heading1"/>
      </w:pPr>
      <w:r>
        <w:t>5. Visual and interaction specification</w:t>
      </w:r>
    </w:p>
    <w:p>
      <w:pPr>
        <w:pStyle w:val="ListBullet"/>
      </w:pPr>
      <w:r>
        <w:t>Visual language: restrained Apple-inspired, spacious, rounded cards, dark-first, clear typography, minimal chrome. Do not copy Apple trademarks or proprietary UI assets.</w:t>
      </w:r>
    </w:p>
    <w:p>
      <w:pPr>
        <w:pStyle w:val="ListBullet"/>
      </w:pPr>
      <w:r>
        <w:t>Cards: metric label; one large figure; small sparkline or proportion bar; one sentence; source/timeframe available on expansion.</w:t>
      </w:r>
    </w:p>
    <w:p>
      <w:pPr>
        <w:pStyle w:val="ListBullet"/>
      </w:pPr>
      <w:r>
        <w:t>Semantic colours: teal = positive taker delta; rose = negative; blue = neutral information; amber = noteworthy condition. Liquidation direction must be labelled in words.</w:t>
      </w:r>
    </w:p>
    <w:p>
      <w:pPr>
        <w:pStyle w:val="ListBullet"/>
      </w:pPr>
      <w:r>
        <w:t>Colour is never the sole channel: include sign, text label and/or icon; support colour-vision differences.</w:t>
      </w:r>
    </w:p>
    <w:p>
      <w:pPr>
        <w:pStyle w:val="ListBullet"/>
      </w:pPr>
      <w:r>
        <w:t>Display cadence: aggregate continuously; render visible numbers at a configurable 5–10 second cadence. Candle-close states are distinguished from developing values.</w:t>
      </w:r>
    </w:p>
    <w:p>
      <w:pPr>
        <w:pStyle w:val="ListBullet"/>
      </w:pPr>
      <w:r>
        <w:t>Focus mode: hides secondary numbers and suppresses noncritical notifications. Respect reduced-motion preference.</w:t>
      </w:r>
    </w:p>
    <w:p>
      <w:pPr>
        <w:pStyle w:val="ListBullet"/>
      </w:pPr>
      <w:r>
        <w:t>Mobile: minimum 44px tap targets, portrait-friendly stacking, readable labels, no horizontal chart overflow.</w:t>
      </w:r>
    </w:p>
    <w:p>
      <w:pPr>
        <w:pStyle w:val="ListBullet"/>
      </w:pPr>
      <w:r>
        <w:t>Market Pulse: one headline and at most two sentences; disclose evidence and uncertainty on expansion.</w:t>
      </w:r>
    </w:p>
    <w:p>
      <w:pPr>
        <w:pStyle w:val="Heading1"/>
      </w:pPr>
      <w:r>
        <w:t>6. Core metric definitions and requirements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Metric</w:t>
            </w:r>
          </w:p>
        </w:tc>
        <w:tc>
          <w:tcPr>
            <w:tcW w:type="dxa" w:w="3293"/>
          </w:tcPr>
          <w:p>
            <w:r>
              <w:t>Calculation / meaning</w:t>
            </w:r>
          </w:p>
        </w:tc>
        <w:tc>
          <w:tcPr>
            <w:tcW w:type="dxa" w:w="3293"/>
          </w:tcPr>
          <w:p>
            <w:r>
              <w:t>Caveat</w:t>
            </w:r>
          </w:p>
        </w:tc>
      </w:tr>
      <w:tr>
        <w:tc>
          <w:tcPr>
            <w:tcW w:type="dxa" w:w="3293"/>
          </w:tcPr>
          <w:p>
            <w:r>
              <w:t>Executed volume</w:t>
            </w:r>
          </w:p>
        </w:tc>
        <w:tc>
          <w:tcPr>
            <w:tcW w:type="dxa" w:w="3293"/>
          </w:tcPr>
          <w:p>
            <w:r>
              <w:t>Sum of trade quantities per time bucket, in BTC; optionally notional in USD</w:t>
            </w:r>
          </w:p>
        </w:tc>
        <w:tc>
          <w:tcPr>
            <w:tcW w:type="dxa" w:w="3293"/>
          </w:tcPr>
          <w:p>
            <w:r>
              <w:t>Only trades covered by source and time window</w:t>
            </w:r>
          </w:p>
        </w:tc>
      </w:tr>
      <w:tr>
        <w:tc>
          <w:tcPr>
            <w:tcW w:type="dxa" w:w="3293"/>
          </w:tcPr>
          <w:p>
            <w:r>
              <w:t>Volume delta</w:t>
            </w:r>
          </w:p>
        </w:tc>
        <w:tc>
          <w:tcPr>
            <w:tcW w:type="dxa" w:w="3293"/>
          </w:tcPr>
          <w:p>
            <w:r>
              <w:t>Sum(taker-buy quantity) − Sum(taker-sell quantity)</w:t>
            </w:r>
          </w:p>
        </w:tc>
        <w:tc>
          <w:tcPr>
            <w:tcW w:type="dxa" w:w="3293"/>
          </w:tcPr>
          <w:p>
            <w:r>
              <w:t>Requires reliable aggressor-side semantics</w:t>
            </w:r>
          </w:p>
        </w:tc>
      </w:tr>
      <w:tr>
        <w:tc>
          <w:tcPr>
            <w:tcW w:type="dxa" w:w="3293"/>
          </w:tcPr>
          <w:p>
            <w:r>
              <w:t>CVD</w:t>
            </w:r>
          </w:p>
        </w:tc>
        <w:tc>
          <w:tcPr>
            <w:tcW w:type="dxa" w:w="3293"/>
          </w:tcPr>
          <w:p>
            <w:r>
              <w:t>Running sum of signed executed volume since explicitly shown session anchor</w:t>
            </w:r>
          </w:p>
        </w:tc>
        <w:tc>
          <w:tcPr>
            <w:tcW w:type="dxa" w:w="3293"/>
          </w:tcPr>
          <w:p>
            <w:r>
              <w:t>Never imply all-time CVD; reset/backfill status visible</w:t>
            </w:r>
          </w:p>
        </w:tc>
      </w:tr>
      <w:tr>
        <w:tc>
          <w:tcPr>
            <w:tcW w:type="dxa" w:w="3293"/>
          </w:tcPr>
          <w:p>
            <w:r>
              <w:t>Open interest</w:t>
            </w:r>
          </w:p>
        </w:tc>
        <w:tc>
          <w:tcPr>
            <w:tcW w:type="dxa" w:w="3293"/>
          </w:tcPr>
          <w:p>
            <w:r>
              <w:t>Exchange-reported outstanding perpetual positions; show absolute and period change</w:t>
            </w:r>
          </w:p>
        </w:tc>
        <w:tc>
          <w:tcPr>
            <w:tcW w:type="dxa" w:w="3293"/>
          </w:tcPr>
          <w:p>
            <w:r>
              <w:t>Units/contract conversion verified; rising OI does not identify long vs short initiation</w:t>
            </w:r>
          </w:p>
        </w:tc>
      </w:tr>
      <w:tr>
        <w:tc>
          <w:tcPr>
            <w:tcW w:type="dxa" w:w="3293"/>
          </w:tcPr>
          <w:p>
            <w:r>
              <w:t>Liquidations</w:t>
            </w:r>
          </w:p>
        </w:tc>
        <w:tc>
          <w:tcPr>
            <w:tcW w:type="dxa" w:w="3293"/>
          </w:tcPr>
          <w:p>
            <w:r>
              <w:t>Reported forced-closure events, side, quantity, notional and timestamp</w:t>
            </w:r>
          </w:p>
        </w:tc>
        <w:tc>
          <w:tcPr>
            <w:tcW w:type="dxa" w:w="3293"/>
          </w:tcPr>
          <w:p>
            <w:r>
              <w:t>Exchange feeds may be sampled, delayed or incomplete</w:t>
            </w:r>
          </w:p>
        </w:tc>
      </w:tr>
      <w:tr>
        <w:tc>
          <w:tcPr>
            <w:tcW w:type="dxa" w:w="3293"/>
          </w:tcPr>
          <w:p>
            <w:r>
              <w:t>Liquidity concentration</w:t>
            </w:r>
          </w:p>
        </w:tc>
        <w:tc>
          <w:tcPr>
            <w:tcW w:type="dxa" w:w="3293"/>
          </w:tcPr>
          <w:p>
            <w:r>
              <w:t>Price-bucket aggregation of visible resting order-book depth</w:t>
            </w:r>
          </w:p>
        </w:tc>
        <w:tc>
          <w:tcPr>
            <w:tcW w:type="dxa" w:w="3293"/>
          </w:tcPr>
          <w:p>
            <w:r>
              <w:t>Displayed liquidity can be cancelled/spoofed; not a liquidation heatmap</w:t>
            </w:r>
          </w:p>
        </w:tc>
      </w:tr>
    </w:tbl>
    <w:p/>
    <w:p>
      <w:r>
        <w:t>Use decimal-safe arithmetic for trade quantities and notional; document unit conversions. Time-bucket boundaries are UTC and explicitly labelled. Compare like-for-like exchange and contract units. No interpolation across missing data.</w:t>
      </w:r>
    </w:p>
    <w:p>
      <w:pPr>
        <w:pStyle w:val="Heading1"/>
      </w:pPr>
      <w:r>
        <w:t>7. Market Pulse rules (v1)</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Observed condition</w:t>
            </w:r>
          </w:p>
        </w:tc>
        <w:tc>
          <w:tcPr>
            <w:tcW w:type="dxa" w:w="4939"/>
          </w:tcPr>
          <w:p>
            <w:r>
              <w:t>Permitted wording</w:t>
            </w:r>
          </w:p>
        </w:tc>
      </w:tr>
      <w:tr>
        <w:tc>
          <w:tcPr>
            <w:tcW w:type="dxa" w:w="4939"/>
          </w:tcPr>
          <w:p>
            <w:r>
              <w:t>Price up + positive delta + rising CVD</w:t>
            </w:r>
          </w:p>
        </w:tc>
        <w:tc>
          <w:tcPr>
            <w:tcW w:type="dxa" w:w="4939"/>
          </w:tcPr>
          <w:p>
            <w:r>
              <w:t>Aggressive buying is supporting the price move.</w:t>
            </w:r>
          </w:p>
        </w:tc>
      </w:tr>
      <w:tr>
        <w:tc>
          <w:tcPr>
            <w:tcW w:type="dxa" w:w="4939"/>
          </w:tcPr>
          <w:p>
            <w:r>
              <w:t>Price flat + rising CVD</w:t>
            </w:r>
          </w:p>
        </w:tc>
        <w:tc>
          <w:tcPr>
            <w:tcW w:type="dxa" w:w="4939"/>
          </w:tcPr>
          <w:p>
            <w:r>
              <w:t>Buying aggression is not translating into comparable price progress; possible absorption.</w:t>
            </w:r>
          </w:p>
        </w:tc>
      </w:tr>
      <w:tr>
        <w:tc>
          <w:tcPr>
            <w:tcW w:type="dxa" w:w="4939"/>
          </w:tcPr>
          <w:p>
            <w:r>
              <w:t>Price down + OI up</w:t>
            </w:r>
          </w:p>
        </w:tc>
        <w:tc>
          <w:tcPr>
            <w:tcW w:type="dxa" w:w="4939"/>
          </w:tcPr>
          <w:p>
            <w:r>
              <w:t>Outstanding positioning is expanding during a decline; direction of new positioning is not proven.</w:t>
            </w:r>
          </w:p>
        </w:tc>
      </w:tr>
      <w:tr>
        <w:tc>
          <w:tcPr>
            <w:tcW w:type="dxa" w:w="4939"/>
          </w:tcPr>
          <w:p>
            <w:r>
              <w:t>Price up + OI down</w:t>
            </w:r>
          </w:p>
        </w:tc>
        <w:tc>
          <w:tcPr>
            <w:tcW w:type="dxa" w:w="4939"/>
          </w:tcPr>
          <w:p>
            <w:r>
              <w:t>Position closing may be contributing to the move.</w:t>
            </w:r>
          </w:p>
        </w:tc>
      </w:tr>
      <w:tr>
        <w:tc>
          <w:tcPr>
            <w:tcW w:type="dxa" w:w="4939"/>
          </w:tcPr>
          <w:p>
            <w:r>
              <w:t>Large reported long liquidations + rapid price drop</w:t>
            </w:r>
          </w:p>
        </w:tc>
        <w:tc>
          <w:tcPr>
            <w:tcW w:type="dxa" w:w="4939"/>
          </w:tcPr>
          <w:p>
            <w:r>
              <w:t>Elevated forced long closures coincide with the decline.</w:t>
            </w:r>
          </w:p>
        </w:tc>
      </w:tr>
    </w:tbl>
    <w:p/>
    <w:p>
      <w:r>
        <w:t>Rule engine must be deterministic, versioned and explainable. It must show “Insufficient data” if the required windows, price feed or OI observations are missing. Do not invent probabilities, certainty or advice. Tests cover contradictory conditions and neutrality.</w:t>
      </w:r>
    </w:p>
    <w:p>
      <w:pPr>
        <w:pStyle w:val="Heading1"/>
      </w:pPr>
      <w:r>
        <w:t>8. Market Events and alert hygiene</w:t>
      </w:r>
    </w:p>
    <w:p>
      <w:pPr>
        <w:pStyle w:val="ListBullet"/>
      </w:pPr>
      <w:r>
        <w:t>Events: exceptional liquidation cluster, statistically unusual delta, significant visible liquidity concentration appearing/disappearing; liquidity is optional post-MVP.</w:t>
      </w:r>
    </w:p>
    <w:p>
      <w:pPr>
        <w:pStyle w:val="ListBullet"/>
      </w:pPr>
      <w:r>
        <w:t>Thresholds relative to a recent comparable baseline (e.g. rolling window), with minimum absolute floor and sample-size guardrails; all configurable.</w:t>
      </w:r>
    </w:p>
    <w:p>
      <w:pPr>
        <w:pStyle w:val="ListBullet"/>
      </w:pPr>
      <w:r>
        <w:t>Events contain timestamp, exchange, contract, observation window, measured values, trigger reason and source coverage.</w:t>
      </w:r>
    </w:p>
    <w:p>
      <w:pPr>
        <w:pStyle w:val="ListBullet"/>
      </w:pPr>
      <w:r>
        <w:t>No alert storm: deduplicate by event key, impose cooldowns, cap visible pop-outs and retain a searchable in-app event history.</w:t>
      </w:r>
    </w:p>
    <w:p>
      <w:pPr>
        <w:pStyle w:val="ListBullet"/>
      </w:pPr>
      <w:r>
        <w:t>Default behaviour: quiet event inbox; exceptional events may show a dismissible toast; no sounds or push notifications in v1.</w:t>
      </w:r>
    </w:p>
    <w:p>
      <w:pPr>
        <w:pStyle w:val="ListBullet"/>
      </w:pPr>
      <w:r>
        <w:t>Explicit distinction between observed resting liquidity, executed liquidations and estimated liquidation zones. Estimated zones are out of scope.</w:t>
      </w:r>
    </w:p>
    <w:p>
      <w:pPr>
        <w:pStyle w:val="Heading1"/>
      </w:pPr>
      <w:r>
        <w:t>9. Data-source feasibility gate</w:t>
      </w:r>
    </w:p>
    <w:p>
      <w:r>
        <w:t>Candidate sources: Bybit V5 public linear WebSocket and OKX public perpetual market feeds. Provider selection is NOT final. Confirm current UK accessibility, terms of use, symbol naming, aggressor-side fields, OI cadence, liquidation coverage, order-book semantics, historical backfill and rate limits against current official documentation before implementing live features. A successful WebSocket handshake alone is not sufficient.</w:t>
      </w:r>
    </w:p>
    <w:p>
      <w:r>
        <w:t>Data-source adapter interface: connect(), disconnect(), subscribeTrades(), subscribeTicker(), subscribeOpenInterest(), subscribeLiquidations(), subscribeDepth() [later], health(). Normalize into typed domain events with exchange, symbol, event ID, event time, receive time, side, quantity, price and unit. Reject or quarantine malformed events.</w:t>
      </w:r>
    </w:p>
    <w:p>
      <w:r>
        <w:t>Architecture choice: browser-only ingestion is acceptable for proof of concept, but closes when browser sleeps or background tabs are throttled, especially on iOS. Historical continuity must be visibly limited or restored via verified backfill. Do not promise always-on capture without a persistent collector.</w:t>
      </w:r>
    </w:p>
    <w:p>
      <w:pPr>
        <w:pStyle w:val="Heading1"/>
      </w:pPr>
      <w:r>
        <w:t>10. Proposed technical architecture</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Layer</w:t>
            </w:r>
          </w:p>
        </w:tc>
        <w:tc>
          <w:tcPr>
            <w:tcW w:type="dxa" w:w="4939"/>
          </w:tcPr>
          <w:p>
            <w:r>
              <w:t>Initial implementation</w:t>
            </w:r>
          </w:p>
        </w:tc>
      </w:tr>
      <w:tr>
        <w:tc>
          <w:tcPr>
            <w:tcW w:type="dxa" w:w="4939"/>
          </w:tcPr>
          <w:p>
            <w:r>
              <w:t>Client</w:t>
            </w:r>
          </w:p>
        </w:tc>
        <w:tc>
          <w:tcPr>
            <w:tcW w:type="dxa" w:w="4939"/>
          </w:tcPr>
          <w:p>
            <w:r>
              <w:t>React + TypeScript + Vite; Tailwind CSS; accessible component primitives</w:t>
            </w:r>
          </w:p>
        </w:tc>
      </w:tr>
      <w:tr>
        <w:tc>
          <w:tcPr>
            <w:tcW w:type="dxa" w:w="4939"/>
          </w:tcPr>
          <w:p>
            <w:r>
              <w:t>Charts</w:t>
            </w:r>
          </w:p>
        </w:tc>
        <w:tc>
          <w:tcPr>
            <w:tcW w:type="dxa" w:w="4939"/>
          </w:tcPr>
          <w:p>
            <w:r>
              <w:t>Lightweight Charts for price/time-series; custom renderer only for later footprint needs</w:t>
            </w:r>
          </w:p>
        </w:tc>
      </w:tr>
      <w:tr>
        <w:tc>
          <w:tcPr>
            <w:tcW w:type="dxa" w:w="4939"/>
          </w:tcPr>
          <w:p>
            <w:r>
              <w:t>State</w:t>
            </w:r>
          </w:p>
        </w:tc>
        <w:tc>
          <w:tcPr>
            <w:tcW w:type="dxa" w:w="4939"/>
          </w:tcPr>
          <w:p>
            <w:r>
              <w:t>Typed domain model; isolated calculation engine; predictable state updates</w:t>
            </w:r>
          </w:p>
        </w:tc>
      </w:tr>
      <w:tr>
        <w:tc>
          <w:tcPr>
            <w:tcW w:type="dxa" w:w="4939"/>
          </w:tcPr>
          <w:p>
            <w:r>
              <w:t>Data</w:t>
            </w:r>
          </w:p>
        </w:tc>
        <w:tc>
          <w:tcPr>
            <w:tcW w:type="dxa" w:w="4939"/>
          </w:tcPr>
          <w:p>
            <w:r>
              <w:t>Provider adapter + reconnect/backoff + gap/duplicate detection</w:t>
            </w:r>
          </w:p>
        </w:tc>
      </w:tr>
      <w:tr>
        <w:tc>
          <w:tcPr>
            <w:tcW w:type="dxa" w:w="4939"/>
          </w:tcPr>
          <w:p>
            <w:r>
              <w:t>Persistence</w:t>
            </w:r>
          </w:p>
        </w:tc>
        <w:tc>
          <w:tcPr>
            <w:tcW w:type="dxa" w:w="4939"/>
          </w:tcPr>
          <w:p>
            <w:r>
              <w:t>IndexedDB for local cached samples, settings and events; schema versioning</w:t>
            </w:r>
          </w:p>
        </w:tc>
      </w:tr>
      <w:tr>
        <w:tc>
          <w:tcPr>
            <w:tcW w:type="dxa" w:w="4939"/>
          </w:tcPr>
          <w:p>
            <w:r>
              <w:t>Testing</w:t>
            </w:r>
          </w:p>
        </w:tc>
        <w:tc>
          <w:tcPr>
            <w:tcW w:type="dxa" w:w="4939"/>
          </w:tcPr>
          <w:p>
            <w:r>
              <w:t>Vitest unit tests; Playwright smoke/responsive tests; deterministic recorded fixtures</w:t>
            </w:r>
          </w:p>
        </w:tc>
      </w:tr>
      <w:tr>
        <w:tc>
          <w:tcPr>
            <w:tcW w:type="dxa" w:w="4939"/>
          </w:tcPr>
          <w:p>
            <w:r>
              <w:t>Hosting</w:t>
            </w:r>
          </w:p>
        </w:tc>
        <w:tc>
          <w:tcPr>
            <w:tcW w:type="dxa" w:w="4939"/>
          </w:tcPr>
          <w:p>
            <w:r>
              <w:t>Static deployment on Vercel; no required Supabase or paid service in MVP</w:t>
            </w:r>
          </w:p>
        </w:tc>
      </w:tr>
      <w:tr>
        <w:tc>
          <w:tcPr>
            <w:tcW w:type="dxa" w:w="4939"/>
          </w:tcPr>
          <w:p>
            <w:r>
              <w:t>Later</w:t>
            </w:r>
          </w:p>
        </w:tc>
        <w:tc>
          <w:tcPr>
            <w:tcW w:type="dxa" w:w="4939"/>
          </w:tcPr>
          <w:p>
            <w:r>
              <w:t>Optional always-on collector + shared historical storage if the experiment proves useful</w:t>
            </w:r>
          </w:p>
        </w:tc>
      </w:tr>
    </w:tbl>
    <w:p/>
    <w:p>
      <w:pPr>
        <w:pStyle w:val="Heading1"/>
      </w:pPr>
      <w:r>
        <w:t>11. Incremental Codex delivery plan</w:t>
      </w:r>
    </w:p>
    <w:p>
      <w:r>
        <w:t>Each milestone must be one bounded change set. Codex must stop at the gate, provide a concise test report and await approval before starting the next milestone. No “build everything” prompt.</w:t>
      </w:r>
    </w:p>
    <w:p>
      <w:pPr>
        <w:pStyle w:val="Heading2"/>
      </w:pPr>
      <w:r>
        <w:t>M0 — Repository and quality gates</w:t>
      </w:r>
    </w:p>
    <w:p>
      <w:r>
        <w:t>Objective: Create a maintainable foundation without exchange dependencies.</w:t>
      </w:r>
    </w:p>
    <w:p>
      <w:r>
        <w:t>Implementation:</w:t>
      </w:r>
    </w:p>
    <w:p>
      <w:pPr>
        <w:pStyle w:val="ListBullet"/>
      </w:pPr>
      <w:r>
        <w:t>Scaffold React/Vite/TypeScript/Tailwind; set up lint, typecheck, Vitest, Playwright and README.</w:t>
      </w:r>
    </w:p>
    <w:p>
      <w:pPr>
        <w:pStyle w:val="ListBullet"/>
      </w:pPr>
      <w:r>
        <w:t>Create /src/domain, /src/data, /src/features, /src/components, /src/fixtures and /tests.</w:t>
      </w:r>
    </w:p>
    <w:p>
      <w:pPr>
        <w:pStyle w:val="ListBullet"/>
      </w:pPr>
      <w:r>
        <w:t>Add scripts: dev, build, lint, typecheck, test, test:e2e.</w:t>
      </w:r>
    </w:p>
    <w:p>
      <w:r>
        <w:t>Verification / acceptance:</w:t>
      </w:r>
    </w:p>
    <w:p>
      <w:pPr>
        <w:pStyle w:val="ListBullet"/>
      </w:pPr>
      <w:r>
        <w:t>Fresh install and production build succeed.</w:t>
      </w:r>
    </w:p>
    <w:p>
      <w:pPr>
        <w:pStyle w:val="ListBullet"/>
      </w:pPr>
      <w:r>
        <w:t>Typecheck/lint/tests run cleanly; one desktop and one tablet smoke test pass.</w:t>
      </w:r>
    </w:p>
    <w:p>
      <w:r>
        <w:t>Gate: Proceed only when setup is reproducible from README.</w:t>
      </w:r>
    </w:p>
    <w:p>
      <w:pPr>
        <w:pStyle w:val="Heading2"/>
      </w:pPr>
      <w:r>
        <w:t>M1 — Static design prototype</w:t>
      </w:r>
    </w:p>
    <w:p>
      <w:r>
        <w:t>Objective: Validate calm visual direction before live data.</w:t>
      </w:r>
    </w:p>
    <w:p>
      <w:r>
        <w:t>Implementation:</w:t>
      </w:r>
    </w:p>
    <w:p>
      <w:pPr>
        <w:pStyle w:val="ListBullet"/>
      </w:pPr>
      <w:r>
        <w:t>Implement overview, five blocks, metric drawer, events inbox and settings using clearly labelled demo fixtures.</w:t>
      </w:r>
    </w:p>
    <w:p>
      <w:pPr>
        <w:pStyle w:val="ListBullet"/>
      </w:pPr>
      <w:r>
        <w:t>Responsive iPad landscape, desktop, iPhone portrait; focus mode and reduced motion.</w:t>
      </w:r>
    </w:p>
    <w:p>
      <w:pPr>
        <w:pStyle w:val="ListBullet"/>
      </w:pPr>
      <w:r>
        <w:t>Accessible controls, semantic colour and empty/loading/error states.</w:t>
      </w:r>
    </w:p>
    <w:p>
      <w:r>
        <w:t>Verification / acceptance:</w:t>
      </w:r>
    </w:p>
    <w:p>
      <w:pPr>
        <w:pStyle w:val="ListBullet"/>
      </w:pPr>
      <w:r>
        <w:t>Visual checks at 390px, 768px, 1024px and 1440px; no clipped content.</w:t>
      </w:r>
    </w:p>
    <w:p>
      <w:pPr>
        <w:pStyle w:val="ListBullet"/>
      </w:pPr>
      <w:r>
        <w:t>Every card opens its matching detail; no dead controls.</w:t>
      </w:r>
    </w:p>
    <w:p>
      <w:pPr>
        <w:pStyle w:val="ListBullet"/>
      </w:pPr>
      <w:r>
        <w:t>Both users review legibility and distraction level.</w:t>
      </w:r>
    </w:p>
    <w:p>
      <w:r>
        <w:t>Gate: Approve UX before connecting feeds.</w:t>
      </w:r>
    </w:p>
    <w:p>
      <w:pPr>
        <w:pStyle w:val="Heading2"/>
      </w:pPr>
      <w:r>
        <w:t>M2 — Provider spike</w:t>
      </w:r>
    </w:p>
    <w:p>
      <w:r>
        <w:t>Objective: Prove one compliant, reliable free feed.</w:t>
      </w:r>
    </w:p>
    <w:p>
      <w:r>
        <w:t>Implementation:</w:t>
      </w:r>
    </w:p>
    <w:p>
      <w:pPr>
        <w:pStyle w:val="ListBullet"/>
      </w:pPr>
      <w:r>
        <w:t>Create a small isolated diagnostic page or CLI to test candidate exchanges.</w:t>
      </w:r>
    </w:p>
    <w:p>
      <w:pPr>
        <w:pStyle w:val="ListBullet"/>
      </w:pPr>
      <w:r>
        <w:t>Log connectivity, trades, side semantics, timestamps, OI, liquidation coverage and throttling.</w:t>
      </w:r>
    </w:p>
    <w:p>
      <w:pPr>
        <w:pStyle w:val="ListBullet"/>
      </w:pPr>
      <w:r>
        <w:t>Document geographic restrictions, terms and missing endpoints.</w:t>
      </w:r>
    </w:p>
    <w:p>
      <w:r>
        <w:t>Verification / acceptance:</w:t>
      </w:r>
    </w:p>
    <w:p>
      <w:pPr>
        <w:pStyle w:val="ListBullet"/>
      </w:pPr>
      <w:r>
        <w:t>Demonstrate live trades with verifiable buy/sell side and quantities.</w:t>
      </w:r>
    </w:p>
    <w:p>
      <w:pPr>
        <w:pStyle w:val="ListBullet"/>
      </w:pPr>
      <w:r>
        <w:t>Capture disconnect/reconnect behaviour; no credentials required for public data.</w:t>
      </w:r>
    </w:p>
    <w:p>
      <w:pPr>
        <w:pStyle w:val="ListBullet"/>
      </w:pPr>
      <w:r>
        <w:t>Record what cannot be provided reliably.</w:t>
      </w:r>
    </w:p>
    <w:p>
      <w:r>
        <w:t>Gate: Choose provider or stop the project if essential data is unavailable.</w:t>
      </w:r>
    </w:p>
    <w:p>
      <w:pPr>
        <w:pStyle w:val="Heading2"/>
      </w:pPr>
      <w:r>
        <w:t>M3 — Trade engine: volume, delta and CVD</w:t>
      </w:r>
    </w:p>
    <w:p>
      <w:r>
        <w:t>Objective: Prove correctness independent of UI.</w:t>
      </w:r>
    </w:p>
    <w:p>
      <w:r>
        <w:t>Implementation:</w:t>
      </w:r>
    </w:p>
    <w:p>
      <w:pPr>
        <w:pStyle w:val="ListBullet"/>
      </w:pPr>
      <w:r>
        <w:t>Normalize and deduplicate trade events; handle late/out-of-order arrivals.</w:t>
      </w:r>
    </w:p>
    <w:p>
      <w:pPr>
        <w:pStyle w:val="ListBullet"/>
      </w:pPr>
      <w:r>
        <w:t>Compute per-bucket volume, buy/sell volume, delta and anchored session CVD.</w:t>
      </w:r>
    </w:p>
    <w:p>
      <w:pPr>
        <w:pStyle w:val="ListBullet"/>
      </w:pPr>
      <w:r>
        <w:t>Add replay fixtures with hand-calculated expected outputs.</w:t>
      </w:r>
    </w:p>
    <w:p>
      <w:r>
        <w:t>Verification / acceptance:</w:t>
      </w:r>
    </w:p>
    <w:p>
      <w:pPr>
        <w:pStyle w:val="ListBullet"/>
      </w:pPr>
      <w:r>
        <w:t>Deterministic arithmetic tests pass including duplicates, missing trades and session resets.</w:t>
      </w:r>
    </w:p>
    <w:p>
      <w:pPr>
        <w:pStyle w:val="ListBullet"/>
      </w:pPr>
      <w:r>
        <w:t>Delta equals buys minus sells; CVD equals sum of included deltas.</w:t>
      </w:r>
    </w:p>
    <w:p>
      <w:pPr>
        <w:pStyle w:val="ListBullet"/>
      </w:pPr>
      <w:r>
        <w:t>Coverage warnings visible after gaps.</w:t>
      </w:r>
    </w:p>
    <w:p>
      <w:r>
        <w:t>Gate: No live dashboard until math is independently checked.</w:t>
      </w:r>
    </w:p>
    <w:p>
      <w:pPr>
        <w:pStyle w:val="Heading2"/>
      </w:pPr>
      <w:r>
        <w:t>M4 — Live overview integration</w:t>
      </w:r>
    </w:p>
    <w:p>
      <w:r>
        <w:t>Objective: Replace demo metrics with trustworthy live data.</w:t>
      </w:r>
    </w:p>
    <w:p>
      <w:r>
        <w:t>Implementation:</w:t>
      </w:r>
    </w:p>
    <w:p>
      <w:pPr>
        <w:pStyle w:val="ListBullet"/>
      </w:pPr>
      <w:r>
        <w:t>Wire provider to engine; connect delta/CVD cards and compact price header.</w:t>
      </w:r>
    </w:p>
    <w:p>
      <w:pPr>
        <w:pStyle w:val="ListBullet"/>
      </w:pPr>
      <w:r>
        <w:t>Implement loading/stale/disconnected states and display update throttling.</w:t>
      </w:r>
    </w:p>
    <w:p>
      <w:pPr>
        <w:pStyle w:val="ListBullet"/>
      </w:pPr>
      <w:r>
        <w:t>Keep demo mode for reproducible design testing.</w:t>
      </w:r>
    </w:p>
    <w:p>
      <w:r>
        <w:t>Verification / acceptance:</w:t>
      </w:r>
    </w:p>
    <w:p>
      <w:pPr>
        <w:pStyle w:val="ListBullet"/>
      </w:pPr>
      <w:r>
        <w:t>No fake values in live mode; time/source visible.</w:t>
      </w:r>
    </w:p>
    <w:p>
      <w:pPr>
        <w:pStyle w:val="ListBullet"/>
      </w:pPr>
      <w:r>
        <w:t>Recovery after network interruption; background-tab behaviour documented.</w:t>
      </w:r>
    </w:p>
    <w:p>
      <w:pPr>
        <w:pStyle w:val="ListBullet"/>
      </w:pPr>
      <w:r>
        <w:t>Usable on iPad Safari.</w:t>
      </w:r>
    </w:p>
    <w:p>
      <w:r>
        <w:t>Gate: Approve real-world stability before adding more feeds.</w:t>
      </w:r>
    </w:p>
    <w:p>
      <w:pPr>
        <w:pStyle w:val="Heading2"/>
      </w:pPr>
      <w:r>
        <w:t>M5 — Open interest and liquidation cards</w:t>
      </w:r>
    </w:p>
    <w:p>
      <w:r>
        <w:t>Objective: Add secondary market context.</w:t>
      </w:r>
    </w:p>
    <w:p>
      <w:r>
        <w:t>Implementation:</w:t>
      </w:r>
    </w:p>
    <w:p>
      <w:pPr>
        <w:pStyle w:val="ListBullet"/>
      </w:pPr>
      <w:r>
        <w:t>Ingest OI and liquidation events using verified provider fields.</w:t>
      </w:r>
    </w:p>
    <w:p>
      <w:pPr>
        <w:pStyle w:val="ListBullet"/>
      </w:pPr>
      <w:r>
        <w:t>Implement unit conversion, change-window calculations and coverage labels.</w:t>
      </w:r>
    </w:p>
    <w:p>
      <w:pPr>
        <w:pStyle w:val="ListBullet"/>
      </w:pPr>
      <w:r>
        <w:t>Add event history for large liquidation clusters with conservative thresholds.</w:t>
      </w:r>
    </w:p>
    <w:p>
      <w:r>
        <w:t>Verification / acceptance:</w:t>
      </w:r>
    </w:p>
    <w:p>
      <w:pPr>
        <w:pStyle w:val="ListBullet"/>
      </w:pPr>
      <w:r>
        <w:t>Cross-check sample values against provider output.</w:t>
      </w:r>
    </w:p>
    <w:p>
      <w:pPr>
        <w:pStyle w:val="ListBullet"/>
      </w:pPr>
      <w:r>
        <w:t>No claims of complete liquidation coverage without evidence.</w:t>
      </w:r>
    </w:p>
    <w:p>
      <w:pPr>
        <w:pStyle w:val="ListBullet"/>
      </w:pPr>
      <w:r>
        <w:t>Deduplication/cooldowns prevent repeated event spam.</w:t>
      </w:r>
    </w:p>
    <w:p>
      <w:r>
        <w:t>Gate: Approve coverage honesty and quiet notifications.</w:t>
      </w:r>
    </w:p>
    <w:p>
      <w:pPr>
        <w:pStyle w:val="Heading2"/>
      </w:pPr>
      <w:r>
        <w:t>M6 — Market Pulse</w:t>
      </w:r>
    </w:p>
    <w:p>
      <w:r>
        <w:t>Objective: Introduce concise evidence-based interpretation.</w:t>
      </w:r>
    </w:p>
    <w:p>
      <w:r>
        <w:t>Implementation:</w:t>
      </w:r>
    </w:p>
    <w:p>
      <w:pPr>
        <w:pStyle w:val="ListBullet"/>
      </w:pPr>
      <w:r>
        <w:t>Implement deterministic rules with precedence, neutral state and evidence drawer.</w:t>
      </w:r>
    </w:p>
    <w:p>
      <w:pPr>
        <w:pStyle w:val="ListBullet"/>
      </w:pPr>
      <w:r>
        <w:t>Show inputs, time windows, calculation timestamp and uncertainty.</w:t>
      </w:r>
    </w:p>
    <w:p>
      <w:pPr>
        <w:pStyle w:val="ListBullet"/>
      </w:pPr>
      <w:r>
        <w:t>Add unit tests for contradictory signals and missing data.</w:t>
      </w:r>
    </w:p>
    <w:p>
      <w:r>
        <w:t>Verification / acceptance:</w:t>
      </w:r>
    </w:p>
    <w:p>
      <w:pPr>
        <w:pStyle w:val="ListBullet"/>
      </w:pPr>
      <w:r>
        <w:t>Every message is traceable to inputs and rule ID.</w:t>
      </w:r>
    </w:p>
    <w:p>
      <w:pPr>
        <w:pStyle w:val="ListBullet"/>
      </w:pPr>
      <w:r>
        <w:t>No buy/sell commands, fabricated probabilities or unexplained certainty.</w:t>
      </w:r>
    </w:p>
    <w:p>
      <w:pPr>
        <w:pStyle w:val="ListBullet"/>
      </w:pPr>
      <w:r>
        <w:t>Users find explanations helpful, not distracting.</w:t>
      </w:r>
    </w:p>
    <w:p>
      <w:r>
        <w:t>Gate: Evaluate whether Pulse adds value before expanding.</w:t>
      </w:r>
    </w:p>
    <w:p>
      <w:pPr>
        <w:pStyle w:val="Heading2"/>
      </w:pPr>
      <w:r>
        <w:t>M7 — Deep Dive and saved preferences</w:t>
      </w:r>
    </w:p>
    <w:p>
      <w:r>
        <w:t>Objective: Make the simple surface genuinely useful.</w:t>
      </w:r>
    </w:p>
    <w:p>
      <w:r>
        <w:t>Implementation:</w:t>
      </w:r>
    </w:p>
    <w:p>
      <w:pPr>
        <w:pStyle w:val="ListBullet"/>
      </w:pPr>
      <w:r>
        <w:t>Metric detail time-series, selectable periods, contextual definitions and comparisons.</w:t>
      </w:r>
    </w:p>
    <w:p>
      <w:pPr>
        <w:pStyle w:val="ListBullet"/>
      </w:pPr>
      <w:r>
        <w:t>Local settings for focus mode, cadence, alert sensitivity and timeframe.</w:t>
      </w:r>
    </w:p>
    <w:p>
      <w:pPr>
        <w:pStyle w:val="ListBullet"/>
      </w:pPr>
      <w:r>
        <w:t>Add event inspection and local history retention policy.</w:t>
      </w:r>
    </w:p>
    <w:p>
      <w:r>
        <w:t>Verification / acceptance:</w:t>
      </w:r>
    </w:p>
    <w:p>
      <w:pPr>
        <w:pStyle w:val="ListBullet"/>
      </w:pPr>
      <w:r>
        <w:t>All navigation and state restore on reload.</w:t>
      </w:r>
    </w:p>
    <w:p>
      <w:pPr>
        <w:pStyle w:val="ListBullet"/>
      </w:pPr>
      <w:r>
        <w:t>Charts accessible and usable on touch.</w:t>
      </w:r>
    </w:p>
    <w:p>
      <w:pPr>
        <w:pStyle w:val="ListBullet"/>
      </w:pPr>
      <w:r>
        <w:t>Data history limits clearly shown.</w:t>
      </w:r>
    </w:p>
    <w:p>
      <w:r>
        <w:t>Gate: Run a two-user evaluation over several sessions.</w:t>
      </w:r>
    </w:p>
    <w:p>
      <w:pPr>
        <w:pStyle w:val="Heading2"/>
      </w:pPr>
      <w:r>
        <w:t>M8 — Optional visible liquidity experiment</w:t>
      </w:r>
    </w:p>
    <w:p>
      <w:r>
        <w:t>Objective: Explore without overcommitting.</w:t>
      </w:r>
    </w:p>
    <w:p>
      <w:r>
        <w:t>Implementation:</w:t>
      </w:r>
    </w:p>
    <w:p>
      <w:pPr>
        <w:pStyle w:val="ListBullet"/>
      </w:pPr>
      <w:r>
        <w:t>Only if users request it: ingest bounded order-book depth and aggregate price buckets.</w:t>
      </w:r>
    </w:p>
    <w:p>
      <w:pPr>
        <w:pStyle w:val="ListBullet"/>
      </w:pPr>
      <w:r>
        <w:t>Highlight significant visible concentrations and changes, with cancellation caveats.</w:t>
      </w:r>
    </w:p>
    <w:p>
      <w:pPr>
        <w:pStyle w:val="ListBullet"/>
      </w:pPr>
      <w:r>
        <w:t>Do not label these as guaranteed support/resistance or liquidation zones.</w:t>
      </w:r>
    </w:p>
    <w:p>
      <w:r>
        <w:t>Verification / acceptance:</w:t>
      </w:r>
    </w:p>
    <w:p>
      <w:pPr>
        <w:pStyle w:val="ListBullet"/>
      </w:pPr>
      <w:r>
        <w:t>Snapshot/delta order-book reconstruction tested.</w:t>
      </w:r>
    </w:p>
    <w:p>
      <w:pPr>
        <w:pStyle w:val="ListBullet"/>
      </w:pPr>
      <w:r>
        <w:t>Rate and depth limits respected; events do not overwhelm overview.</w:t>
      </w:r>
    </w:p>
    <w:p>
      <w:r>
        <w:t>Gate: Keep only if useful and reliable.</w:t>
      </w:r>
    </w:p>
    <w:p>
      <w:pPr>
        <w:pStyle w:val="Heading1"/>
      </w:pPr>
      <w:r>
        <w:t>12. Test strategy and definition of done</w:t>
      </w:r>
    </w:p>
    <w:p>
      <w:pPr>
        <w:pStyle w:val="ListBullet"/>
      </w:pPr>
      <w:r>
        <w:t>Unit tests: signed volume, bucket edges, CVD resets, OI unit conversion, liquidation notional, event rules, deduplication and gaps.</w:t>
      </w:r>
    </w:p>
    <w:p>
      <w:pPr>
        <w:pStyle w:val="ListBullet"/>
      </w:pPr>
      <w:r>
        <w:t>Integration tests: recorded WebSocket messages; malformed messages; reconnects; provider downtime; stale feed.</w:t>
      </w:r>
    </w:p>
    <w:p>
      <w:pPr>
        <w:pStyle w:val="ListBullet"/>
      </w:pPr>
      <w:r>
        <w:t>E2E tests: desktop/tablet/phone, card drill-down, event dismissal, focus mode, demo/live switch, offline status.</w:t>
      </w:r>
    </w:p>
    <w:p>
      <w:pPr>
        <w:pStyle w:val="ListBullet"/>
      </w:pPr>
      <w:r>
        <w:t>Manual checks: Safari on iPad/iPhone, Chrome/Safari desktop, screen reader labels, reduced motion, text scaling.</w:t>
      </w:r>
    </w:p>
    <w:p>
      <w:pPr>
        <w:pStyle w:val="ListBullet"/>
      </w:pPr>
      <w:r>
        <w:t>Performance budget (target): smooth interactions on recent iPad; UI render throttling; bounded in-memory buffers; no unbounded event history. Measure rather than assume.</w:t>
      </w:r>
    </w:p>
    <w:p>
      <w:pPr>
        <w:pStyle w:val="ListBullet"/>
      </w:pPr>
      <w:r>
        <w:t>No milestone complete with failing checks, hidden errors, invented metrics or unresolved critical data discrepancies.</w:t>
      </w:r>
    </w:p>
    <w:p>
      <w:pPr>
        <w:pStyle w:val="Heading1"/>
      </w:pPr>
      <w:r>
        <w:t>13. Risks, constraints and decisions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Risk</w:t>
            </w:r>
          </w:p>
        </w:tc>
        <w:tc>
          <w:tcPr>
            <w:tcW w:type="dxa" w:w="4939"/>
          </w:tcPr>
          <w:p>
            <w:r>
              <w:t>Mitigation</w:t>
            </w:r>
          </w:p>
        </w:tc>
      </w:tr>
      <w:tr>
        <w:tc>
          <w:tcPr>
            <w:tcW w:type="dxa" w:w="4939"/>
          </w:tcPr>
          <w:p>
            <w:r>
              <w:t>UK access or API terms change</w:t>
            </w:r>
          </w:p>
        </w:tc>
        <w:tc>
          <w:tcPr>
            <w:tcW w:type="dxa" w:w="4939"/>
          </w:tcPr>
          <w:p>
            <w:r>
              <w:t>Provider feasibility gate; adapter isolation; do not bypass restrictions</w:t>
            </w:r>
          </w:p>
        </w:tc>
      </w:tr>
      <w:tr>
        <w:tc>
          <w:tcPr>
            <w:tcW w:type="dxa" w:w="4939"/>
          </w:tcPr>
          <w:p>
            <w:r>
              <w:t>Browser sleeps / gaps in CVD</w:t>
            </w:r>
          </w:p>
        </w:tc>
        <w:tc>
          <w:tcPr>
            <w:tcW w:type="dxa" w:w="4939"/>
          </w:tcPr>
          <w:p>
            <w:r>
              <w:t>Show session anchor and gaps; verified backfill or later persistent collector</w:t>
            </w:r>
          </w:p>
        </w:tc>
      </w:tr>
      <w:tr>
        <w:tc>
          <w:tcPr>
            <w:tcW w:type="dxa" w:w="4939"/>
          </w:tcPr>
          <w:p>
            <w:r>
              <w:t>OI and liquidation feed limitations</w:t>
            </w:r>
          </w:p>
        </w:tc>
        <w:tc>
          <w:tcPr>
            <w:tcW w:type="dxa" w:w="4939"/>
          </w:tcPr>
          <w:p>
            <w:r>
              <w:t>Label update cadence, units, completeness and staleness</w:t>
            </w:r>
          </w:p>
        </w:tc>
      </w:tr>
      <w:tr>
        <w:tc>
          <w:tcPr>
            <w:tcW w:type="dxa" w:w="4939"/>
          </w:tcPr>
          <w:p>
            <w:r>
              <w:t>False precision in market interpretations</w:t>
            </w:r>
          </w:p>
        </w:tc>
        <w:tc>
          <w:tcPr>
            <w:tcW w:type="dxa" w:w="4939"/>
          </w:tcPr>
          <w:p>
            <w:r>
              <w:t>Deterministic rules, neutral state and evidence drawer</w:t>
            </w:r>
          </w:p>
        </w:tc>
      </w:tr>
      <w:tr>
        <w:tc>
          <w:tcPr>
            <w:tcW w:type="dxa" w:w="4939"/>
          </w:tcPr>
          <w:p>
            <w:r>
              <w:t>Notification fatigue</w:t>
            </w:r>
          </w:p>
        </w:tc>
        <w:tc>
          <w:tcPr>
            <w:tcW w:type="dxa" w:w="4939"/>
          </w:tcPr>
          <w:p>
            <w:r>
              <w:t>Conservative thresholds, cooldown, quiet inbox</w:t>
            </w:r>
          </w:p>
        </w:tc>
      </w:tr>
      <w:tr>
        <w:tc>
          <w:tcPr>
            <w:tcW w:type="dxa" w:w="4939"/>
          </w:tcPr>
          <w:p>
            <w:r>
              <w:t>Scope creep / AI-generated code debt</w:t>
            </w:r>
          </w:p>
        </w:tc>
        <w:tc>
          <w:tcPr>
            <w:tcW w:type="dxa" w:w="4939"/>
          </w:tcPr>
          <w:p>
            <w:r>
              <w:t>One milestone at a time; tests and review before proceeding</w:t>
            </w:r>
          </w:p>
        </w:tc>
      </w:tr>
      <w:tr>
        <w:tc>
          <w:tcPr>
            <w:tcW w:type="dxa" w:w="4939"/>
          </w:tcPr>
          <w:p>
            <w:r>
              <w:t>Financial harm from overconfidence</w:t>
            </w:r>
          </w:p>
        </w:tc>
        <w:tc>
          <w:tcPr>
            <w:tcW w:type="dxa" w:w="4939"/>
          </w:tcPr>
          <w:p>
            <w:r>
              <w:t>Read-only tool; no trading signals; explicit uncertainty</w:t>
            </w:r>
          </w:p>
        </w:tc>
      </w:tr>
    </w:tbl>
    <w:p/>
    <w:p>
      <w:pPr>
        <w:pStyle w:val="Heading1"/>
      </w:pPr>
      <w:r>
        <w:t>14. Evaluation and stop/go</w:t>
      </w:r>
    </w:p>
    <w:p>
      <w:r>
        <w:t>After M1, ask: does this feel calm and worth opening? After M3, ask: can we prove the core calculations? After M5, ask: do free feeds provide enough coverage? After M7, ask: did the app change how efficiently the two users interpret order flow? Stop or simplify if any answer is no. Avoid paid infrastructure until users repeatedly choose the app over existing workflows.</w:t>
      </w:r>
    </w:p>
    <w:p>
      <w:pPr>
        <w:pStyle w:val="Heading1"/>
      </w:pPr>
      <w:r>
        <w:t>15. Codex master instruction (paste into goal)</w:t>
      </w:r>
    </w:p>
    <w:p>
      <w:r>
        <w:t>You are implementing Flowstate from this PRD. Treat the PRD as the product specification, but do not implement all milestones at once. First inspect the repository and report its current state. Identify the next uncompleted milestone (M0 initially). Write a short plan listing files, risks, tests and acceptance criteria. Implement ONLY that milestone, using clean TypeScript, modular components and deterministic fixtures. Run lint, typecheck, unit tests, build and relevant E2E tests; report actual results, including any commands you could not run. Do not claim tests passed without running them. Do not silently substitute mock data for live data. Do not add accounts, trading functionality, paid services, new libraries or unrelated features without approval. Update README and a milestone status file. Finish with a concise summary: changes, test evidence, known limitations, next proposed milestone. STOP and wait for explicit approval before proceeding.</w:t>
      </w:r>
    </w:p>
    <w:p>
      <w:pPr>
        <w:pStyle w:val="Heading1"/>
      </w:pPr>
      <w:r>
        <w:t>16. Suggested repository documents</w:t>
      </w:r>
    </w:p>
    <w:p>
      <w:pPr>
        <w:pStyle w:val="ListBullet"/>
      </w:pPr>
      <w:r>
        <w:t>PRD.md — this product specification and milestone gates.</w:t>
      </w:r>
    </w:p>
    <w:p>
      <w:pPr>
        <w:pStyle w:val="ListBullet"/>
      </w:pPr>
      <w:r>
        <w:t>AGENTS.md — short Codex operating rules, no scope expansion and test expectations.</w:t>
      </w:r>
    </w:p>
    <w:p>
      <w:pPr>
        <w:pStyle w:val="ListBullet"/>
      </w:pPr>
      <w:r>
        <w:t>MILESTONES.md — M0–M8 status, decisions, evidence and blockers.</w:t>
      </w:r>
    </w:p>
    <w:p>
      <w:pPr>
        <w:pStyle w:val="ListBullet"/>
      </w:pPr>
      <w:r>
        <w:t>DATA_SOURCES.md — tested endpoints, terms, symbol mappings, cadence and coverage.</w:t>
      </w:r>
    </w:p>
    <w:p>
      <w:pPr>
        <w:pStyle w:val="ListBullet"/>
      </w:pPr>
      <w:r>
        <w:t>METRICS.md — formula definitions, units, session anchors and examples.</w:t>
      </w:r>
    </w:p>
    <w:p>
      <w:pPr>
        <w:pStyle w:val="ListBullet"/>
      </w:pPr>
      <w:r>
        <w:t>DECISIONS.md — architecture decisions with dates and reasons.</w:t>
      </w:r>
    </w:p>
    <w:p>
      <w:pPr>
        <w:pStyle w:val="Heading1"/>
      </w:pPr>
      <w:r>
        <w:t>17. Open decisions</w:t>
      </w:r>
    </w:p>
    <w:p>
      <w:pPr>
        <w:pStyle w:val="ListBullet"/>
      </w:pPr>
      <w:r>
        <w:t>Final app name and visual identity (Flowstate is a placeholder).</w:t>
      </w:r>
    </w:p>
    <w:p>
      <w:pPr>
        <w:pStyle w:val="ListBullet"/>
      </w:pPr>
      <w:r>
        <w:t>Which exchange is legally and technically usable from the UK with adequate data coverage?</w:t>
      </w:r>
    </w:p>
    <w:p>
      <w:pPr>
        <w:pStyle w:val="ListBullet"/>
      </w:pPr>
      <w:r>
        <w:t>Preferred CVD anchor: UTC day, user-defined session, or rolling window (offer explicit selection).</w:t>
      </w:r>
    </w:p>
    <w:p>
      <w:pPr>
        <w:pStyle w:val="ListBullet"/>
      </w:pPr>
      <w:r>
        <w:t>Which price source and sampling windows should drive Market Pulse?</w:t>
      </w:r>
    </w:p>
    <w:p>
      <w:pPr>
        <w:pStyle w:val="ListBullet"/>
      </w:pPr>
      <w:r>
        <w:t>Whether users want only in-app events or optional device notifications later.</w:t>
      </w:r>
    </w:p>
    <w:p>
      <w:pPr>
        <w:pStyle w:val="ListBullet"/>
      </w:pPr>
      <w:r>
        <w:t>Whether local browser data is sufficient or a persistent shared collector becomes worthwhile.</w:t>
      </w:r>
    </w:p>
    <w:p>
      <w:r>
        <w:t>End of PRD — initial build should start with M0 and stop for review.</w:t>
      </w:r>
    </w:p>
    <w:sectPr w:rsidR="00FC693F" w:rsidRPr="0006063C" w:rsidSect="00034616">
      <w:headerReference w:type="default" r:id="rId9"/>
      <w:footerReference w:type="default" r:id="rId10"/>
      <w:pgSz w:w="12240" w:h="15840"/>
      <w:pgMar w:top="1123" w:right="1181" w:bottom="1008"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working draft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FLOWSTATE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414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B54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42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