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moMasthead"/>
        <w:jc w:val="left"/>
      </w:pPr>
      <w:r>
        <w:rPr>
          <w:rFonts w:ascii="Noto Sans CJK SC" w:hAnsi="Noto Sans CJK SC" w:eastAsia="Noto Sans CJK SC" w:cs="Noto Sans CJK SC"/>
          <w:b/>
          <w:color w:val="2E74B5"/>
          <w:sz w:val="20"/>
        </w:rPr>
        <w:t>NVIDIA DGX Spark Hackathon  ·  Product Requirements Document</w:t>
      </w:r>
    </w:p>
    <w:p>
      <w:pPr>
        <w:pStyle w:val="Title"/>
        <w:jc w:val="center"/>
      </w:pPr>
      <w:r>
        <w:rPr>
          <w:rFonts w:ascii="Noto Sans CJK SC" w:hAnsi="Noto Sans CJK SC" w:eastAsia="Noto Sans CJK SC" w:cs="Noto Sans CJK SC"/>
          <w:b/>
          <w:color w:val="0F172A"/>
          <w:sz w:val="52"/>
        </w:rPr>
        <w:t>出海方舟 OverseaArk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374151"/>
          <w:sz w:val="30"/>
        </w:rPr>
        <w:t>产品需求文档 v1.1</w:t>
      </w:r>
    </w:p>
    <w:p>
      <w:pPr>
        <w:jc w:val="center"/>
      </w:pPr>
      <w:r>
        <w:rPr>
          <w:rFonts w:ascii="Noto Sans CJK SC" w:hAnsi="Noto Sans CJK SC" w:eastAsia="Noto Sans CJK SC" w:cs="Noto Sans CJK SC"/>
          <w:b w:val="0"/>
          <w:color w:val="4B5563"/>
          <w:sz w:val="22"/>
        </w:rPr>
        <w:t>本地多模态外贸营销作战室</w:t>
      </w:r>
    </w:p>
    <w:p>
      <w:pPr>
        <w:jc w:val="center"/>
      </w:pPr>
      <w:r>
        <w:rPr>
          <w:rFonts w:ascii="Noto Sans CJK SC" w:hAnsi="Noto Sans CJK SC" w:eastAsia="Noto Sans CJK SC" w:cs="Noto Sans CJK SC"/>
          <w:b w:val="0"/>
          <w:color w:val="6B7280"/>
          <w:sz w:val="18"/>
        </w:rPr>
        <w:t>v1.1  |  DGX Spark / Ubuntu 24.04 / CUDA 13  |  2026-07-22</w:t>
      </w:r>
    </w:p>
    <w:p>
      <w:pPr>
        <w:spacing w:before="240" w:after="0"/>
        <w:pBdr>
          <w:bottom w:val="single" w:sz="10" w:color="2E74B5"/>
        </w:pBdr>
      </w:pPr>
    </w:p>
    <w:p>
      <w:r>
        <w:br w:type="page"/>
      </w:r>
    </w:p>
    <w:p>
      <w:pPr>
        <w:pStyle w:val="TOCInstruction"/>
        <w:jc w:val="left"/>
      </w:pPr>
      <w:r>
        <w:rPr>
          <w:b/>
        </w:rPr>
        <w:t>目录</w:t>
      </w:r>
    </w:p>
    <w:p>
      <w:pPr>
        <w:spacing w:before="0" w:after="60"/>
        <w:ind w:left="0"/>
      </w:pPr>
      <w:r>
        <w:rPr>
          <w:rFonts w:ascii="Noto Sans CJK SC" w:hAnsi="Noto Sans CJK SC" w:eastAsia="Noto Sans CJK SC" w:cs="Noto Sans CJK SC"/>
          <w:b/>
          <w:color w:val="374151"/>
          <w:sz w:val="20"/>
        </w:rPr>
        <w:t>修订记录</w:t>
      </w:r>
    </w:p>
    <w:p>
      <w:pPr>
        <w:spacing w:before="0" w:after="60"/>
        <w:ind w:left="0"/>
      </w:pPr>
      <w:r>
        <w:rPr>
          <w:rFonts w:ascii="Noto Sans CJK SC" w:hAnsi="Noto Sans CJK SC" w:eastAsia="Noto Sans CJK SC" w:cs="Noto Sans CJK SC"/>
          <w:b/>
          <w:color w:val="374151"/>
          <w:sz w:val="20"/>
        </w:rPr>
        <w:t>1. 产品定位</w:t>
      </w:r>
    </w:p>
    <w:p>
      <w:pPr>
        <w:spacing w:before="0" w:after="60"/>
        <w:ind w:left="0"/>
      </w:pPr>
      <w:r>
        <w:rPr>
          <w:rFonts w:ascii="Noto Sans CJK SC" w:hAnsi="Noto Sans CJK SC" w:eastAsia="Noto Sans CJK SC" w:cs="Noto Sans CJK SC"/>
          <w:b/>
          <w:color w:val="374151"/>
          <w:sz w:val="20"/>
        </w:rPr>
        <w:t>2. 用户与目标</w:t>
      </w:r>
    </w:p>
    <w:p>
      <w:pPr>
        <w:spacing w:before="0" w:after="20"/>
        <w:ind w:left="403"/>
      </w:pPr>
      <w:r>
        <w:rPr>
          <w:rFonts w:ascii="Noto Sans CJK SC" w:hAnsi="Noto Sans CJK SC" w:eastAsia="Noto Sans CJK SC" w:cs="Noto Sans CJK SC"/>
          <w:b w:val="0"/>
          <w:color w:val="374151"/>
          <w:sz w:val="18"/>
        </w:rPr>
        <w:t>2.1 成功指标</w:t>
      </w:r>
    </w:p>
    <w:p>
      <w:pPr>
        <w:spacing w:before="0" w:after="60"/>
        <w:ind w:left="0"/>
      </w:pPr>
      <w:r>
        <w:rPr>
          <w:rFonts w:ascii="Noto Sans CJK SC" w:hAnsi="Noto Sans CJK SC" w:eastAsia="Noto Sans CJK SC" w:cs="Noto Sans CJK SC"/>
          <w:b/>
          <w:color w:val="374151"/>
          <w:sz w:val="20"/>
        </w:rPr>
        <w:t>3. Monorepo 范围</w:t>
      </w:r>
    </w:p>
    <w:p>
      <w:pPr>
        <w:spacing w:before="0" w:after="20"/>
        <w:ind w:left="403"/>
      </w:pPr>
      <w:r>
        <w:rPr>
          <w:rFonts w:ascii="Noto Sans CJK SC" w:hAnsi="Noto Sans CJK SC" w:eastAsia="Noto Sans CJK SC" w:cs="Noto Sans CJK SC"/>
          <w:b w:val="0"/>
          <w:color w:val="374151"/>
          <w:sz w:val="18"/>
        </w:rPr>
        <w:t>3.1 本地数据与模型路径</w:t>
      </w:r>
    </w:p>
    <w:p>
      <w:pPr>
        <w:spacing w:before="0" w:after="60"/>
        <w:ind w:left="0"/>
      </w:pPr>
      <w:r>
        <w:rPr>
          <w:rFonts w:ascii="Noto Sans CJK SC" w:hAnsi="Noto Sans CJK SC" w:eastAsia="Noto Sans CJK SC" w:cs="Noto Sans CJK SC"/>
          <w:b/>
          <w:color w:val="374151"/>
          <w:sz w:val="20"/>
        </w:rPr>
        <w:t>4. 六阶段 Pipeline</w:t>
      </w:r>
    </w:p>
    <w:p>
      <w:pPr>
        <w:spacing w:before="0" w:after="20"/>
        <w:ind w:left="403"/>
      </w:pPr>
      <w:r>
        <w:rPr>
          <w:rFonts w:ascii="Noto Sans CJK SC" w:hAnsi="Noto Sans CJK SC" w:eastAsia="Noto Sans CJK SC" w:cs="Noto Sans CJK SC"/>
          <w:b w:val="0"/>
          <w:color w:val="374151"/>
          <w:sz w:val="18"/>
        </w:rPr>
        <w:t>4.1 Cosmos 约束</w:t>
      </w:r>
    </w:p>
    <w:p>
      <w:pPr>
        <w:spacing w:before="0" w:after="20"/>
        <w:ind w:left="403"/>
      </w:pPr>
      <w:r>
        <w:rPr>
          <w:rFonts w:ascii="Noto Sans CJK SC" w:hAnsi="Noto Sans CJK SC" w:eastAsia="Noto Sans CJK SC" w:cs="Noto Sans CJK SC"/>
          <w:b w:val="0"/>
          <w:color w:val="374151"/>
          <w:sz w:val="18"/>
        </w:rPr>
        <w:t>4.2 阶段状态</w:t>
      </w:r>
    </w:p>
    <w:p>
      <w:pPr>
        <w:spacing w:before="0" w:after="60"/>
        <w:ind w:left="0"/>
      </w:pPr>
      <w:r>
        <w:rPr>
          <w:rFonts w:ascii="Noto Sans CJK SC" w:hAnsi="Noto Sans CJK SC" w:eastAsia="Noto Sans CJK SC" w:cs="Noto Sans CJK SC"/>
          <w:b/>
          <w:color w:val="374151"/>
          <w:sz w:val="20"/>
        </w:rPr>
        <w:t>5. 本地模型合同</w:t>
      </w:r>
    </w:p>
    <w:p>
      <w:pPr>
        <w:spacing w:before="0" w:after="60"/>
        <w:ind w:left="0"/>
      </w:pPr>
      <w:r>
        <w:rPr>
          <w:rFonts w:ascii="Noto Sans CJK SC" w:hAnsi="Noto Sans CJK SC" w:eastAsia="Noto Sans CJK SC" w:cs="Noto Sans CJK SC"/>
          <w:b/>
          <w:color w:val="374151"/>
          <w:sz w:val="20"/>
        </w:rPr>
        <w:t>6. ModelManager 与统一内存</w:t>
      </w:r>
    </w:p>
    <w:p>
      <w:pPr>
        <w:spacing w:before="0" w:after="60"/>
        <w:ind w:left="0"/>
      </w:pPr>
      <w:r>
        <w:rPr>
          <w:rFonts w:ascii="Noto Sans CJK SC" w:hAnsi="Noto Sans CJK SC" w:eastAsia="Noto Sans CJK SC" w:cs="Noto Sans CJK SC"/>
          <w:b/>
          <w:color w:val="374151"/>
          <w:sz w:val="20"/>
        </w:rPr>
        <w:t>7. API v1 合同</w:t>
      </w:r>
    </w:p>
    <w:p>
      <w:pPr>
        <w:spacing w:before="0" w:after="60"/>
        <w:ind w:left="0"/>
      </w:pPr>
      <w:r>
        <w:rPr>
          <w:rFonts w:ascii="Noto Sans CJK SC" w:hAnsi="Noto Sans CJK SC" w:eastAsia="Noto Sans CJK SC" w:cs="Noto Sans CJK SC"/>
          <w:b/>
          <w:color w:val="374151"/>
          <w:sz w:val="20"/>
        </w:rPr>
        <w:t>8. 前端与部署</w:t>
      </w:r>
    </w:p>
    <w:p>
      <w:pPr>
        <w:spacing w:before="0" w:after="20"/>
        <w:ind w:left="403"/>
      </w:pPr>
      <w:r>
        <w:rPr>
          <w:rFonts w:ascii="Noto Sans CJK SC" w:hAnsi="Noto Sans CJK SC" w:eastAsia="Noto Sans CJK SC" w:cs="Noto Sans CJK SC"/>
          <w:b w:val="0"/>
          <w:color w:val="374151"/>
          <w:sz w:val="18"/>
        </w:rPr>
        <w:t>8.1 服务形态</w:t>
      </w:r>
    </w:p>
    <w:p>
      <w:pPr>
        <w:spacing w:before="0" w:after="20"/>
        <w:ind w:left="403"/>
      </w:pPr>
      <w:r>
        <w:rPr>
          <w:rFonts w:ascii="Noto Sans CJK SC" w:hAnsi="Noto Sans CJK SC" w:eastAsia="Noto Sans CJK SC" w:cs="Noto Sans CJK SC"/>
          <w:b w:val="0"/>
          <w:color w:val="374151"/>
          <w:sz w:val="18"/>
        </w:rPr>
        <w:t>8.2 工作台</w:t>
      </w:r>
    </w:p>
    <w:p>
      <w:pPr>
        <w:spacing w:before="0" w:after="60"/>
        <w:ind w:left="0"/>
      </w:pPr>
      <w:r>
        <w:rPr>
          <w:rFonts w:ascii="Noto Sans CJK SC" w:hAnsi="Noto Sans CJK SC" w:eastAsia="Noto Sans CJK SC" w:cs="Noto Sans CJK SC"/>
          <w:b/>
          <w:color w:val="374151"/>
          <w:sz w:val="20"/>
        </w:rPr>
        <w:t>9. 输入输出</w:t>
      </w:r>
    </w:p>
    <w:p>
      <w:pPr>
        <w:spacing w:before="0" w:after="60"/>
        <w:ind w:left="0"/>
      </w:pPr>
      <w:r>
        <w:rPr>
          <w:rFonts w:ascii="Noto Sans CJK SC" w:hAnsi="Noto Sans CJK SC" w:eastAsia="Noto Sans CJK SC" w:cs="Noto Sans CJK SC"/>
          <w:b/>
          <w:color w:val="374151"/>
          <w:sz w:val="20"/>
        </w:rPr>
        <w:t>10. 失败、重试与 partial</w:t>
      </w:r>
    </w:p>
    <w:p>
      <w:pPr>
        <w:spacing w:before="0" w:after="60"/>
        <w:ind w:left="0"/>
      </w:pPr>
      <w:r>
        <w:rPr>
          <w:rFonts w:ascii="Noto Sans CJK SC" w:hAnsi="Noto Sans CJK SC" w:eastAsia="Noto Sans CJK SC" w:cs="Noto Sans CJK SC"/>
          <w:b/>
          <w:color w:val="374151"/>
          <w:sz w:val="20"/>
        </w:rPr>
        <w:t>11. 隐私与离线</w:t>
      </w:r>
    </w:p>
    <w:p>
      <w:pPr>
        <w:spacing w:before="0" w:after="60"/>
        <w:ind w:left="0"/>
      </w:pPr>
      <w:r>
        <w:rPr>
          <w:rFonts w:ascii="Noto Sans CJK SC" w:hAnsi="Noto Sans CJK SC" w:eastAsia="Noto Sans CJK SC" w:cs="Noto Sans CJK SC"/>
          <w:b/>
          <w:color w:val="374151"/>
          <w:sz w:val="20"/>
        </w:rPr>
        <w:t>12. 验收标准</w:t>
      </w:r>
    </w:p>
    <w:p>
      <w:pPr>
        <w:spacing w:before="0" w:after="60"/>
        <w:ind w:left="0"/>
      </w:pPr>
      <w:r>
        <w:rPr>
          <w:rFonts w:ascii="Noto Sans CJK SC" w:hAnsi="Noto Sans CJK SC" w:eastAsia="Noto Sans CJK SC" w:cs="Noto Sans CJK SC"/>
          <w:b/>
          <w:color w:val="374151"/>
          <w:sz w:val="20"/>
        </w:rPr>
        <w:t>13. 竞赛评分映射与结论</w:t>
      </w:r>
    </w:p>
    <w:p>
      <w:r>
        <w:br w:type="page"/>
      </w:r>
    </w:p>
    <w:p>
      <w:r>
        <w:rPr>
          <w:rFonts w:ascii="Noto Sans CJK SC" w:hAnsi="Noto Sans CJK SC" w:eastAsia="Noto Sans CJK SC" w:cs="Noto Sans CJK SC"/>
          <w:sz w:val="22"/>
        </w:rPr>
        <w:t>本地多模态外贸营销作战室。一台 NVIDIA DGX Spark = 一支本地运行的多模态外贸营销团队。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Ind w:type="dxa" w:w="120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827"/>
                <w:sz w:val="18"/>
              </w:rPr>
              <w:t>字段</w:t>
            </w:r>
          </w:p>
        </w:tc>
        <w:tc>
          <w:tcPr>
            <w:tcW w:type="dxa" w:w="676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827"/>
                <w:sz w:val="18"/>
              </w:rPr>
              <w:t>内容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文档版本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v1.1</w:t>
            </w:r>
          </w:p>
        </w:tc>
      </w:tr>
      <w:tr>
        <w:trPr/>
        <w:tc>
          <w:tcPr>
            <w:tcW w:type="dxa" w:w="26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文档状态</w:t>
            </w:r>
          </w:p>
        </w:tc>
        <w:tc>
          <w:tcPr>
            <w:tcW w:type="dxa" w:w="676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实施基线稿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日期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2026-07-22</w:t>
            </w:r>
          </w:p>
        </w:tc>
      </w:tr>
      <w:tr>
        <w:trPr/>
        <w:tc>
          <w:tcPr>
            <w:tcW w:type="dxa" w:w="26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代码形态</w:t>
            </w:r>
          </w:p>
        </w:tc>
        <w:tc>
          <w:tcPr>
            <w:tcW w:type="dxa" w:w="676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OverseaArk monorepo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目标平台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NVIDIA DGX Spark, Ubuntu 24.04, aarch64, CUDA 13</w:t>
            </w:r>
          </w:p>
        </w:tc>
      </w:tr>
      <w:tr>
        <w:trPr/>
        <w:tc>
          <w:tcPr>
            <w:tcW w:type="dxa" w:w="26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运行时</w:t>
            </w:r>
          </w:p>
        </w:tc>
        <w:tc>
          <w:tcPr>
            <w:tcW w:type="dxa" w:w="676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Python 3.12, FastAPI, Vite TypeScript, SQLite, ffmpeg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语言范围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中文 zh、英文 en、日文 ja</w:t>
            </w:r>
          </w:p>
        </w:tc>
      </w:tr>
      <w:tr>
        <w:trPr/>
        <w:tc>
          <w:tcPr>
            <w:tcW w:type="dxa" w:w="26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离线边界</w:t>
            </w:r>
          </w:p>
        </w:tc>
        <w:tc>
          <w:tcPr>
            <w:tcW w:type="dxa" w:w="676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主生成链路不调用 ComfyUI、OpenClaw、StepFun 云 API、NVIDIA 托管推理 API 或其他云端生成 API</w:t>
            </w:r>
          </w:p>
        </w:tc>
      </w:tr>
    </w:tbl>
    <w:p>
      <w:pPr>
        <w:pStyle w:val="Heading1"/>
      </w:pPr>
      <w:r>
        <w:t>修订记录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Ind w:type="dxa" w:w="120"/>
      </w:tblPr>
      <w:tblGrid>
        <w:gridCol w:w="1900"/>
        <w:gridCol w:w="3730"/>
        <w:gridCol w:w="3730"/>
      </w:tblGrid>
      <w:tr>
        <w:trPr>
          <w:tblHeader w:val="true"/>
        </w:trPr>
        <w:tc>
          <w:tcPr>
            <w:tcW w:type="dxa" w:w="190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827"/>
                <w:sz w:val="18"/>
              </w:rPr>
              <w:t>版本</w:t>
            </w:r>
          </w:p>
        </w:tc>
        <w:tc>
          <w:tcPr>
            <w:tcW w:type="dxa" w:w="373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827"/>
                <w:sz w:val="18"/>
              </w:rPr>
              <w:t>日期</w:t>
            </w:r>
          </w:p>
        </w:tc>
        <w:tc>
          <w:tcPr>
            <w:tcW w:type="dxa" w:w="373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827"/>
                <w:sz w:val="18"/>
              </w:rPr>
              <w:t>说明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v1.0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2026-07-21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初版，定义外贸营销作战室方向</w:t>
            </w:r>
          </w:p>
        </w:tc>
      </w:tr>
      <w:tr>
        <w:trPr/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v1.1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2026-07-22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对齐最终实机实现：Qwen3.6 GGUF、CUDA llama.cpp、Step1X、Cosmos3-Edge、NeMo 音频栈、按需模型卸载、自动下载与对抗性验收</w:t>
            </w:r>
          </w:p>
        </w:tc>
      </w:tr>
    </w:tbl>
    <w:p>
      <w:pPr>
        <w:pStyle w:val="Heading1"/>
      </w:pPr>
      <w:r>
        <w:t>1. 产品定位</w:t>
      </w:r>
    </w:p>
    <w:p>
      <w:r>
        <w:rPr>
          <w:rFonts w:ascii="Noto Sans CJK SC" w:hAnsi="Noto Sans CJK SC" w:eastAsia="Noto Sans CJK SC" w:cs="Noto Sans CJK SC"/>
          <w:sz w:val="22"/>
        </w:rPr>
        <w:t>出海方舟 OverseaArk 是部署在 DGX Spark 上的本地多模态外贸营销 campaign 工作台。用户上传产品图，填写产品描述、来源市场、目标市场和 zh/en/ja 语言配置，系统用六个固定阶段生成市场定位、买家画像、多语言文案、视觉图、视频/语音素材、质量报告和导出包。</w:t>
      </w:r>
    </w:p>
    <w:p>
      <w:r>
        <w:rPr>
          <w:rFonts w:ascii="Noto Sans CJK SC" w:hAnsi="Noto Sans CJK SC" w:eastAsia="Noto Sans CJK SC" w:cs="Noto Sans CJK SC"/>
          <w:sz w:val="22"/>
        </w:rPr>
        <w:t>v1.1 的重点不是扩展云端能力，而是证明一台本地 DGX Spark 能把敏感产品资料留在本机，同时完成可观测、可重跑、可导出的多模态 Agent 流水线。</w:t>
      </w:r>
    </w:p>
    <w:p>
      <w:pPr>
        <w:pStyle w:val="Heading1"/>
      </w:pPr>
      <w:r>
        <w:t>2. 用户与目标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Ind w:type="dxa" w:w="120"/>
      </w:tblPr>
      <w:tblGrid>
        <w:gridCol w:w="1900"/>
        <w:gridCol w:w="2486"/>
        <w:gridCol w:w="2486"/>
        <w:gridCol w:w="2488"/>
      </w:tblGrid>
      <w:tr>
        <w:trPr>
          <w:tblHeader w:val="true"/>
        </w:trPr>
        <w:tc>
          <w:tcPr>
            <w:tcW w:type="dxa" w:w="190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827"/>
                <w:sz w:val="18"/>
              </w:rPr>
              <w:t>用户</w:t>
            </w:r>
          </w:p>
        </w:tc>
        <w:tc>
          <w:tcPr>
            <w:tcW w:type="dxa" w:w="2486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827"/>
                <w:sz w:val="18"/>
              </w:rPr>
              <w:t>场景</w:t>
            </w:r>
          </w:p>
        </w:tc>
        <w:tc>
          <w:tcPr>
            <w:tcW w:type="dxa" w:w="2486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827"/>
                <w:sz w:val="18"/>
              </w:rPr>
              <w:t>痛点</w:t>
            </w:r>
          </w:p>
        </w:tc>
        <w:tc>
          <w:tcPr>
            <w:tcW w:type="dxa" w:w="2488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827"/>
                <w:sz w:val="18"/>
              </w:rPr>
              <w:t>v1.1 价值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中小外贸卖家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新品上架、社媒投放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外包慢，云端工具成本高</w:t>
            </w:r>
          </w:p>
        </w:tc>
        <w:tc>
          <w:tcPr>
            <w:tcW w:type="dxa" w:w="2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本地生成 campaign 物料包</w:t>
            </w:r>
          </w:p>
        </w:tc>
      </w:tr>
      <w:tr>
        <w:trPr/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外贸工厂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面向海外采购商展示产品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产品图、工艺、报价资料敏感</w:t>
            </w:r>
          </w:p>
        </w:tc>
        <w:tc>
          <w:tcPr>
            <w:tcW w:type="dxa" w:w="2488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主链路离线，数据留在 `/home/Developer/overseaark-data`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跨境运营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zh/en/ja 内容复用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文案、图片、视频、配音割裂</w:t>
            </w:r>
          </w:p>
        </w:tc>
        <w:tc>
          <w:tcPr>
            <w:tcW w:type="dxa" w:w="2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六阶段统一编排和导出</w:t>
            </w:r>
          </w:p>
        </w:tc>
      </w:tr>
      <w:tr>
        <w:trPr/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演示评委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现场观察系统能力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需要看见 DGX Spark 价值</w:t>
            </w:r>
          </w:p>
        </w:tc>
        <w:tc>
          <w:tcPr>
            <w:tcW w:type="dxa" w:w="2488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统一内存串行调度、SSE 进度和离线证据</w:t>
            </w:r>
          </w:p>
        </w:tc>
      </w:tr>
    </w:tbl>
    <w:p>
      <w:pPr>
        <w:pStyle w:val="Heading2"/>
      </w:pPr>
      <w:r>
        <w:t>2.1 成功指标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Ind w:type="dxa" w:w="120"/>
      </w:tblPr>
      <w:tblGrid>
        <w:gridCol w:w="1900"/>
        <w:gridCol w:w="3730"/>
        <w:gridCol w:w="3730"/>
      </w:tblGrid>
      <w:tr>
        <w:trPr>
          <w:tblHeader w:val="true"/>
        </w:trPr>
        <w:tc>
          <w:tcPr>
            <w:tcW w:type="dxa" w:w="190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827"/>
                <w:sz w:val="18"/>
              </w:rPr>
              <w:t>类别</w:t>
            </w:r>
          </w:p>
        </w:tc>
        <w:tc>
          <w:tcPr>
            <w:tcW w:type="dxa" w:w="373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827"/>
                <w:sz w:val="18"/>
              </w:rPr>
              <w:t>指标</w:t>
            </w:r>
          </w:p>
        </w:tc>
        <w:tc>
          <w:tcPr>
            <w:tcW w:type="dxa" w:w="373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827"/>
                <w:sz w:val="18"/>
              </w:rPr>
              <w:t>目标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端到端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默认样例完整生成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&lt;= 10 分钟</w:t>
            </w:r>
          </w:p>
        </w:tc>
      </w:tr>
      <w:tr>
        <w:trPr/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语言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文案、TTS、ASR 校验覆盖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zh/en/ja 三种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离线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主生成链路公网请求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0</w:t>
            </w:r>
          </w:p>
        </w:tc>
      </w:tr>
      <w:tr>
        <w:trPr/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稳定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OOM、模型进程残留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0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视频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输出 campaign_video.mp4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至少 480p，可被 ffprobe 读取</w:t>
            </w:r>
          </w:p>
        </w:tc>
      </w:tr>
      <w:tr>
        <w:trPr/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质量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ASR 回读与 TTS 输入相似度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&gt;= 0.75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重试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阶段失败后保留已有产物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campaign 进入 `partial`</w:t>
            </w:r>
          </w:p>
        </w:tc>
      </w:tr>
    </w:tbl>
    <w:p>
      <w:pPr>
        <w:pStyle w:val="Heading1"/>
      </w:pPr>
      <w:r>
        <w:t>3. Monorepo 范围</w:t>
      </w:r>
    </w:p>
    <w:p>
      <w:r>
        <w:rPr>
          <w:rFonts w:ascii="Noto Sans CJK SC" w:hAnsi="Noto Sans CJK SC" w:eastAsia="Noto Sans CJK SC" w:cs="Noto Sans CJK SC"/>
          <w:sz w:val="22"/>
        </w:rPr>
        <w:t>v1.1 的仓库结构固定如下，其他目录方案不属于本版本合同。</w:t>
      </w:r>
    </w:p>
    <w:p>
      <w:pPr>
        <w:spacing w:before="80" w:after="160" w:line="240" w:lineRule="auto"/>
        <w:ind w:left="259" w:right="259"/>
        <w:shd w:fill="F3F4F6"/>
      </w:pPr>
      <w:r>
        <w:rPr>
          <w:rFonts w:ascii="Menlo" w:hAnsi="Menlo" w:eastAsia="Noto Sans CJK SC"/>
          <w:sz w:val="16"/>
        </w:rPr>
        <w:t>overseaark/</w:t>
      </w:r>
      <w:r>
        <w:br/>
      </w:r>
      <w:r>
        <w:rPr>
          <w:rFonts w:ascii="Menlo" w:hAnsi="Menlo" w:eastAsia="Noto Sans CJK SC"/>
          <w:sz w:val="16"/>
        </w:rPr>
        <w:t xml:space="preserve">  frontend/                 # Vite TypeScript 工作台源码</w:t>
      </w:r>
      <w:r>
        <w:br/>
      </w:r>
      <w:r>
        <w:rPr>
          <w:rFonts w:ascii="Menlo" w:hAnsi="Menlo" w:eastAsia="Noto Sans CJK SC"/>
          <w:sz w:val="16"/>
        </w:rPr>
        <w:t xml:space="preserve">  backend/                  # FastAPI 服务、SQLite 存储、Pipeline、ModelManager</w:t>
      </w:r>
      <w:r>
        <w:br/>
      </w:r>
      <w:r>
        <w:rPr>
          <w:rFonts w:ascii="Menlo" w:hAnsi="Menlo" w:eastAsia="Noto Sans CJK SC"/>
          <w:sz w:val="16"/>
        </w:rPr>
        <w:t xml:space="preserve">  scripts/                  # root lifecycle、model verify、adapter scripts</w:t>
      </w:r>
      <w:r>
        <w:br/>
      </w:r>
      <w:r>
        <w:rPr>
          <w:rFonts w:ascii="Menlo" w:hAnsi="Menlo" w:eastAsia="Noto Sans CJK SC"/>
          <w:sz w:val="16"/>
        </w:rPr>
        <w:t xml:space="preserve">  docs/                     # PRD、架构、部署、竞赛和模型文档</w:t>
      </w:r>
      <w:r>
        <w:br/>
      </w:r>
      <w:r>
        <w:rPr>
          <w:rFonts w:ascii="Menlo" w:hAnsi="Menlo" w:eastAsia="Noto Sans CJK SC"/>
          <w:sz w:val="16"/>
        </w:rPr>
        <w:t xml:space="preserve">  tests/e2e/                # 端到端契约测试和 mock server</w:t>
      </w:r>
      <w:r>
        <w:br/>
      </w:r>
      <w:r>
        <w:rPr>
          <w:rFonts w:ascii="Menlo" w:hAnsi="Menlo" w:eastAsia="Noto Sans CJK SC"/>
          <w:sz w:val="16"/>
        </w:rPr>
        <w:t xml:space="preserve">  runtime/frontend-dist/    # 生产构建后的前端静态资源</w:t>
      </w:r>
      <w:r>
        <w:br/>
      </w:r>
      <w:r>
        <w:rPr>
          <w:rFonts w:ascii="Menlo" w:hAnsi="Menlo" w:eastAsia="Noto Sans CJK SC"/>
          <w:sz w:val="16"/>
        </w:rPr>
        <w:t xml:space="preserve">  model-manifest.lock.json  # 固定模型清单和修订号</w:t>
      </w:r>
      <w:r>
        <w:br/>
      </w:r>
      <w:r>
        <w:rPr>
          <w:rFonts w:ascii="Menlo" w:hAnsi="Menlo" w:eastAsia="Noto Sans CJK SC"/>
          <w:sz w:val="16"/>
        </w:rPr>
        <w:t xml:space="preserve">  overseaark                # root 命令入口</w:t>
      </w:r>
    </w:p>
    <w:p>
      <w:pPr>
        <w:pStyle w:val="Heading2"/>
      </w:pPr>
      <w:r>
        <w:t>3.1 本地数据与模型路径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Ind w:type="dxa" w:w="120"/>
      </w:tblPr>
      <w:tblGrid>
        <w:gridCol w:w="1900"/>
        <w:gridCol w:w="3730"/>
        <w:gridCol w:w="3730"/>
      </w:tblGrid>
      <w:tr>
        <w:trPr>
          <w:tblHeader w:val="true"/>
        </w:trPr>
        <w:tc>
          <w:tcPr>
            <w:tcW w:type="dxa" w:w="190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827"/>
                <w:sz w:val="18"/>
              </w:rPr>
              <w:t>类型</w:t>
            </w:r>
          </w:p>
        </w:tc>
        <w:tc>
          <w:tcPr>
            <w:tcW w:type="dxa" w:w="373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827"/>
                <w:sz w:val="18"/>
              </w:rPr>
              <w:t>固定路径</w:t>
            </w:r>
          </w:p>
        </w:tc>
        <w:tc>
          <w:tcPr>
            <w:tcW w:type="dxa" w:w="373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827"/>
                <w:sz w:val="18"/>
              </w:rPr>
              <w:t>说明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项目根目录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`/home/Developer/overseaark`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DGX Spark 上的运行目录</w:t>
            </w:r>
          </w:p>
        </w:tc>
      </w:tr>
      <w:tr>
        <w:trPr/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数据目录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`/home/Developer/overseaark-data`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SQLite、uploads、artifacts、logs、pid 文件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模型目录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`/home/Developer/overseaark-models`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本地模型权重，不提交到 Git</w:t>
            </w:r>
          </w:p>
        </w:tc>
      </w:tr>
      <w:tr>
        <w:trPr/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前端构建目录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`runtime/frontend-dist`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FastAPI 单端口静态服务输入</w:t>
            </w:r>
          </w:p>
        </w:tc>
      </w:tr>
    </w:tbl>
    <w:p>
      <w:pPr>
        <w:pStyle w:val="Heading1"/>
      </w:pPr>
      <w:r>
        <w:t>4. 六阶段 Pipeline</w:t>
      </w:r>
    </w:p>
    <w:p>
      <w:r>
        <w:rPr>
          <w:rFonts w:ascii="Noto Sans CJK SC" w:hAnsi="Noto Sans CJK SC" w:eastAsia="Noto Sans CJK SC" w:cs="Noto Sans CJK SC"/>
          <w:sz w:val="22"/>
        </w:rPr>
        <w:t>阶段名称、顺序和输出是产品合同，必须与后端 `StageName` 保持一致。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Ind w:type="dxa" w:w="120"/>
      </w:tblPr>
      <w:tblGrid>
        <w:gridCol w:w="1900"/>
        <w:gridCol w:w="2486"/>
        <w:gridCol w:w="2486"/>
        <w:gridCol w:w="2488"/>
      </w:tblGrid>
      <w:tr>
        <w:trPr>
          <w:tblHeader w:val="true"/>
        </w:trPr>
        <w:tc>
          <w:tcPr>
            <w:tcW w:type="dxa" w:w="190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827"/>
                <w:sz w:val="18"/>
              </w:rPr>
              <w:t>顺序</w:t>
            </w:r>
          </w:p>
        </w:tc>
        <w:tc>
          <w:tcPr>
            <w:tcW w:type="dxa" w:w="2486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827"/>
                <w:sz w:val="18"/>
              </w:rPr>
              <w:t>阶段枚举</w:t>
            </w:r>
          </w:p>
        </w:tc>
        <w:tc>
          <w:tcPr>
            <w:tcW w:type="dxa" w:w="2486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827"/>
                <w:sz w:val="18"/>
              </w:rPr>
              <w:t>模型/工具</w:t>
            </w:r>
          </w:p>
        </w:tc>
        <w:tc>
          <w:tcPr>
            <w:tcW w:type="dxa" w:w="2488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827"/>
                <w:sz w:val="18"/>
              </w:rPr>
              <w:t>主要输出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1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`market_positioning`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Qwen3.6-35B-A3B Q4_K_M + BF16 mmproj</w:t>
            </w:r>
          </w:p>
        </w:tc>
        <w:tc>
          <w:tcPr>
            <w:tcW w:type="dxa" w:w="2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`positioning`、`differentiators`、目标市场上下文</w:t>
            </w:r>
          </w:p>
        </w:tc>
      </w:tr>
      <w:tr>
        <w:trPr/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2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`buyer_persona`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Qwen3.6-35B-A3B</w:t>
            </w:r>
          </w:p>
        </w:tc>
        <w:tc>
          <w:tcPr>
            <w:tcW w:type="dxa" w:w="2488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personas、采购动机、决策触发点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3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`multilingual_copy`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Qwen3.6-35B-A3B</w:t>
            </w:r>
          </w:p>
        </w:tc>
        <w:tc>
          <w:tcPr>
            <w:tcW w:type="dxa" w:w="2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zh/en/ja 的标题、卖点、详情、开发信和短视频脚本</w:t>
            </w:r>
          </w:p>
        </w:tc>
      </w:tr>
      <w:tr>
        <w:trPr/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4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`visual_design`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Step1X-Edit-v1p2 FP8 layerwise + Pillow</w:t>
            </w:r>
          </w:p>
        </w:tc>
        <w:tc>
          <w:tcPr>
            <w:tcW w:type="dxa" w:w="2488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`visual_design.png`；生成背景与产品编辑后再由 Pillow 排字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`media_production`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Cosmos3-Edge、Wan2.2 VAE、Magpie TTS、ffmpeg</w:t>
            </w:r>
          </w:p>
        </w:tc>
        <w:tc>
          <w:tcPr>
            <w:tcW w:type="dxa" w:w="2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`cosmos_video.mp4`、`campaign_video.mp4`、三语 WAV 和英文字幕</w:t>
            </w:r>
          </w:p>
        </w:tc>
      </w:tr>
      <w:tr>
        <w:trPr/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6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`quality_packaging`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Nemotron ASR、确定性文件检查、zip</w:t>
            </w:r>
          </w:p>
        </w:tc>
        <w:tc>
          <w:tcPr>
            <w:tcW w:type="dxa" w:w="2488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`manifest.json`、`qc_report.json`、`export.zip`</w:t>
            </w:r>
          </w:p>
        </w:tc>
      </w:tr>
    </w:tbl>
    <w:p>
      <w:pPr>
        <w:pStyle w:val="Heading2"/>
      </w:pPr>
      <w:r>
        <w:t>4.1 Cosmos 约束</w:t>
      </w:r>
    </w:p>
    <w:p>
      <w:r>
        <w:rPr>
          <w:rFonts w:ascii="Noto Sans CJK SC" w:hAnsi="Noto Sans CJK SC" w:eastAsia="Noto Sans CJK SC" w:cs="Noto Sans CJK SC"/>
          <w:sz w:val="22"/>
        </w:rPr>
        <w:t>Cosmos3-Edge 是 required video model，通过固定版本 NVIDIA Cosmos Framework 直接推理，使用本地 Wan2.2 VAE 作为 vision tokenizer 依赖，输出 832×480、24 fps、121 帧的真实图生视频。Cosmos-Predict2 仅是 optional pure text-to-image 灵感图能力，不是阶段 5 的视频依赖。</w:t>
      </w:r>
    </w:p>
    <w:p>
      <w:r>
        <w:rPr>
          <w:rFonts w:ascii="Noto Sans CJK SC" w:hAnsi="Noto Sans CJK SC" w:eastAsia="Noto Sans CJK SC" w:cs="Noto Sans CJK SC"/>
          <w:sz w:val="22"/>
        </w:rPr>
        <w:t>默认推理预算为 Step1X 6 步、Cosmos3-Edge 28 步；这是 DGX Spark 演示模式的实测平衡点，Step1X 单项基准为 176.3 秒，并可通过环境变量提高质量预算。Cosmos 真模型失败时，只有显式允许才生成标记为 `degraded` 的 ffmpeg 兜底视频；该产物不能让阶段冒充成功。</w:t>
      </w:r>
    </w:p>
    <w:p>
      <w:pPr>
        <w:pStyle w:val="Heading2"/>
      </w:pPr>
      <w:r>
        <w:t>4.2 阶段状态</w:t>
      </w:r>
    </w:p>
    <w:p>
      <w:r>
        <w:rPr>
          <w:rFonts w:ascii="Noto Sans CJK SC" w:hAnsi="Noto Sans CJK SC" w:eastAsia="Noto Sans CJK SC" w:cs="Noto Sans CJK SC"/>
          <w:sz w:val="22"/>
        </w:rPr>
        <w:t>Campaign 状态枚举仅为：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Ind w:type="dxa" w:w="120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827"/>
                <w:sz w:val="18"/>
              </w:rPr>
              <w:t>状态</w:t>
            </w:r>
          </w:p>
        </w:tc>
        <w:tc>
          <w:tcPr>
            <w:tcW w:type="dxa" w:w="676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827"/>
                <w:sz w:val="18"/>
              </w:rPr>
              <w:t>含义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`queued`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已创建并等待执行</w:t>
            </w:r>
          </w:p>
        </w:tc>
      </w:tr>
      <w:tr>
        <w:trPr/>
        <w:tc>
          <w:tcPr>
            <w:tcW w:type="dxa" w:w="26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`running`</w:t>
            </w:r>
          </w:p>
        </w:tc>
        <w:tc>
          <w:tcPr>
            <w:tcW w:type="dxa" w:w="676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pipeline 正在执行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`completed`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六阶段全部成功</w:t>
            </w:r>
          </w:p>
        </w:tc>
      </w:tr>
      <w:tr>
        <w:trPr/>
        <w:tc>
          <w:tcPr>
            <w:tcW w:type="dxa" w:w="26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`partial`</w:t>
            </w:r>
          </w:p>
        </w:tc>
        <w:tc>
          <w:tcPr>
            <w:tcW w:type="dxa" w:w="676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至少一个阶段最终失败，但已有有效产物被保留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`failed`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无可用产物或无法建立 campaign</w:t>
            </w:r>
          </w:p>
        </w:tc>
      </w:tr>
      <w:tr>
        <w:trPr/>
        <w:tc>
          <w:tcPr>
            <w:tcW w:type="dxa" w:w="26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`cancelled`</w:t>
            </w:r>
          </w:p>
        </w:tc>
        <w:tc>
          <w:tcPr>
            <w:tcW w:type="dxa" w:w="676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用户取消</w:t>
            </w:r>
          </w:p>
        </w:tc>
      </w:tr>
    </w:tbl>
    <w:p>
      <w:r>
        <w:rPr>
          <w:rFonts w:ascii="Noto Sans CJK SC" w:hAnsi="Noto Sans CJK SC" w:eastAsia="Noto Sans CJK SC" w:cs="Noto Sans CJK SC"/>
          <w:sz w:val="22"/>
        </w:rPr>
        <w:t>Stage 状态枚举仅为：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Ind w:type="dxa" w:w="120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827"/>
                <w:sz w:val="18"/>
              </w:rPr>
              <w:t>状态</w:t>
            </w:r>
          </w:p>
        </w:tc>
        <w:tc>
          <w:tcPr>
            <w:tcW w:type="dxa" w:w="676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827"/>
                <w:sz w:val="18"/>
              </w:rPr>
              <w:t>含义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`pending`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阶段尚未开始</w:t>
            </w:r>
          </w:p>
        </w:tc>
      </w:tr>
      <w:tr>
        <w:trPr/>
        <w:tc>
          <w:tcPr>
            <w:tcW w:type="dxa" w:w="26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`running`</w:t>
            </w:r>
          </w:p>
        </w:tc>
        <w:tc>
          <w:tcPr>
            <w:tcW w:type="dxa" w:w="676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阶段执行中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`succeeded`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阶段成功并写入输出</w:t>
            </w:r>
          </w:p>
        </w:tc>
      </w:tr>
      <w:tr>
        <w:trPr/>
        <w:tc>
          <w:tcPr>
            <w:tcW w:type="dxa" w:w="26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`failed`</w:t>
            </w:r>
          </w:p>
        </w:tc>
        <w:tc>
          <w:tcPr>
            <w:tcW w:type="dxa" w:w="676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阶段两次尝试后仍失败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`skipped`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上游失败或取消后跳过</w:t>
            </w:r>
          </w:p>
        </w:tc>
      </w:tr>
    </w:tbl>
    <w:p>
      <w:r>
        <w:rPr>
          <w:rFonts w:ascii="Noto Sans CJK SC" w:hAnsi="Noto Sans CJK SC" w:eastAsia="Noto Sans CJK SC" w:cs="Noto Sans CJK SC"/>
          <w:sz w:val="22"/>
        </w:rPr>
        <w:t>模型加载、保存中、降级说明、进度百分比等属于内部 event/message 字段，不新增状态枚举。</w:t>
      </w:r>
    </w:p>
    <w:p>
      <w:pPr>
        <w:pStyle w:val="Heading1"/>
      </w:pPr>
      <w:r>
        <w:t>5. 本地模型合同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Ind w:type="dxa" w:w="120"/>
      </w:tblPr>
      <w:tblGrid>
        <w:gridCol w:w="1900"/>
        <w:gridCol w:w="2486"/>
        <w:gridCol w:w="2486"/>
        <w:gridCol w:w="2488"/>
      </w:tblGrid>
      <w:tr>
        <w:trPr>
          <w:tblHeader w:val="true"/>
        </w:trPr>
        <w:tc>
          <w:tcPr>
            <w:tcW w:type="dxa" w:w="190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827"/>
                <w:sz w:val="18"/>
              </w:rPr>
              <w:t>能力</w:t>
            </w:r>
          </w:p>
        </w:tc>
        <w:tc>
          <w:tcPr>
            <w:tcW w:type="dxa" w:w="2486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827"/>
                <w:sz w:val="18"/>
              </w:rPr>
              <w:t>模型</w:t>
            </w:r>
          </w:p>
        </w:tc>
        <w:tc>
          <w:tcPr>
            <w:tcW w:type="dxa" w:w="2486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827"/>
                <w:sz w:val="18"/>
              </w:rPr>
              <w:t>修订/要求</w:t>
            </w:r>
          </w:p>
        </w:tc>
        <w:tc>
          <w:tcPr>
            <w:tcW w:type="dxa" w:w="2488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827"/>
                <w:sz w:val="18"/>
              </w:rPr>
              <w:t>必需性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LLM/VLM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Qwen3.6-35B-A3B GGUF Q4_K_M + BF16 mmproj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ModelScope `ggml-org/Qwen3.6-35B-A3B-GGUF`，revision `37b9ed4...`；CUDA llama.cpp `76f46ad...`</w:t>
            </w:r>
          </w:p>
        </w:tc>
        <w:tc>
          <w:tcPr>
            <w:tcW w:type="dxa" w:w="2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required</w:t>
            </w:r>
          </w:p>
        </w:tc>
      </w:tr>
      <w:tr>
        <w:trPr/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图片编辑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Step1X-Edit-v1p2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`stepfun-ai/Step1X-Edit-v1p2`，revision `ca85b97...`；FP8 layerwise、默认全 GPU</w:t>
            </w:r>
          </w:p>
        </w:tc>
        <w:tc>
          <w:tcPr>
            <w:tcW w:type="dxa" w:w="2488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required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T2I 辅助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Cosmos-Predict2 0.6B Text2Image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optional pure T2I；不能作为视频依赖</w:t>
            </w:r>
          </w:p>
        </w:tc>
        <w:tc>
          <w:tcPr>
            <w:tcW w:type="dxa" w:w="2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optional</w:t>
            </w:r>
          </w:p>
        </w:tc>
      </w:tr>
      <w:tr>
        <w:trPr/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视频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Cosmos3-Edge + Wan2.2 VAE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revision `6f58f6...`；Cosmos Framework `ed8287f...`；Wan VAE `921dbaf...`</w:t>
            </w:r>
          </w:p>
        </w:tc>
        <w:tc>
          <w:tcPr>
            <w:tcW w:type="dxa" w:w="2488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required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ASR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Nemotron ASR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revision `f3d333391852ba876df169dcc9ba902d25b6ab0b`</w:t>
            </w:r>
          </w:p>
        </w:tc>
        <w:tc>
          <w:tcPr>
            <w:tcW w:type="dxa" w:w="2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required</w:t>
            </w:r>
          </w:p>
        </w:tc>
      </w:tr>
      <w:tr>
        <w:trPr/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TTS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Magpie TTS Multilingual 357M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revision `34d7e40da85cabc97f92198889b65cea27bc7fd1`</w:t>
            </w:r>
          </w:p>
        </w:tc>
        <w:tc>
          <w:tcPr>
            <w:tcW w:type="dxa" w:w="2488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required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TTS 解码依赖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NeMo NanoCodec + ByT5 tokenizer</w:t>
            </w:r>
          </w:p>
        </w:tc>
        <w:tc>
          <w:tcPr>
            <w:tcW w:type="dxa" w:w="2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NanoCodec `3c482a4...`、ByT5 `68377bd...`</w:t>
            </w:r>
          </w:p>
        </w:tc>
        <w:tc>
          <w:tcPr>
            <w:tcW w:type="dxa" w:w="2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required</w:t>
            </w:r>
          </w:p>
        </w:tc>
      </w:tr>
      <w:tr>
        <w:trPr/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媒体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ffmpeg/ffprobe</w:t>
            </w:r>
          </w:p>
        </w:tc>
        <w:tc>
          <w:tcPr>
            <w:tcW w:type="dxa" w:w="2486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本机二进制</w:t>
            </w:r>
          </w:p>
        </w:tc>
        <w:tc>
          <w:tcPr>
            <w:tcW w:type="dxa" w:w="2488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required</w:t>
            </w:r>
          </w:p>
        </w:tc>
      </w:tr>
    </w:tbl>
    <w:p>
      <w:r>
        <w:rPr>
          <w:rFonts w:ascii="Noto Sans CJK SC" w:hAnsi="Noto Sans CJK SC" w:eastAsia="Noto Sans CJK SC" w:cs="Noto Sans CJK SC"/>
          <w:sz w:val="22"/>
        </w:rPr>
        <w:t>主链路不使用 ComfyUI、OpenClaw、云端 LLM、云端图像、云端语音或云端视频 API。</w:t>
      </w:r>
    </w:p>
    <w:p>
      <w:pPr>
        <w:pStyle w:val="Heading1"/>
      </w:pPr>
      <w:r>
        <w:t>6. ModelManager 与统一内存</w:t>
      </w:r>
    </w:p>
    <w:p>
      <w:r>
        <w:rPr>
          <w:rFonts w:ascii="Noto Sans CJK SC" w:hAnsi="Noto Sans CJK SC" w:eastAsia="Noto Sans CJK SC" w:cs="Noto Sans CJK SC"/>
          <w:sz w:val="22"/>
        </w:rPr>
        <w:t>ModelManager 是重型模型访问边界。它把 Qwen3.6、Step1X、Cosmos3-Edge、Magpie TTS、Nemotron ASR 的调用串行化，避免多个大模型同时常驻 DGX Spark 统一内存。连续 LLM 阶段复用同一个本地 llama.cpp 进程；进入图片、视频或音频阶段前停止 LLM，重型 adapter 退出后释放 CUDA context。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Ind w:type="dxa" w:w="120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827"/>
                <w:sz w:val="18"/>
              </w:rPr>
              <w:t>规则</w:t>
            </w:r>
          </w:p>
        </w:tc>
        <w:tc>
          <w:tcPr>
            <w:tcW w:type="dxa" w:w="676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827"/>
                <w:sz w:val="18"/>
              </w:rPr>
              <w:t>要求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串行重型模型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同一时刻只允许一个 heavy model adapter active</w:t>
            </w:r>
          </w:p>
        </w:tc>
      </w:tr>
      <w:tr>
        <w:trPr/>
        <w:tc>
          <w:tcPr>
            <w:tcW w:type="dxa" w:w="26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命令边界</w:t>
            </w:r>
          </w:p>
        </w:tc>
        <w:tc>
          <w:tcPr>
            <w:tcW w:type="dxa" w:w="676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command adapter 从 stdin 读 JSON；最后一行 stdout 必须是结果 JSON，前置 NeMo 日志允许存在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失败处理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非零退出、非 JSON、schema 不符均计为阶段失败</w:t>
            </w:r>
          </w:p>
        </w:tc>
      </w:tr>
      <w:tr>
        <w:trPr/>
        <w:tc>
          <w:tcPr>
            <w:tcW w:type="dxa" w:w="26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残留清理</w:t>
            </w:r>
          </w:p>
        </w:tc>
        <w:tc>
          <w:tcPr>
            <w:tcW w:type="dxa" w:w="676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阶段结束后不得留下未回收模型子进程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证据记录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manifest/qc 记录模型 id、revision、路径、耗时、重试和离线标记</w:t>
            </w:r>
          </w:p>
        </w:tc>
      </w:tr>
    </w:tbl>
    <w:p>
      <w:pPr>
        <w:pStyle w:val="Heading1"/>
      </w:pPr>
      <w:r>
        <w:t>7. API v1 合同</w:t>
      </w:r>
    </w:p>
    <w:p>
      <w:r>
        <w:rPr>
          <w:rFonts w:ascii="Noto Sans CJK SC" w:hAnsi="Noto Sans CJK SC" w:eastAsia="Noto Sans CJK SC" w:cs="Noto Sans CJK SC"/>
          <w:sz w:val="22"/>
        </w:rPr>
        <w:t>只把已实现/批准的 API 当作当前合同。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Ind w:type="dxa" w:w="120"/>
      </w:tblPr>
      <w:tblGrid>
        <w:gridCol w:w="1900"/>
        <w:gridCol w:w="3730"/>
        <w:gridCol w:w="3730"/>
      </w:tblGrid>
      <w:tr>
        <w:trPr>
          <w:tblHeader w:val="true"/>
        </w:trPr>
        <w:tc>
          <w:tcPr>
            <w:tcW w:type="dxa" w:w="190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827"/>
                <w:sz w:val="18"/>
              </w:rPr>
              <w:t>方法</w:t>
            </w:r>
          </w:p>
        </w:tc>
        <w:tc>
          <w:tcPr>
            <w:tcW w:type="dxa" w:w="373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827"/>
                <w:sz w:val="18"/>
              </w:rPr>
              <w:t>路径</w:t>
            </w:r>
          </w:p>
        </w:tc>
        <w:tc>
          <w:tcPr>
            <w:tcW w:type="dxa" w:w="373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827"/>
                <w:sz w:val="18"/>
              </w:rPr>
              <w:t>说明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`GET`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`/api/v1/health`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健康检查</w:t>
            </w:r>
          </w:p>
        </w:tc>
      </w:tr>
      <w:tr>
        <w:trPr/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`GET`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`/api/v1/models`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模型清单和可用性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`POST`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`/api/v1/transcriptions`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上传音频并返回 ASR 结果</w:t>
            </w:r>
          </w:p>
        </w:tc>
      </w:tr>
      <w:tr>
        <w:trPr/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`POST`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`/api/v1/campaigns`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multipart 创建 campaign，并进入 `queued`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`GET`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`/api/v1/campaigns`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campaign 列表</w:t>
            </w:r>
          </w:p>
        </w:tc>
      </w:tr>
      <w:tr>
        <w:trPr/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`GET`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`/api/v1/campaigns/{id}`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campaign 详情、阶段、artifacts、events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`GET`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`/api/v1/campaigns/{id}/events`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Server-Sent Events</w:t>
            </w:r>
          </w:p>
        </w:tc>
      </w:tr>
      <w:tr>
        <w:trPr/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`POST`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`/api/v1/campaigns/{id}/rerun`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从第一阶段重跑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`POST`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`/api/v1/campaigns/{id}/rerun/{stage}`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从指定阶段重跑，stage 为六阶段枚举</w:t>
            </w:r>
          </w:p>
        </w:tc>
      </w:tr>
      <w:tr>
        <w:trPr/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`POST`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`/api/v1/campaigns/{id}/cancel`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取消 campaign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`GET`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`/api/v1/campaigns/{id}/export`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下载导出 ZIP</w:t>
            </w:r>
          </w:p>
        </w:tc>
      </w:tr>
    </w:tbl>
    <w:p>
      <w:r>
        <w:rPr>
          <w:rFonts w:ascii="Noto Sans CJK SC" w:hAnsi="Noto Sans CJK SC" w:eastAsia="Noto Sans CJK SC" w:cs="Noto Sans CJK SC"/>
          <w:sz w:val="22"/>
        </w:rPr>
        <w:t>SSE 用于呈现进度和日志，可包含 campaign/stage 状态变化、内部模型加载消息、artifact 写入消息、错误消息和完成消息。SSE event 名称是可观测事件，不是状态枚举来源。</w:t>
      </w:r>
    </w:p>
    <w:p>
      <w:pPr>
        <w:pStyle w:val="Heading1"/>
      </w:pPr>
      <w:r>
        <w:t>8. 前端与部署</w:t>
      </w:r>
    </w:p>
    <w:p>
      <w:pPr>
        <w:pStyle w:val="Heading2"/>
      </w:pPr>
      <w:r>
        <w:t>8.1 服务形态</w:t>
      </w:r>
    </w:p>
    <w:p>
      <w:r>
        <w:rPr>
          <w:rFonts w:ascii="Noto Sans CJK SC" w:hAnsi="Noto Sans CJK SC" w:eastAsia="Noto Sans CJK SC" w:cs="Noto Sans CJK SC"/>
          <w:sz w:val="22"/>
        </w:rPr>
        <w:t>批准合同是 FastAPI 在 `127.0.0.1:8000` 提供 API，并从 `runtime/frontend-dist` 服务生产前端静态资源。外部访问通过 SSH tunnel 暴露本地端口，不把 DGX Spark 服务绑定到公网网卡。</w:t>
      </w:r>
    </w:p>
    <w:p>
      <w:pPr>
        <w:spacing w:before="80" w:after="160" w:line="240" w:lineRule="auto"/>
        <w:ind w:left="259" w:right="259"/>
        <w:shd w:fill="F3F4F6"/>
      </w:pPr>
      <w:r>
        <w:rPr>
          <w:rFonts w:ascii="Menlo" w:hAnsi="Menlo" w:eastAsia="Noto Sans CJK SC"/>
          <w:sz w:val="16"/>
        </w:rPr>
        <w:t>cd /home/Developer/overseaark</w:t>
      </w:r>
      <w:r>
        <w:br/>
      </w:r>
      <w:r>
        <w:rPr>
          <w:rFonts w:ascii="Menlo" w:hAnsi="Menlo" w:eastAsia="Noto Sans CJK SC"/>
          <w:sz w:val="16"/>
        </w:rPr>
        <w:t>cp .env.example .env</w:t>
      </w:r>
      <w:r>
        <w:br/>
      </w:r>
      <w:r>
        <w:rPr>
          <w:rFonts w:ascii="Menlo" w:hAnsi="Menlo" w:eastAsia="Noto Sans CJK SC"/>
          <w:sz w:val="16"/>
        </w:rPr>
        <w:t>./overseaark start</w:t>
      </w:r>
    </w:p>
    <w:p>
      <w:r>
        <w:rPr>
          <w:rFonts w:ascii="Noto Sans CJK SC" w:hAnsi="Noto Sans CJK SC" w:eastAsia="Noto Sans CJK SC" w:cs="Noto Sans CJK SC"/>
          <w:sz w:val="22"/>
        </w:rPr>
        <w:t>`start` 必须是幂等一键入口：依赖缺失时自动 bootstrap，必需模型缺失、尺寸错误或 SHA256 不匹配时自动断点续传修复，然后构建前端、启动本地 LLM 和 FastAPI，并通过健康检查。安装必须使用 TUNA PyPI 镜像；模型按清单优先走 ModelScope，NVIDIA 音频模型通过固定 revision 的 Hugging Face 下载，并以 `https://hf-mirror.com` 加速。`bootstrap` 和 `models sync` 保留为显式运维命令。</w:t>
      </w:r>
    </w:p>
    <w:p>
      <w:r>
        <w:rPr>
          <w:rFonts w:ascii="Noto Sans CJK SC" w:hAnsi="Noto Sans CJK SC" w:eastAsia="Noto Sans CJK SC" w:cs="Noto Sans CJK SC"/>
          <w:sz w:val="22"/>
        </w:rPr>
        <w:t>开发/烟测模式允许跳过重型模型：</w:t>
      </w:r>
    </w:p>
    <w:p>
      <w:pPr>
        <w:spacing w:before="80" w:after="160" w:line="240" w:lineRule="auto"/>
        <w:ind w:left="259" w:right="259"/>
        <w:shd w:fill="F3F4F6"/>
      </w:pPr>
      <w:r>
        <w:rPr>
          <w:rFonts w:ascii="Menlo" w:hAnsi="Menlo" w:eastAsia="Noto Sans CJK SC"/>
          <w:sz w:val="16"/>
        </w:rPr>
        <w:t>OVERSEAARK_MOCK_MODE=1 OVERSEAARK_SKIP_MODELS=1 ./overseaark bootstrap</w:t>
      </w:r>
      <w:r>
        <w:br/>
      </w:r>
      <w:r>
        <w:rPr>
          <w:rFonts w:ascii="Menlo" w:hAnsi="Menlo" w:eastAsia="Noto Sans CJK SC"/>
          <w:sz w:val="16"/>
        </w:rPr>
        <w:t>OVERSEAARK_MOCK_MODE=1 OVERSEAARK_SKIP_MODELS=1 ./overseaark start</w:t>
      </w:r>
    </w:p>
    <w:p>
      <w:r>
        <w:rPr>
          <w:rFonts w:ascii="Noto Sans CJK SC" w:hAnsi="Noto Sans CJK SC" w:eastAsia="Noto Sans CJK SC" w:cs="Noto Sans CJK SC"/>
          <w:sz w:val="22"/>
        </w:rPr>
        <w:t>SSH tunnel 示例：</w:t>
      </w:r>
    </w:p>
    <w:p>
      <w:pPr>
        <w:spacing w:before="80" w:after="160" w:line="240" w:lineRule="auto"/>
        <w:ind w:left="259" w:right="259"/>
        <w:shd w:fill="F3F4F6"/>
      </w:pPr>
      <w:r>
        <w:rPr>
          <w:rFonts w:ascii="Menlo" w:hAnsi="Menlo" w:eastAsia="Noto Sans CJK SC"/>
          <w:sz w:val="16"/>
        </w:rPr>
        <w:t>ssh -p 6105 -L 8000:127.0.0.1:8000 root@106.13.186.155</w:t>
      </w:r>
    </w:p>
    <w:p>
      <w:r>
        <w:rPr>
          <w:rFonts w:ascii="Noto Sans CJK SC" w:hAnsi="Noto Sans CJK SC" w:eastAsia="Noto Sans CJK SC" w:cs="Noto Sans CJK SC"/>
          <w:sz w:val="22"/>
        </w:rPr>
        <w:t>打开 `http://127.0.0.1:8000` 使用前端，API base 为 `http://127.0.0.1:8000/api/v1`。</w:t>
      </w:r>
    </w:p>
    <w:p>
      <w:pPr>
        <w:pStyle w:val="Heading2"/>
      </w:pPr>
      <w:r>
        <w:t>8.2 工作台</w:t>
      </w:r>
    </w:p>
    <w:p>
      <w:r>
        <w:rPr>
          <w:rFonts w:ascii="Noto Sans CJK SC" w:hAnsi="Noto Sans CJK SC" w:eastAsia="Noto Sans CJK SC" w:cs="Noto Sans CJK SC"/>
          <w:sz w:val="22"/>
        </w:rPr>
        <w:t>前端第一屏就是工作台：上传产品图、填写描述、选择 source_market/target_markets/languages、查看六阶段进度、接收 SSE 日志、预览 artifacts、执行 rerun/cancel/export。</w:t>
      </w:r>
    </w:p>
    <w:p>
      <w:pPr>
        <w:pStyle w:val="Heading1"/>
      </w:pPr>
      <w:r>
        <w:t>9. 输入输出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Ind w:type="dxa" w:w="120"/>
      </w:tblPr>
      <w:tblGrid>
        <w:gridCol w:w="1900"/>
        <w:gridCol w:w="3730"/>
        <w:gridCol w:w="3730"/>
      </w:tblGrid>
      <w:tr>
        <w:trPr>
          <w:tblHeader w:val="true"/>
        </w:trPr>
        <w:tc>
          <w:tcPr>
            <w:tcW w:type="dxa" w:w="190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827"/>
                <w:sz w:val="18"/>
              </w:rPr>
              <w:t>类型</w:t>
            </w:r>
          </w:p>
        </w:tc>
        <w:tc>
          <w:tcPr>
            <w:tcW w:type="dxa" w:w="373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827"/>
                <w:sz w:val="18"/>
              </w:rPr>
              <w:t>字段/文件</w:t>
            </w:r>
          </w:p>
        </w:tc>
        <w:tc>
          <w:tcPr>
            <w:tcW w:type="dxa" w:w="373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827"/>
                <w:sz w:val="18"/>
              </w:rPr>
              <w:t>要求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产品图片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`product_image`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multipart；JPEG/PNG/WebP；最大 20MB</w:t>
            </w:r>
          </w:p>
        </w:tc>
      </w:tr>
      <w:tr>
        <w:trPr/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描述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`description`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5-2000 字符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语言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`languages`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固定 `zh,en,ja`，默认全选</w:t>
            </w:r>
          </w:p>
        </w:tc>
      </w:tr>
      <w:tr>
        <w:trPr/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市场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`source_market`, `target_markets`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默认 CN 到 US/JP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数据库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`/home/Developer/overseaark-data/overseaark.sqlite3`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campaign、stage、event、artifact 元数据</w:t>
            </w:r>
          </w:p>
        </w:tc>
      </w:tr>
      <w:tr>
        <w:trPr/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上传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`/home/Developer/overseaark-data/uploads`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原始输入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产物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`/home/Developer/overseaark-data/artifacts/{campaign_id}`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阶段输出和导出 ZIP</w:t>
            </w:r>
          </w:p>
        </w:tc>
      </w:tr>
    </w:tbl>
    <w:p>
      <w:pPr>
        <w:pStyle w:val="Heading1"/>
      </w:pPr>
      <w:r>
        <w:t>10. 失败、重试与 partial</w:t>
      </w:r>
    </w:p>
    <w:p>
      <w:r>
        <w:rPr>
          <w:rFonts w:ascii="Noto Sans CJK SC" w:hAnsi="Noto Sans CJK SC" w:eastAsia="Noto Sans CJK SC" w:cs="Noto Sans CJK SC"/>
          <w:sz w:val="22"/>
        </w:rPr>
        <w:t>每个阶段最多两次尝试：首次执行失败后重试一次；第二次尝试仍失败后，该阶段为 `failed`，后续未执行阶段为 `skipped`。如果此前已有有效 artifacts，campaign 必须进入 `partial` 并保留已有输出；如果没有可用输出，campaign 进入 `failed`。</w:t>
      </w:r>
    </w:p>
    <w:p>
      <w:r>
        <w:rPr>
          <w:rFonts w:ascii="Noto Sans CJK SC" w:hAnsi="Noto Sans CJK SC" w:eastAsia="Noto Sans CJK SC" w:cs="Noto Sans CJK SC"/>
          <w:sz w:val="22"/>
        </w:rPr>
        <w:t>取消由 `/api/v1/campaigns/{id}/cancel` 触发。取消后 campaign 为 `cancelled`，未完成阶段为 `skipped` 或保持已记录状态，已有 artifacts 不删除。</w:t>
      </w:r>
    </w:p>
    <w:p>
      <w:r>
        <w:rPr>
          <w:rFonts w:ascii="Noto Sans CJK SC" w:hAnsi="Noto Sans CJK SC" w:eastAsia="Noto Sans CJK SC" w:cs="Noto Sans CJK SC"/>
          <w:sz w:val="22"/>
        </w:rPr>
        <w:t>降级只作为 artifact quality 或 event message 表达，例如 `quality: "partial"` 或 `quality: "degraded"`；不得新增 campaign/stage 状态，也不得把 mock 或占位产物标为最终模型验证结果。</w:t>
      </w:r>
    </w:p>
    <w:p>
      <w:pPr>
        <w:pStyle w:val="Heading1"/>
      </w:pPr>
      <w:r>
        <w:t>11. 隐私与离线</w:t>
      </w:r>
    </w:p>
    <w:p>
      <w:r>
        <w:rPr>
          <w:rFonts w:ascii="Noto Sans CJK SC" w:hAnsi="Noto Sans CJK SC" w:eastAsia="Noto Sans CJK SC" w:cs="Noto Sans CJK SC"/>
          <w:sz w:val="22"/>
        </w:rPr>
        <w:t>离线定义：从创建 campaign 到终态期间，主生成链路不得向公网发起请求。允许访问 localhost、Unix socket、本机文件、SQLite、ffmpeg 子进程和 `/home/Developer/overseaark-models`。</w:t>
      </w:r>
    </w:p>
    <w:p>
      <w:r>
        <w:rPr>
          <w:rFonts w:ascii="Noto Sans CJK SC" w:hAnsi="Noto Sans CJK SC" w:eastAsia="Noto Sans CJK SC" w:cs="Noto Sans CJK SC"/>
          <w:sz w:val="22"/>
        </w:rPr>
        <w:t>隐私要求：</w:t>
      </w:r>
    </w:p>
    <w:p>
      <w:pPr>
        <w:pStyle w:val="ListNumber"/>
      </w:pPr>
      <w:r>
        <w:rPr>
          <w:rFonts w:ascii="Noto Sans CJK SC" w:hAnsi="Noto Sans CJK SC" w:eastAsia="Noto Sans CJK SC" w:cs="Noto Sans CJK SC"/>
          <w:sz w:val="22"/>
        </w:rPr>
        <w:t>上传图、描述、中间文件和结果默认只保存在 `/home/Developer/overseaark-data`。</w:t>
      </w:r>
    </w:p>
    <w:p>
      <w:pPr>
        <w:pStyle w:val="ListNumber"/>
      </w:pPr>
      <w:r>
        <w:rPr>
          <w:rFonts w:ascii="Noto Sans CJK SC" w:hAnsi="Noto Sans CJK SC" w:eastAsia="Noto Sans CJK SC" w:cs="Noto Sans CJK SC"/>
          <w:sz w:val="22"/>
        </w:rPr>
        <w:t>服务只监听 `127.0.0.1`，远程使用 SSH 隧道；不开放 LAN 明文鉴权面。</w:t>
      </w:r>
    </w:p>
    <w:p>
      <w:pPr>
        <w:pStyle w:val="ListNumber"/>
      </w:pPr>
      <w:r>
        <w:rPr>
          <w:rFonts w:ascii="Noto Sans CJK SC" w:hAnsi="Noto Sans CJK SC" w:eastAsia="Noto Sans CJK SC" w:cs="Noto Sans CJK SC"/>
          <w:sz w:val="22"/>
        </w:rPr>
        <w:t>推理进程固定 `HF_HUB_OFFLINE=1`、`TRANSFORMERS_OFFLINE=1`，LLM 地址必须是 localhost。</w:t>
      </w:r>
    </w:p>
    <w:p>
      <w:pPr>
        <w:pStyle w:val="ListNumber"/>
      </w:pPr>
      <w:r>
        <w:rPr>
          <w:rFonts w:ascii="Noto Sans CJK SC" w:hAnsi="Noto Sans CJK SC" w:eastAsia="Noto Sans CJK SC" w:cs="Noto Sans CJK SC"/>
          <w:sz w:val="22"/>
        </w:rPr>
        <w:t>导出包必须包含 manifest，记录模型版本、路径、重试、quality 标记和离线审计结论。</w:t>
      </w:r>
    </w:p>
    <w:p>
      <w:pPr>
        <w:pStyle w:val="ListNumber"/>
      </w:pPr>
      <w:r>
        <w:rPr>
          <w:rFonts w:ascii="Noto Sans CJK SC" w:hAnsi="Noto Sans CJK SC" w:eastAsia="Noto Sans CJK SC" w:cs="Noto Sans CJK SC"/>
          <w:sz w:val="22"/>
        </w:rPr>
        <w:t>日志不得主动记录密钥；API key 只存于本地 data/run 目录。</w:t>
      </w:r>
    </w:p>
    <w:p>
      <w:pPr>
        <w:pStyle w:val="Heading1"/>
      </w:pPr>
      <w:r>
        <w:t>12. 验收标准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Ind w:type="dxa" w:w="120"/>
      </w:tblPr>
      <w:tblGrid>
        <w:gridCol w:w="1900"/>
        <w:gridCol w:w="3730"/>
        <w:gridCol w:w="3730"/>
      </w:tblGrid>
      <w:tr>
        <w:trPr>
          <w:tblHeader w:val="true"/>
        </w:trPr>
        <w:tc>
          <w:tcPr>
            <w:tcW w:type="dxa" w:w="190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827"/>
                <w:sz w:val="18"/>
              </w:rPr>
              <w:t>编号</w:t>
            </w:r>
          </w:p>
        </w:tc>
        <w:tc>
          <w:tcPr>
            <w:tcW w:type="dxa" w:w="373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827"/>
                <w:sz w:val="18"/>
              </w:rPr>
              <w:t>验收项</w:t>
            </w:r>
          </w:p>
        </w:tc>
        <w:tc>
          <w:tcPr>
            <w:tcW w:type="dxa" w:w="373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827"/>
                <w:sz w:val="18"/>
              </w:rPr>
              <w:t>标准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AT-001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三次完整运行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连续 3 个 campaign 在 DGX Spark 上达到 `completed`，每次 &lt;= 10 分钟</w:t>
            </w:r>
          </w:p>
        </w:tc>
      </w:tr>
      <w:tr>
        <w:trPr/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AT-002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三语言输出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`multilingual_copy` 覆盖 zh/en/ja，且导出包保留三语内容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AT-003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ASR/TTS 测试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Magpie TTS 生成三语音频，Nemotron ASR 可回读</w:t>
            </w:r>
          </w:p>
        </w:tc>
      </w:tr>
      <w:tr>
        <w:trPr/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AT-004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ASR 相似度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ASR 回读文本与 TTS 输入相似度 &gt;= 0.75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AT-005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视频验收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`campaign_video.mp4` 至少 480p，ffprobe 可读</w:t>
            </w:r>
          </w:p>
        </w:tc>
      </w:tr>
      <w:tr>
        <w:trPr/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AT-006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重试与 partial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注入阶段失败后第二次尝试仍失败，campaign 为 `partial`，已有输出保留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AT-007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Cosmos 失败语义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若使用 ffmpeg 兜底，必须明确 `degraded` 且不得冒充真模型成功</w:t>
            </w:r>
          </w:p>
        </w:tc>
      </w:tr>
      <w:tr>
        <w:trPr/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AT-008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OOM 与残留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三次完整运行后无 OOM、无模型子进程残留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AT-009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离线审计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主生成链路公网请求数为 0</w:t>
            </w:r>
          </w:p>
        </w:tc>
      </w:tr>
      <w:tr>
        <w:trPr/>
        <w:tc>
          <w:tcPr>
            <w:tcW w:type="dxa" w:w="19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AT-010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API 契约</w:t>
            </w:r>
          </w:p>
        </w:tc>
        <w:tc>
          <w:tcPr>
            <w:tcW w:type="dxa" w:w="373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`/api/v1` 路由、状态枚举和 SSE 可被 e2e 测试验证</w:t>
            </w:r>
          </w:p>
        </w:tc>
      </w:tr>
    </w:tbl>
    <w:p>
      <w:pPr>
        <w:pStyle w:val="Heading1"/>
      </w:pPr>
      <w:r>
        <w:t>13. 竞赛评分映射与结论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Ind w:type="dxa" w:w="120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827"/>
                <w:sz w:val="18"/>
              </w:rPr>
              <w:t>评分维度</w:t>
            </w:r>
          </w:p>
        </w:tc>
        <w:tc>
          <w:tcPr>
            <w:tcW w:type="dxa" w:w="6760"/>
            <w:vAlign w:val="center"/>
            <w:shd w:fill="E5E7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827"/>
                <w:sz w:val="18"/>
              </w:rPr>
              <w:t>v1.1 证据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实用性/落地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外贸素材生产是高频任务，离线本地化解决数据主权与成本问题</w:t>
            </w:r>
          </w:p>
        </w:tc>
      </w:tr>
      <w:tr>
        <w:trPr/>
        <w:tc>
          <w:tcPr>
            <w:tcW w:type="dxa" w:w="26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Agent 与模型深度</w:t>
            </w:r>
          </w:p>
        </w:tc>
        <w:tc>
          <w:tcPr>
            <w:tcW w:type="dxa" w:w="676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六阶段 pipeline、重型模型串行 ModelManager、ASR/TTS/视频/图像/LLM 协作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项目完整性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frontend、backend、scripts、docs、tests/e2e、runtime/frontend-dist、root lifecycle</w:t>
            </w:r>
          </w:p>
        </w:tc>
      </w:tr>
      <w:tr>
        <w:trPr/>
        <w:tc>
          <w:tcPr>
            <w:tcW w:type="dxa" w:w="260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平台适配</w:t>
            </w:r>
          </w:p>
        </w:tc>
        <w:tc>
          <w:tcPr>
            <w:tcW w:type="dxa" w:w="6760"/>
            <w:vAlign w:val="center"/>
            <w:shd w:fill="F9FA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DGX Spark 统一内存和本地模型目录是核心运行假设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演示效果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827"/>
                <w:sz w:val="18"/>
              </w:rPr>
              <w:t>一次输入产生三语文案、视觉图、480p 视频、语音、QC 和 ZIP</w:t>
            </w:r>
          </w:p>
        </w:tc>
      </w:tr>
    </w:tbl>
    <w:p>
      <w:r>
        <w:rPr>
          <w:rFonts w:ascii="Noto Sans CJK SC" w:hAnsi="Noto Sans CJK SC" w:eastAsia="Noto Sans CJK SC" w:cs="Noto Sans CJK SC"/>
          <w:sz w:val="22"/>
        </w:rPr>
        <w:t>v1.1 的产品合同已经收敛为可测试的本地系统：固定目录、固定阶段、固定 API、固定状态、固定模型路径和固定验收标准。实现借鉴了赛事 workshop 的环境自检、进程管理、健康轮询和统一内存释放思路，但明确拒绝其 Ollama、OpenClaw、ComfyUI 以及 LAN 明文入口；后续实现或演示不得引入云端生成链路。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Char w:fldCharType="begin"/>
    <w:instrText xml:space="preserve">PAGE</w:instrText>
    <w:fldChar w:fldCharType="separate"/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Noto Sans CJK SC" w:hAnsi="Noto Sans CJK SC" w:eastAsia="Noto Sans CJK SC" w:cs="Noto Sans CJK SC"/>
        <w:b/>
        <w:color w:val="4B5563"/>
        <w:sz w:val="16"/>
      </w:rPr>
      <w:t>出海方舟 OverseaArk PRD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before="0" w:after="120"/>
    </w:pPr>
    <w:rPr>
      <w:rFonts w:ascii="Noto Sans CJK SC" w:hAnsi="Noto Sans CJK SC" w:eastAsia="Noto Sans CJK SC" w:cs="Noto Sans CJK SC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="Noto Sans CJK SC" w:hAnsi="Noto Sans CJK SC" w:eastAsia="Noto Sans CJK SC" w:cs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Noto Sans CJK SC" w:hAnsi="Noto Sans CJK SC" w:eastAsia="Noto Sans CJK SC" w:cs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Noto Sans CJK SC" w:hAnsi="Noto Sans CJK SC" w:eastAsia="Noto Sans CJK SC" w:cs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="Noto Sans CJK SC" w:hAnsi="Noto Sans CJK SC" w:eastAsia="Noto Sans CJK SC" w:cs="Noto Sans CJK SC"/>
      <w:b/>
      <w:color w:val="0F172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Noto Sans CJK SC" w:hAnsi="Noto Sans CJK SC" w:eastAsia="Noto Sans CJK SC" w:cs="Noto Sans CJK SC"/>
      <w:b w:val="0"/>
      <w:color w:val="111827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Noto Sans CJK SC" w:hAnsi="Noto Sans CJK SC" w:eastAsia="Noto Sans CJK SC" w:cs="Noto Sans CJK SC"/>
      <w:b w:val="0"/>
      <w:color w:val="111827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 w:val="0"/>
      <w:bCs/>
      <w:color w:val="6B728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moMasthead">
    <w:name w:val="Memo Masthead"/>
    <w:pPr>
      <w:spacing w:after="0"/>
    </w:pPr>
    <w:rPr>
      <w:rFonts w:ascii="Noto Sans CJK SC" w:hAnsi="Noto Sans CJK SC" w:eastAsia="Noto Sans CJK SC" w:cs="Noto Sans CJK SC"/>
      <w:b/>
      <w:color w:val="FFFFFF"/>
      <w:sz w:val="18"/>
    </w:rPr>
  </w:style>
  <w:style w:type="paragraph" w:customStyle="1" w:styleId="TOCInstruction">
    <w:name w:val="TOC Instruction"/>
    <w:rPr>
      <w:rFonts w:ascii="Noto Sans CJK SC" w:hAnsi="Noto Sans CJK SC" w:eastAsia="Noto Sans CJK SC" w:cs="Noto Sans CJK SC"/>
      <w:b/>
      <w:color w:val="0F172A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