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moMasthead"/>
        <w:jc w:val="left"/>
      </w:pPr>
      <w:r>
        <w:rPr>
          <w:rFonts w:ascii="Arial Unicode MS" w:hAnsi="Arial Unicode MS" w:cs="Arial Unicode MS" w:eastAsia="Arial Unicode MS"/>
          <w:b/>
          <w:color w:val="2E74B5"/>
          <w:sz w:val="20"/>
        </w:rPr>
        <w:t>NVIDIA DGX Spark 黑客松  ·  PRODUCT REQUIREMENTS DOCUMENT</w:t>
      </w:r>
    </w:p>
    <w:p>
      <w:pPr>
        <w:pStyle w:val="Title"/>
        <w:jc w:val="left"/>
      </w:pPr>
      <w:r>
        <w:rPr>
          <w:rFonts w:ascii="Arial Unicode MS" w:hAnsi="Arial Unicode MS" w:cs="Arial Unicode MS" w:eastAsia="Arial Unicode MS"/>
          <w:b/>
          <w:color w:val="0F172A"/>
          <w:sz w:val="46"/>
        </w:rPr>
        <w:t>DGX Spark一支不下班的</w:t>
        <w:br/>
        <w:t>本地多模态外贸营销团队</w:t>
      </w:r>
    </w:p>
    <w:p>
      <w:pPr>
        <w:jc w:val="left"/>
      </w:pPr>
      <w:r>
        <w:rPr>
          <w:rFonts w:ascii="Arial Unicode MS" w:hAnsi="Arial Unicode MS" w:cs="Arial Unicode MS" w:eastAsia="Arial Unicode MS"/>
          <w:b/>
          <w:color w:val="374151"/>
          <w:sz w:val="30"/>
        </w:rPr>
        <w:t>出海方舟 OverseaArk 产品需求文档 v2.0</w:t>
      </w:r>
    </w:p>
    <w:p>
      <w:pPr>
        <w:jc w:val="left"/>
      </w:pPr>
      <w:r>
        <w:rPr>
          <w:rFonts w:ascii="Arial Unicode MS" w:hAnsi="Arial Unicode MS" w:cs="Arial Unicode MS" w:eastAsia="Arial Unicode MS"/>
          <w:b w:val="0"/>
          <w:color w:val="4B5563"/>
          <w:sz w:val="22"/>
        </w:rPr>
        <w:t>一台 NVIDIA DGX Spark 上本地运行、可观测、可恢复、可导出的多模态外贸营销工作台</w:t>
      </w:r>
    </w:p>
    <w:p>
      <w:pPr>
        <w:spacing w:before="0" w:after="40"/>
      </w:pPr>
      <w:r>
        <w:rPr>
          <w:rFonts w:ascii="Arial Unicode MS" w:hAnsi="Arial Unicode MS" w:cs="Arial Unicode MS" w:eastAsia="Arial Unicode MS"/>
          <w:b/>
          <w:color w:val="111827"/>
          <w:sz w:val="20"/>
        </w:rPr>
        <w:t>文档版本：</w:t>
      </w:r>
      <w:r>
        <w:rPr>
          <w:rFonts w:ascii="Arial Unicode MS" w:hAnsi="Arial Unicode MS" w:cs="Arial Unicode MS" w:eastAsia="Arial Unicode MS"/>
          <w:b w:val="0"/>
          <w:color w:val="374151"/>
          <w:sz w:val="20"/>
        </w:rPr>
        <w:t>v2.0</w:t>
      </w:r>
    </w:p>
    <w:p>
      <w:pPr>
        <w:spacing w:before="0" w:after="40"/>
      </w:pPr>
      <w:r>
        <w:rPr>
          <w:rFonts w:ascii="Arial Unicode MS" w:hAnsi="Arial Unicode MS" w:cs="Arial Unicode MS" w:eastAsia="Arial Unicode MS"/>
          <w:b/>
          <w:color w:val="111827"/>
          <w:sz w:val="20"/>
        </w:rPr>
        <w:t>文档状态：</w:t>
      </w:r>
      <w:r>
        <w:rPr>
          <w:rFonts w:ascii="Arial Unicode MS" w:hAnsi="Arial Unicode MS" w:cs="Arial Unicode MS" w:eastAsia="Arial Unicode MS"/>
          <w:b w:val="0"/>
          <w:color w:val="374151"/>
          <w:sz w:val="20"/>
        </w:rPr>
        <w:t>当前实施与赛事交付基线</w:t>
      </w:r>
    </w:p>
    <w:p>
      <w:pPr>
        <w:spacing w:before="0" w:after="40"/>
      </w:pPr>
      <w:r>
        <w:rPr>
          <w:rFonts w:ascii="Arial Unicode MS" w:hAnsi="Arial Unicode MS" w:cs="Arial Unicode MS" w:eastAsia="Arial Unicode MS"/>
          <w:b/>
          <w:color w:val="111827"/>
          <w:sz w:val="20"/>
        </w:rPr>
        <w:t>目标平台：</w:t>
      </w:r>
      <w:r>
        <w:rPr>
          <w:rFonts w:ascii="Arial Unicode MS" w:hAnsi="Arial Unicode MS" w:cs="Arial Unicode MS" w:eastAsia="Arial Unicode MS"/>
          <w:b w:val="0"/>
          <w:color w:val="374151"/>
          <w:sz w:val="20"/>
        </w:rPr>
        <w:t>DGX Spark / Ubuntu 24.04 / aarch64 / CUDA 13</w:t>
      </w:r>
    </w:p>
    <w:p>
      <w:pPr>
        <w:spacing w:before="0" w:after="40"/>
      </w:pPr>
      <w:r>
        <w:rPr>
          <w:rFonts w:ascii="Arial Unicode MS" w:hAnsi="Arial Unicode MS" w:cs="Arial Unicode MS" w:eastAsia="Arial Unicode MS"/>
          <w:b/>
          <w:color w:val="111827"/>
          <w:sz w:val="20"/>
        </w:rPr>
        <w:t>技术基线：</w:t>
      </w:r>
      <w:r>
        <w:rPr>
          <w:rFonts w:ascii="Arial Unicode MS" w:hAnsi="Arial Unicode MS" w:cs="Arial Unicode MS" w:eastAsia="Arial Unicode MS"/>
          <w:b w:val="0"/>
          <w:color w:val="374151"/>
          <w:sz w:val="20"/>
        </w:rPr>
        <w:t>native vLLM + Step1X + Cosmos3-Edge + NeMo</w:t>
      </w:r>
    </w:p>
    <w:p>
      <w:pPr>
        <w:spacing w:before="0" w:after="40"/>
      </w:pPr>
      <w:r>
        <w:rPr>
          <w:rFonts w:ascii="Arial Unicode MS" w:hAnsi="Arial Unicode MS" w:cs="Arial Unicode MS" w:eastAsia="Arial Unicode MS"/>
          <w:b/>
          <w:color w:val="111827"/>
          <w:sz w:val="20"/>
        </w:rPr>
        <w:t>更新日期：</w:t>
      </w:r>
      <w:r>
        <w:rPr>
          <w:rFonts w:ascii="Arial Unicode MS" w:hAnsi="Arial Unicode MS" w:cs="Arial Unicode MS" w:eastAsia="Arial Unicode MS"/>
          <w:b w:val="0"/>
          <w:color w:val="374151"/>
          <w:sz w:val="20"/>
        </w:rPr>
        <w:t>2026-07-22</w:t>
      </w:r>
    </w:p>
    <w:p>
      <w:pPr>
        <w:spacing w:before="240" w:after="0"/>
        <w:pBdr>
          <w:bottom w:val="single" w:sz="10" w:color="2E74B5"/>
        </w:pBdr>
      </w:pPr>
    </w:p>
    <w:p>
      <w:r>
        <w:br w:type="page"/>
      </w:r>
    </w:p>
    <w:p>
      <w:pPr>
        <w:pStyle w:val="TOCInstruction"/>
        <w:jc w:val="left"/>
      </w:pPr>
      <w:r>
        <w:rPr>
          <w:b/>
        </w:rPr>
        <w:t>目录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1. 执行摘要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2. 背景与问题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3. 产品目标与非目标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4. 目标用户与核心价值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5. 核心用户旅程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6. 功能范围与优先级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7. 六阶段 Pipeline 合同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8. 多语言、语音与质量闭环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9. 前端体验与可观测性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10. 产物与导出合同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11. 当前模型与框架基线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12. Safe-warm 统一内存策略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13. 系统架构与仓库边界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14. API v1 合同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15. 一键启动与模型获取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16. 安全、隐私与离线边界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17. 非功能需求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18. 验收标准与当前证据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19. 团队分工与贡献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20. 风险与后续路线</w:t>
      </w:r>
    </w:p>
    <w:p>
      <w:pPr>
        <w:spacing w:before="0" w:after="80"/>
      </w:pPr>
      <w:r>
        <w:rPr>
          <w:rFonts w:ascii="Arial Unicode MS" w:hAnsi="Arial Unicode MS" w:cs="Arial Unicode MS" w:eastAsia="Arial Unicode MS"/>
          <w:b/>
          <w:color w:val="374151"/>
          <w:sz w:val="20"/>
        </w:rPr>
        <w:t>21. 发布定义</w:t>
      </w:r>
    </w:p>
    <w:p>
      <w:r>
        <w:br w:type="page"/>
      </w:r>
    </w:p>
    <w:p>
      <w:r>
        <w:rPr>
          <w:rFonts w:ascii="Arial Unicode MS" w:hAnsi="Arial Unicode MS" w:cs="Arial Unicode MS" w:eastAsia="Arial Unicode MS"/>
          <w:sz w:val="22"/>
        </w:rPr>
        <w:t>产品展示名：DGX Spark一支不下班的本地多模态外贸营销团队</w:t>
      </w:r>
    </w:p>
    <w:p>
      <w:r>
        <w:rPr>
          <w:rFonts w:ascii="Arial Unicode MS" w:hAnsi="Arial Unicode MS" w:cs="Arial Unicode MS" w:eastAsia="Arial Unicode MS"/>
          <w:sz w:val="22"/>
        </w:rPr>
        <w:t>项目代号：出海方舟 OverseaArk</w:t>
      </w:r>
    </w:p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产品定义：一台 NVIDIA DGX Spark 上本地运行、可观测、可恢复、可导出的多模态外贸营销工作台。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字段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文档版本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v2.0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文档状态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当前实施与赛事交付基线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更新日期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2026-07-22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代码形态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单仓 Monorepo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目标平台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NVIDIA DGX Spark，Ubuntu 24.04，aarch64，CUDA 13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服务形态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FastAPI 单端口托管 API 与 Vite 构建产物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首发语言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中文 zh、英文 en、日文 ja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核心推理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全部在 DGX Spark 本地完成，不使用云端生成 API</w:t>
            </w:r>
          </w:p>
        </w:tc>
      </w:tr>
    </w:tbl>
    <w:p>
      <w:pPr>
        <w:pStyle w:val="Heading1"/>
      </w:pPr>
      <w:r>
        <w:t>1. 执行摘要</w:t>
      </w:r>
    </w:p>
    <w:p>
      <w:r>
        <w:rPr>
          <w:rFonts w:ascii="Arial Unicode MS" w:hAnsi="Arial Unicode MS" w:cs="Arial Unicode MS" w:eastAsia="Arial Unicode MS"/>
          <w:sz w:val="22"/>
        </w:rPr>
        <w:t>OverseaArk 面向中小外贸企业、跨境卖家和代运营团队，把市场定位、买家画像、多语文案、产品视觉、配音视频和质量打包收敛为一条六阶段流水线。用户只需提供产品图和产品描述，即可获得中英日文案、产品海报、三语配音、480p 短视频、质量报告和可按语言拆分的 ZIP 交付包。</w:t>
      </w:r>
    </w:p>
    <w:p>
      <w:r>
        <w:rPr>
          <w:rFonts w:ascii="Arial Unicode MS" w:hAnsi="Arial Unicode MS" w:cs="Arial Unicode MS" w:eastAsia="Arial Unicode MS"/>
          <w:sz w:val="22"/>
        </w:rPr>
        <w:t>v2.0 不是概念稿，而是对当前可运行系统的产品合同。它以 native vLLM、Step1X、Cosmos3-Edge、Nemotron ASR、Magpie TTS 和 ffmpeg 为固定技术栈，以 safe-warm 模型策略适配 DGX Spark 的 119 GiB 统一内存，并通过 SSE、SQLite、阶段产物预览、重跑、取消和导出形成可演示、可恢复、可审计的闭环。</w:t>
      </w:r>
    </w:p>
    <w:p>
      <w:pPr>
        <w:pStyle w:val="Heading1"/>
      </w:pPr>
      <w:r>
        <w:t>2. 背景与问题</w:t>
      </w:r>
    </w:p>
    <w:p>
      <w:r>
        <w:rPr>
          <w:rFonts w:ascii="Arial Unicode MS" w:hAnsi="Arial Unicode MS" w:cs="Arial Unicode MS" w:eastAsia="Arial Unicode MS"/>
          <w:sz w:val="22"/>
        </w:rPr>
        <w:t>外贸营销素材生产通常分散在多个云端工具和人工环节中，存在以下问题：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产品图、工艺、报价和未发布卖点需要在不同服务之间流转，数据边界不清晰。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市场定位、翻译、海报、配音、视频和质检由不同工具完成，交付格式不一致。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生成过程不可观测，失败后经常需要从头开始，已有成果难以保留。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现场演示需要频繁加载模型，若缺少统一内存调度，容易出现 OOM、残留 CUDA 进程和长时间等待。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完整多语包和单语言交付包没有清晰边界，容易泄露不应出现的其他语言内容。</w:t>
      </w:r>
    </w:p>
    <w:p>
      <w:r>
        <w:rPr>
          <w:rFonts w:ascii="Arial Unicode MS" w:hAnsi="Arial Unicode MS" w:cs="Arial Unicode MS" w:eastAsia="Arial Unicode MS"/>
          <w:sz w:val="22"/>
        </w:rPr>
        <w:t>OverseaArk 的解法是在本地设备上建立一个明确状态机、固定模型清单和可验证导出合同，而不是继续拼接更多云端工具。</w:t>
      </w:r>
    </w:p>
    <w:p>
      <w:pPr>
        <w:pStyle w:val="Heading1"/>
      </w:pPr>
      <w:r>
        <w:t>3. 产品目标与非目标</w:t>
      </w:r>
    </w:p>
    <w:p>
      <w:pPr>
        <w:pStyle w:val="Heading2"/>
      </w:pPr>
      <w:r>
        <w:t>3.1 产品目标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sz w:val="22"/>
        </w:rPr>
        <w:t>一次输入生成完整的中英日外贸营销物料包。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sz w:val="22"/>
        </w:rPr>
        <w:t>所有主生成模型在 DGX Spark 本地运行，产品资料不发送到云端推理服务。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sz w:val="22"/>
        </w:rPr>
        <w:t>六阶段执行过程实时可见，刷新页面后可以恢复进度和历史事件。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sz w:val="22"/>
        </w:rPr>
        <w:t>每个已完成阶段的中间产物立即可预览，不必等待整个 Campaign 结束。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sz w:val="22"/>
        </w:rPr>
        <w:t>完整导出按语言目录组织，同时支持只导出当前语言且不夹带其他语言元数据。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sz w:val="22"/>
        </w:rPr>
        <w:t>缺少或损坏的依赖、模型文件可由根目录脚本自动校验和修复。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cs="Arial Unicode MS" w:eastAsia="Arial Unicode MS"/>
          <w:sz w:val="22"/>
        </w:rPr>
        <w:t>在不牺牲稳定性的前提下降低重复模型加载时间，并对 OOM 风险保持真实边界。</w:t>
      </w:r>
    </w:p>
    <w:p>
      <w:pPr>
        <w:pStyle w:val="Heading2"/>
      </w:pPr>
      <w:r>
        <w:t>3.2 非目标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不提供 Docker 部署路径。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不使用 ComfyUI、OpenClaw、Ollama、NIM 云 API、StepFun 云 API 或 NVIDIA 托管推理 API。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不开放公网监听，不提供多租户 SaaS、账号计费或公网鉴权系统。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不开放用户声音克隆。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不把 Cosmos 失败后的 ffmpeg 静态视频冒充为模型视频。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v2.0 不承诺中文、英文、日文之外的完整语音闭环。</w:t>
      </w:r>
    </w:p>
    <w:p>
      <w:pPr>
        <w:pStyle w:val="Heading1"/>
      </w:pPr>
      <w:r>
        <w:t>4. 目标用户与核心价值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2486"/>
        <w:gridCol w:w="2486"/>
        <w:gridCol w:w="2488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用户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核心场景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主要痛点</w:t>
            </w:r>
          </w:p>
        </w:tc>
        <w:tc>
          <w:tcPr>
            <w:tcW w:type="dxa" w:w="2488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产品价值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中小外贸卖家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新品上架、社媒投放、开发信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外包周期长，工具成本高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一次输入生成完整 Campaign 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外贸工厂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向海外采购商展示产品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工艺和产品资料敏感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本地推理，数据留在设备内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跨境运营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中英日内容复用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文案、图片、视频和语音割裂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六阶段统一状态与导出合同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演示与评审人员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现场观察 DGX Spark 价值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需要快速、直观、可复现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一键示例、实时产物、GPU 监控指引</w:t>
            </w:r>
          </w:p>
        </w:tc>
      </w:tr>
    </w:tbl>
    <w:p>
      <w:pPr>
        <w:pStyle w:val="Heading1"/>
      </w:pPr>
      <w:r>
        <w:t>5. 核心用户旅程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用户通过 SSH 隧道打开 `http://127.0.0.1:8000`。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工作台默认显示中文，用户可切换为英文，选择会保存在浏览器中。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用户上传 PNG、JPEG 或 WebP 产品图，填写产品描述、来源市场、目标市场和输出语言。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演示场景可点击“一键填入示例”，自动填入示例图片、完整产品说明、市场和中英日选项。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用户创建 Campaign，页面通过 SSE 展示六阶段状态和递增事件序号。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阶段完成后，结构化文本、海报、音频、视频和质检结果立即出现在“阶段过程产物”。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用户可在“本地化输出”中切换 zh、en、ja，只查看当前语言的文案与音频。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用户可以取消执行，或从指定阶段重跑并保留此前成功成果。</w:t>
      </w:r>
    </w:p>
    <w:p>
      <w:pPr>
        <w:pStyle w:val="ListNumber"/>
        <w:numPr>
          <w:ilvl w:val="0"/>
          <w:numId w:val="11"/>
        </w:numPr>
      </w:pPr>
      <w:r>
        <w:rPr>
          <w:rFonts w:ascii="Arial Unicode MS" w:hAnsi="Arial Unicode MS" w:cs="Arial Unicode MS" w:eastAsia="Arial Unicode MS"/>
          <w:sz w:val="22"/>
        </w:rPr>
        <w:t>完成或部分完成后，用户下载完整多语 ZIP 或当前语言 ZIP。</w:t>
      </w:r>
    </w:p>
    <w:p>
      <w:pPr>
        <w:pStyle w:val="Heading1"/>
      </w:pPr>
      <w:r>
        <w:t>6. 功能范围与优先级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优先级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功能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v2.0 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一键启动、依赖安装、模型自动校验与下载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六阶段串行 Campaign 流水线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中英日文案、配音、回听质检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Step1X 产品视觉和 Cosmos3-Edge 视频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SSE 进度、刷新恢复、阶段产物预览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完整导出与单语言隔离导出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阶段重试、partial、取消和进程清理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中文默认界面与英文界面切换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可选 Cosmos-Predict2 纯文生图灵感能力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模型清单可选，未进入主流程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可编辑品牌模板和人工审核节点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后续版本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P2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多 Campaign 对比和离线素材版本管理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后续版本</w:t>
            </w:r>
          </w:p>
        </w:tc>
      </w:tr>
    </w:tbl>
    <w:p>
      <w:pPr>
        <w:pStyle w:val="Heading1"/>
      </w:pPr>
      <w:r>
        <w:t>7. 六阶段 Pipeline 合同</w:t>
      </w:r>
    </w:p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阶段顺序和枚举必须与后端 `StageName` 保持一致。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2486"/>
        <w:gridCol w:w="2486"/>
        <w:gridCol w:w="2488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顺序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阶段枚举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主要模型或工具</w:t>
            </w:r>
          </w:p>
        </w:tc>
        <w:tc>
          <w:tcPr>
            <w:tcW w:type="dxa" w:w="2488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`market_positioning`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Qwen3.6 NVFP4 via native vLLM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定位、差异化、市场假设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`buyer_persona`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Qwen3.6 NVFP4 via native vLLM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买家画像、痛点、购买动机、渠道建议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`multilingual_copy`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Qwen3.6 NVFP4 via native vLLM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zh/en/ja 标题、卖点、详情、开发信、视频脚本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`visual_design`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Step1X-Edit-v1p2 FP8 + Pillow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`visual_design.png` 产品海报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`media_production`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Magpie TTS、Cosmos3-Edge、ffmpeg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三语 WAV、模型视频、字幕、`campaign_video.mp4`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`quality_packaging`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Nemotron ASR、文件检查、ZIP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`qc_report.json`、`manifest.json`、导出包</w:t>
            </w:r>
          </w:p>
        </w:tc>
      </w:tr>
    </w:tbl>
    <w:p>
      <w:pPr>
        <w:pStyle w:val="Heading2"/>
      </w:pPr>
      <w:r>
        <w:t>7.1 阶段执行规则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所有 GPU 重任务由同一个 `ModelManager` 锁串行调度。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每个阶段首次失败后自动重试一次。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第二次仍失败时，当前阶段为 `failed`，后续阶段为 `skipped`。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已存在有效产物时 Campaign 进入 `partial`；没有可用成果时进入 `failed`。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取消后 Campaign 为 `cancelled`，成功的早期阶段及其产物保留。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Cosmos 失败时允许生成明确标记为 `degraded` 的 ffmpeg 兜底产物，但 Campaign 不得因此标记为 `completed`。</w:t>
      </w:r>
    </w:p>
    <w:p>
      <w:pPr>
        <w:pStyle w:val="Heading2"/>
      </w:pPr>
      <w:r>
        <w:t>7.2 状态枚举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类型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允许值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CampaignStatus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`queued`、`running`、`completed`、`partial`、`failed`、`cancelled`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StageStatus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`pending`、`running`、`succeeded`、`failed`、`skipped`</w:t>
            </w:r>
          </w:p>
        </w:tc>
      </w:tr>
    </w:tbl>
    <w:p>
      <w:r>
        <w:rPr>
          <w:rFonts w:ascii="Arial Unicode MS" w:hAnsi="Arial Unicode MS" w:cs="Arial Unicode MS" w:eastAsia="Arial Unicode MS"/>
          <w:sz w:val="22"/>
        </w:rPr>
        <w:t>模型加载、保存、降级和进度百分比属于事件或消息字段，不新增状态枚举。</w:t>
      </w:r>
    </w:p>
    <w:p>
      <w:pPr>
        <w:pStyle w:val="Heading1"/>
      </w:pPr>
      <w:r>
        <w:t>8. 多语言、语音与质量闭环</w:t>
      </w:r>
    </w:p>
    <w:p>
      <w:pPr>
        <w:pStyle w:val="Heading2"/>
      </w:pPr>
      <w:r>
        <w:t>8.1 语言合同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工作台界面默认简体中文，可切换为 English。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内容输出固定支持 `zh`、`en`、`ja`，可选择一种或多种语言。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本地化输出区域只能展示当前所选语言的文案与配音。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海报、视频和 QC 等共享产物不得被错误归类为英文产物。</w:t>
      </w:r>
    </w:p>
    <w:p>
      <w:pPr>
        <w:pStyle w:val="Heading2"/>
      </w:pPr>
      <w:r>
        <w:t>8.2 TTS 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语言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默认音色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中文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Sofia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英语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Jason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日语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Aria</w:t>
            </w:r>
          </w:p>
        </w:tc>
      </w:tr>
    </w:tbl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TTS 长文本按标点切分，单段目标不超过 20 秒，最终合并为 WAV。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不开放用户声音克隆。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TTS 失败不静默切换到其他模型。</w:t>
      </w:r>
    </w:p>
    <w:p>
      <w:pPr>
        <w:pStyle w:val="Heading2"/>
      </w:pPr>
      <w:r>
        <w:t>8.3 ASR 回听质检</w:t>
      </w:r>
    </w:p>
    <w:p>
      <w:r>
        <w:rPr>
          <w:rFonts w:ascii="Arial Unicode MS" w:hAnsi="Arial Unicode MS" w:cs="Arial Unicode MS" w:eastAsia="Arial Unicode MS"/>
          <w:sz w:val="22"/>
        </w:rPr>
        <w:t>Magpie 生成每种语言的音频后，由 Nemotron 重新转写，并计算规范化文本相似度。低于 `0.75` 时只重做失败语言一次；第二次仍不达标则如实保留证据并使 Campaign 进入 `partial`。</w:t>
      </w:r>
    </w:p>
    <w:p>
      <w:pPr>
        <w:pStyle w:val="Heading1"/>
      </w:pPr>
      <w:r>
        <w:t>9. 前端体验与可观测性</w:t>
      </w:r>
    </w:p>
    <w:p>
      <w:pPr>
        <w:pStyle w:val="Heading2"/>
      </w:pPr>
      <w:r>
        <w:t>9.1 工作台要求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产品展示名固定为“DGX Spark一支不下班的本地多模态外贸营销团队”。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第一屏包含创建表单、一键填入示例、API 与模型健康状态。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六阶段列表显示当前状态、尝试次数和错误信息。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已持久化的阶段输出直接出现在“阶段过程产物”。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海报、音频、视频和 QC 文件提供内嵌预览或下载入口。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页面刷新后通过 Campaign ID 恢复详情，SSE 从最后序号继续。</w:t>
      </w:r>
    </w:p>
    <w:p>
      <w:pPr>
        <w:pStyle w:val="Heading2"/>
      </w:pPr>
      <w:r>
        <w:t>9.2 SSE 合同</w:t>
      </w:r>
    </w:p>
    <w:p>
      <w:r>
        <w:rPr>
          <w:rFonts w:ascii="Arial Unicode MS" w:hAnsi="Arial Unicode MS" w:cs="Arial Unicode MS" w:eastAsia="Arial Unicode MS"/>
          <w:sz w:val="22"/>
        </w:rPr>
        <w:t>事件带严格递增 `sequence`，支持查询参数或 `Last-Event-ID` 恢复；客户端忽略重复或乱序事件。`stage.succeeded` 事件携带的输出可立即合并到前端，不等待下一次轮询；较旧的轮询响应不得覆盖较新的 SSE 状态。</w:t>
      </w:r>
    </w:p>
    <w:p>
      <w:pPr>
        <w:pStyle w:val="Heading1"/>
      </w:pPr>
      <w:r>
        <w:t>10. 产物与导出合同</w:t>
      </w:r>
    </w:p>
    <w:p>
      <w:pPr>
        <w:pStyle w:val="Heading2"/>
      </w:pPr>
      <w:r>
        <w:t>10.1 产物目录</w:t>
      </w:r>
    </w:p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所有 Campaign 产物位于：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Arial Unicode MS"/>
          <w:sz w:val="16"/>
        </w:rPr>
        <w:t>/home/Developer/overseaark-data/artifacts/{campaign_id}/</w:t>
      </w:r>
    </w:p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典型文件包括：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Arial Unicode MS"/>
          <w:sz w:val="16"/>
        </w:rPr>
        <w:t>visual_design.png</w:t>
      </w:r>
      <w:r>
        <w:br/>
      </w:r>
      <w:r>
        <w:rPr>
          <w:rFonts w:ascii="Menlo" w:hAnsi="Menlo" w:eastAsia="Arial Unicode MS"/>
          <w:sz w:val="16"/>
        </w:rPr>
        <w:t>voice_zh.wav</w:t>
      </w:r>
      <w:r>
        <w:br/>
      </w:r>
      <w:r>
        <w:rPr>
          <w:rFonts w:ascii="Menlo" w:hAnsi="Menlo" w:eastAsia="Arial Unicode MS"/>
          <w:sz w:val="16"/>
        </w:rPr>
        <w:t>voice_en.wav</w:t>
      </w:r>
      <w:r>
        <w:br/>
      </w:r>
      <w:r>
        <w:rPr>
          <w:rFonts w:ascii="Menlo" w:hAnsi="Menlo" w:eastAsia="Arial Unicode MS"/>
          <w:sz w:val="16"/>
        </w:rPr>
        <w:t>voice_ja.wav</w:t>
      </w:r>
      <w:r>
        <w:br/>
      </w:r>
      <w:r>
        <w:rPr>
          <w:rFonts w:ascii="Menlo" w:hAnsi="Menlo" w:eastAsia="Arial Unicode MS"/>
          <w:sz w:val="16"/>
        </w:rPr>
        <w:t>cosmos_video.mp4</w:t>
      </w:r>
      <w:r>
        <w:br/>
      </w:r>
      <w:r>
        <w:rPr>
          <w:rFonts w:ascii="Menlo" w:hAnsi="Menlo" w:eastAsia="Arial Unicode MS"/>
          <w:sz w:val="16"/>
        </w:rPr>
        <w:t>campaign_video.mp4</w:t>
      </w:r>
      <w:r>
        <w:br/>
      </w:r>
      <w:r>
        <w:rPr>
          <w:rFonts w:ascii="Menlo" w:hAnsi="Menlo" w:eastAsia="Arial Unicode MS"/>
          <w:sz w:val="16"/>
        </w:rPr>
        <w:t>subtitles_en.srt</w:t>
      </w:r>
      <w:r>
        <w:br/>
      </w:r>
      <w:r>
        <w:rPr>
          <w:rFonts w:ascii="Menlo" w:hAnsi="Menlo" w:eastAsia="Arial Unicode MS"/>
          <w:sz w:val="16"/>
        </w:rPr>
        <w:t>qc_report.json</w:t>
      </w:r>
      <w:r>
        <w:br/>
      </w:r>
      <w:r>
        <w:rPr>
          <w:rFonts w:ascii="Menlo" w:hAnsi="Menlo" w:eastAsia="Arial Unicode MS"/>
          <w:sz w:val="16"/>
        </w:rPr>
        <w:t>manifest.json</w:t>
      </w:r>
      <w:r>
        <w:br/>
      </w:r>
      <w:r>
        <w:rPr>
          <w:rFonts w:ascii="Menlo" w:hAnsi="Menlo" w:eastAsia="Arial Unicode MS"/>
          <w:sz w:val="16"/>
        </w:rPr>
        <w:t>export.zip</w:t>
      </w:r>
    </w:p>
    <w:p>
      <w:pPr>
        <w:pStyle w:val="Heading2"/>
      </w:pPr>
      <w:r>
        <w:t>10.2 完整导出</w:t>
      </w:r>
    </w:p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完整 ZIP 必须包含 `shared/` 和该 Campaign 实际请求的语言目录：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Arial Unicode MS"/>
          <w:sz w:val="16"/>
        </w:rPr>
        <w:t>shared/</w:t>
      </w:r>
      <w:r>
        <w:br/>
      </w:r>
      <w:r>
        <w:rPr>
          <w:rFonts w:ascii="Menlo" w:hAnsi="Menlo" w:eastAsia="Arial Unicode MS"/>
          <w:sz w:val="16"/>
        </w:rPr>
        <w:t>zh/</w:t>
      </w:r>
      <w:r>
        <w:br/>
      </w:r>
      <w:r>
        <w:rPr>
          <w:rFonts w:ascii="Menlo" w:hAnsi="Menlo" w:eastAsia="Arial Unicode MS"/>
          <w:sz w:val="16"/>
        </w:rPr>
        <w:t>en/</w:t>
      </w:r>
      <w:r>
        <w:br/>
      </w:r>
      <w:r>
        <w:rPr>
          <w:rFonts w:ascii="Menlo" w:hAnsi="Menlo" w:eastAsia="Arial Unicode MS"/>
          <w:sz w:val="16"/>
        </w:rPr>
        <w:t>ja/</w:t>
      </w:r>
      <w:r>
        <w:br/>
      </w:r>
      <w:r>
        <w:rPr>
          <w:rFonts w:ascii="Menlo" w:hAnsi="Menlo" w:eastAsia="Arial Unicode MS"/>
          <w:sz w:val="16"/>
        </w:rPr>
        <w:t>manifest.json</w:t>
      </w:r>
      <w:r>
        <w:br/>
      </w:r>
      <w:r>
        <w:rPr>
          <w:rFonts w:ascii="Menlo" w:hAnsi="Menlo" w:eastAsia="Arial Unicode MS"/>
          <w:sz w:val="16"/>
        </w:rPr>
        <w:t>qc_report.json</w:t>
      </w:r>
    </w:p>
    <w:p>
      <w:r>
        <w:rPr>
          <w:rFonts w:ascii="Arial Unicode MS" w:hAnsi="Arial Unicode MS" w:cs="Arial Unicode MS" w:eastAsia="Arial Unicode MS"/>
          <w:sz w:val="22"/>
        </w:rPr>
        <w:t>共享目录存放产品源图、海报、视频和通用报告；语言目录存放对应文案和音频。</w:t>
      </w:r>
    </w:p>
    <w:p>
      <w:pPr>
        <w:pStyle w:val="Heading2"/>
      </w:pPr>
      <w:r>
        <w:t>10.3 单语言导出</w:t>
      </w:r>
    </w:p>
    <w:p>
      <w:r>
        <w:rPr>
          <w:rFonts w:ascii="Arial Unicode MS" w:hAnsi="Arial Unicode MS" w:cs="Arial Unicode MS" w:eastAsia="Arial Unicode MS"/>
          <w:sz w:val="22"/>
        </w:rPr>
        <w:t>`GET /api/v1/campaigns/{id}/export?language=zh|en|ja` 只导出当前语言及合法共享产物，并递归过滤：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其他语言的文案和音频。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`manifest.languages` 中的其他语言。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QC 中其他语言的音频记录。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`model_calls` 中其他语言调用信息。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配音语言不匹配的视频。</w:t>
      </w:r>
    </w:p>
    <w:p>
      <w:r>
        <w:rPr>
          <w:rFonts w:ascii="Arial Unicode MS" w:hAnsi="Arial Unicode MS" w:cs="Arial Unicode MS" w:eastAsia="Arial Unicode MS"/>
          <w:sz w:val="22"/>
        </w:rPr>
        <w:t>导出器只允许读取 uploads 与当前 Campaign artifacts 根目录内的文件，拒绝绝对路径、`..` 和符号链接越界。</w:t>
      </w:r>
    </w:p>
    <w:p>
      <w:pPr>
        <w:pStyle w:val="Heading1"/>
      </w:pPr>
      <w:r>
        <w:t>11. 当前模型与框架基线</w:t>
      </w:r>
    </w:p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`model-manifest.lock.json` 是模型文件、大小、SHA256、来源、许可证和 revision 的唯一事实来源。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2486"/>
        <w:gridCol w:w="2486"/>
        <w:gridCol w:w="2488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能力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模型与来源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固定修订</w:t>
            </w:r>
          </w:p>
        </w:tc>
        <w:tc>
          <w:tcPr>
            <w:tcW w:type="dxa" w:w="2488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必需性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LLM/VLM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`nvidia/Qwen3.6-35B-A3B-NVFP4`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`491c2f1ea524c639598bf8fa787a93fed5a6fbce`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图片编辑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`stepfun-ai/Step1X-Edit-v1p2`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`ca85b97fd19f2235dc0d6fd3633d1319f169e149`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纯文生图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`nvidia/Cosmos-Predict2-0.6B-Text2Image` 的 ModelScope 镜像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upstream `dd55b6858b22ad569976bff207880b8fea839da7`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图生视频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`nvidia/Cosmos3-Edge` 的 ModelScope 镜像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upstream `6f58f6b4c91288838e60b6bcb2cc45d997e961de`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视频 VAE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`Wan-AI/Wan2.2-TI2V-5B` 中固定 VAE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upstream `921dbaf3f1674a56f47e83fb80a34bac8a8f203e`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ASR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`nvidia/nemotron-3.5-asr-streaming-0.6b`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`f3d333391852ba876df169dcc9ba902d25b6ab0b`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TTS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`nvidia/magpie_tts_multilingual_357m`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`34d7e40da85cabc97f92198889b65cea27bc7fd1`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TTS Codec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`nvidia/nemo-nano-codec-22khz-1.89kbps-21.5fps`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`3c482a402a3c4cf33690a2c0f0a7d41afea6bd6a`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TTS Tokenizer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`google/byt5-small` tokenizer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`68377bdc18a2ffec8a0533fef03b1c513a4dd49d`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必需</w:t>
            </w:r>
          </w:p>
        </w:tc>
      </w:tr>
    </w:tbl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固定框架版本：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组件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版本或 Commit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native vLLM ARM64 CUDA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vLLM `0.25.1`，wheel SHA256 `bdffbe35b2c1ab8f2a9dcc337b657261d9b192c92c217e5a2f98a8835fe78daa`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Step1X diffusers 分支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`f5f1c98fa00cb4d0479af1b1b1c17d724345963a`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NVIDIA Cosmos Framework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`ed8287fd7477113f8ac4f6b84290514d55cf0cdc`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NVIDIA NeMo ASR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`93b15b1f423ddc8e0d189810fdd8304091d9b1bd`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NeMo TTS 环境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`nemo_toolkit[tts]==2.7.3`</w:t>
            </w:r>
          </w:p>
        </w:tc>
      </w:tr>
    </w:tbl>
    <w:p>
      <w:pPr>
        <w:pStyle w:val="Heading1"/>
      </w:pPr>
      <w:r>
        <w:t>12. Safe-warm 统一内存策略</w:t>
      </w:r>
    </w:p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DGX Spark 提供约 119 GiB 统一内存，但必需模型原始文件约 75.6 GiB；运行时还需要解码权重、KV cache、CUDA context、Step1X/Cosmos 激活、视频缓冲、操作系统和文件缓存。所有模型同时常驻缺少可靠 OOM 余量，因此 v2.0 明确采用 safe-warm，而不是声称全模型常驻。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组件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默认策略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Nemotron ASR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常驻 JSONL 工作进程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Magpie TTS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常驻 JSONL 工作进程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Qwen vLLM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Campaign 间预热；进入视觉阶段前释放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Step1X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默认按需；仅在实测余量充足时允许可选常驻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Cosmos3-Edge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始终按需启动</w:t>
            </w:r>
          </w:p>
        </w:tc>
      </w:tr>
    </w:tbl>
    <w:p>
      <w:pPr>
        <w:keepNext/>
      </w:pPr>
      <w:r>
        <w:rPr>
          <w:rFonts w:ascii="Arial Unicode MS" w:hAnsi="Arial Unicode MS" w:cs="Arial Unicode MS" w:eastAsia="Arial Unicode MS"/>
          <w:sz w:val="22"/>
        </w:rPr>
        <w:t>默认配置为：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Arial Unicode MS"/>
          <w:sz w:val="16"/>
        </w:rPr>
        <w:t>OVERSEAARK_RESIDENT_ADAPTERS=asr,tts</w:t>
      </w:r>
      <w:r>
        <w:br/>
      </w:r>
      <w:r>
        <w:rPr>
          <w:rFonts w:ascii="Menlo" w:hAnsi="Menlo" w:eastAsia="Arial Unicode MS"/>
          <w:sz w:val="16"/>
        </w:rPr>
        <w:t>OVERSEAARK_KEEP_VLLM_RESIDENT=0</w:t>
      </w:r>
    </w:p>
    <w:p>
      <w:r>
        <w:rPr>
          <w:rFonts w:ascii="Arial Unicode MS" w:hAnsi="Arial Unicode MS" w:cs="Arial Unicode MS" w:eastAsia="Arial Unicode MS"/>
          <w:sz w:val="22"/>
        </w:rPr>
        <w:t>`GET /api/v1/models` 必须报告 `all_models_resident=false`、safe-warm 策略、预热状态、常驻 worker PID、ready 状态和启动次数。</w:t>
      </w:r>
    </w:p>
    <w:p>
      <w:r>
        <w:rPr>
          <w:rFonts w:ascii="Arial Unicode MS" w:hAnsi="Arial Unicode MS" w:cs="Arial Unicode MS" w:eastAsia="Arial Unicode MS"/>
          <w:sz w:val="22"/>
        </w:rPr>
        <w:t>取消、超时或致命 CUDA 错误时，系统终止相关工作进程组；Campaign 结束或取消后重新准备空闲模型组合。</w:t>
      </w:r>
    </w:p>
    <w:p>
      <w:pPr>
        <w:pStyle w:val="Heading1"/>
      </w:pPr>
      <w:r>
        <w:t>13. 系统架构与仓库边界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Arial Unicode MS"/>
          <w:sz w:val="16"/>
        </w:rPr>
        <w:t>overseaark/</w:t>
      </w:r>
      <w:r>
        <w:br/>
      </w:r>
      <w:r>
        <w:rPr>
          <w:rFonts w:ascii="Menlo" w:hAnsi="Menlo" w:eastAsia="Arial Unicode MS"/>
          <w:sz w:val="16"/>
        </w:rPr>
        <w:t xml:space="preserve">  frontend/                 # Vite + TypeScript + CSS</w:t>
      </w:r>
      <w:r>
        <w:br/>
      </w:r>
      <w:r>
        <w:rPr>
          <w:rFonts w:ascii="Menlo" w:hAnsi="Menlo" w:eastAsia="Arial Unicode MS"/>
          <w:sz w:val="16"/>
        </w:rPr>
        <w:t xml:space="preserve">  backend/                  # FastAPI、SQLite、Pipeline、ModelManager</w:t>
      </w:r>
      <w:r>
        <w:br/>
      </w:r>
      <w:r>
        <w:rPr>
          <w:rFonts w:ascii="Menlo" w:hAnsi="Menlo" w:eastAsia="Arial Unicode MS"/>
          <w:sz w:val="16"/>
        </w:rPr>
        <w:t xml:space="preserve">  scripts/                  # 安装、模型、生命周期、adapter、benchmark</w:t>
      </w:r>
      <w:r>
        <w:br/>
      </w:r>
      <w:r>
        <w:rPr>
          <w:rFonts w:ascii="Menlo" w:hAnsi="Menlo" w:eastAsia="Arial Unicode MS"/>
          <w:sz w:val="16"/>
        </w:rPr>
        <w:t xml:space="preserve">  docs/                     # PRD、架构、部署、赛事和测试材料</w:t>
      </w:r>
      <w:r>
        <w:br/>
      </w:r>
      <w:r>
        <w:rPr>
          <w:rFonts w:ascii="Menlo" w:hAnsi="Menlo" w:eastAsia="Arial Unicode MS"/>
          <w:sz w:val="16"/>
        </w:rPr>
        <w:t xml:space="preserve">  tests/e2e/                # Mock 与生命周期端到端测试</w:t>
      </w:r>
      <w:r>
        <w:br/>
      </w:r>
      <w:r>
        <w:rPr>
          <w:rFonts w:ascii="Menlo" w:hAnsi="Menlo" w:eastAsia="Arial Unicode MS"/>
          <w:sz w:val="16"/>
        </w:rPr>
        <w:t xml:space="preserve">  runtime/frontend-dist/    # 被忽略的前端构建产物</w:t>
      </w:r>
      <w:r>
        <w:br/>
      </w:r>
      <w:r>
        <w:rPr>
          <w:rFonts w:ascii="Menlo" w:hAnsi="Menlo" w:eastAsia="Arial Unicode MS"/>
          <w:sz w:val="16"/>
        </w:rPr>
        <w:t xml:space="preserve">  model-manifest.lock.json  # 固定模型清单</w:t>
      </w:r>
      <w:r>
        <w:br/>
      </w:r>
      <w:r>
        <w:rPr>
          <w:rFonts w:ascii="Menlo" w:hAnsi="Menlo" w:eastAsia="Arial Unicode MS"/>
          <w:sz w:val="16"/>
        </w:rPr>
        <w:t xml:space="preserve">  overseaark                # 根目录一键入口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类型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代码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`/home/Developer/overseaark`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模型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`/home/Developer/overseaark-models`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用户数据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`/home/Developer/overseaark-data`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FastAPI 与前端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`127.0.0.1:8000`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native vLLM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`127.0.0.1:8011`</w:t>
            </w:r>
          </w:p>
        </w:tc>
      </w:tr>
    </w:tbl>
    <w:p>
      <w:r>
        <w:rPr>
          <w:rFonts w:ascii="Arial Unicode MS" w:hAnsi="Arial Unicode MS" w:cs="Arial Unicode MS" w:eastAsia="Arial Unicode MS"/>
          <w:sz w:val="22"/>
        </w:rPr>
        <w:t>模型、数据库、日志、上传、生成素材、凭据和前端构建产物均不得提交到 Git。</w:t>
      </w:r>
    </w:p>
    <w:p>
      <w:pPr>
        <w:pStyle w:val="Heading1"/>
      </w:pPr>
      <w:r>
        <w:t>14. API v1 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方法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路径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`/api/v1/health`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服务与模型准备状态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`/health`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兼容健康检查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`/api/v1/models`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模型、离线、串行和 safe-warm 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`/api/v1/transcriptions`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上传音频并执行本地 ASR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multipart 创建 Campaign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Campaign 列表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`/api/v1/campaigns/{id}`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Campaign、阶段和产物详情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`/api/v1/campaigns/{id}/events`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可恢复 SSE 事件流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`/api/v1/campaigns/{id}/rerun`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从第一阶段重跑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`/api/v1/campaigns/{id}/rerun/{stage}`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从指定阶段重跑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`/api/v1/campaigns/{id}/cancel`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取消 Campaign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`/api/v1/campaigns/{id}/assets/{asset_key}`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安全读取源图、海报、音频、视频或 QC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`/api/v1/campaigns/{id}/export`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完整导出，或通过 `language` 查询参数单语言导出</w:t>
            </w:r>
          </w:p>
        </w:tc>
      </w:tr>
    </w:tbl>
    <w:p>
      <w:pPr>
        <w:pStyle w:val="Heading1"/>
      </w:pPr>
      <w:r>
        <w:t>15. 一键启动与模型获取</w:t>
      </w:r>
    </w:p>
    <w:p>
      <w:pPr>
        <w:pStyle w:val="Heading2"/>
      </w:pPr>
      <w:r>
        <w:t>15.1 根命令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Arial Unicode MS"/>
          <w:sz w:val="16"/>
        </w:rPr>
        <w:t>./overseaark bootstrap</w:t>
      </w:r>
      <w:r>
        <w:br/>
      </w:r>
      <w:r>
        <w:rPr>
          <w:rFonts w:ascii="Menlo" w:hAnsi="Menlo" w:eastAsia="Arial Unicode MS"/>
          <w:sz w:val="16"/>
        </w:rPr>
        <w:t>./overseaark start</w:t>
      </w:r>
      <w:r>
        <w:br/>
      </w:r>
      <w:r>
        <w:rPr>
          <w:rFonts w:ascii="Menlo" w:hAnsi="Menlo" w:eastAsia="Arial Unicode MS"/>
          <w:sz w:val="16"/>
        </w:rPr>
        <w:t>./overseaark stop</w:t>
      </w:r>
      <w:r>
        <w:br/>
      </w:r>
      <w:r>
        <w:rPr>
          <w:rFonts w:ascii="Menlo" w:hAnsi="Menlo" w:eastAsia="Arial Unicode MS"/>
          <w:sz w:val="16"/>
        </w:rPr>
        <w:t>./overseaark restart</w:t>
      </w:r>
      <w:r>
        <w:br/>
      </w:r>
      <w:r>
        <w:rPr>
          <w:rFonts w:ascii="Menlo" w:hAnsi="Menlo" w:eastAsia="Arial Unicode MS"/>
          <w:sz w:val="16"/>
        </w:rPr>
        <w:t>./overseaark status</w:t>
      </w:r>
      <w:r>
        <w:br/>
      </w:r>
      <w:r>
        <w:rPr>
          <w:rFonts w:ascii="Menlo" w:hAnsi="Menlo" w:eastAsia="Arial Unicode MS"/>
          <w:sz w:val="16"/>
        </w:rPr>
        <w:t>./overseaark logs all</w:t>
      </w:r>
      <w:r>
        <w:br/>
      </w:r>
      <w:r>
        <w:rPr>
          <w:rFonts w:ascii="Menlo" w:hAnsi="Menlo" w:eastAsia="Arial Unicode MS"/>
          <w:sz w:val="16"/>
        </w:rPr>
        <w:t>./overseaark doctor</w:t>
      </w:r>
      <w:r>
        <w:br/>
      </w:r>
      <w:r>
        <w:rPr>
          <w:rFonts w:ascii="Menlo" w:hAnsi="Menlo" w:eastAsia="Arial Unicode MS"/>
          <w:sz w:val="16"/>
        </w:rPr>
        <w:t>./overseaark models verify</w:t>
      </w:r>
      <w:r>
        <w:br/>
      </w:r>
      <w:r>
        <w:rPr>
          <w:rFonts w:ascii="Menlo" w:hAnsi="Menlo" w:eastAsia="Arial Unicode MS"/>
          <w:sz w:val="16"/>
        </w:rPr>
        <w:t>./overseaark models sync</w:t>
      </w:r>
      <w:r>
        <w:br/>
      </w:r>
      <w:r>
        <w:rPr>
          <w:rFonts w:ascii="Menlo" w:hAnsi="Menlo" w:eastAsia="Arial Unicode MS"/>
          <w:sz w:val="16"/>
        </w:rPr>
        <w:t>./overseaark benchmark llm|image|audio|video</w:t>
      </w:r>
      <w:r>
        <w:br/>
      </w:r>
      <w:r>
        <w:rPr>
          <w:rFonts w:ascii="Menlo" w:hAnsi="Menlo" w:eastAsia="Arial Unicode MS"/>
          <w:sz w:val="16"/>
        </w:rPr>
        <w:t>./overseaark test</w:t>
      </w:r>
    </w:p>
    <w:p>
      <w:r>
        <w:rPr>
          <w:rFonts w:ascii="Arial Unicode MS" w:hAnsi="Arial Unicode MS" w:cs="Arial Unicode MS" w:eastAsia="Arial Unicode MS"/>
          <w:sz w:val="22"/>
        </w:rPr>
        <w:t>`./overseaark start` 是主要入口，必须完成：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cs="Arial Unicode MS" w:eastAsia="Arial Unicode MS"/>
          <w:sz w:val="22"/>
        </w:rPr>
        <w:t>检查并修复基础依赖。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cs="Arial Unicode MS" w:eastAsia="Arial Unicode MS"/>
          <w:sz w:val="22"/>
        </w:rPr>
        <w:t>使用隔离环境安装 native vLLM、Step1X、Cosmos、NeMo ASR 和 NeMo TTS。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cs="Arial Unicode MS" w:eastAsia="Arial Unicode MS"/>
          <w:sz w:val="22"/>
        </w:rPr>
        <w:t>根据 lock manifest 校验模型 revision、文件大小和 SHA256。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cs="Arial Unicode MS" w:eastAsia="Arial Unicode MS"/>
          <w:sz w:val="22"/>
        </w:rPr>
        <w:t>删除损坏文件并断点下载缺失文件。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cs="Arial Unicode MS" w:eastAsia="Arial Unicode MS"/>
          <w:sz w:val="22"/>
        </w:rPr>
        <w:t>构建前端并启动本地 vLLM 与 FastAPI。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cs="Arial Unicode MS" w:eastAsia="Arial Unicode MS"/>
          <w:sz w:val="22"/>
        </w:rPr>
        <w:t>等待健康检查，同时在后台完成 ASR/TTS 常驻预热。</w:t>
      </w:r>
    </w:p>
    <w:p>
      <w:pPr>
        <w:pStyle w:val="Heading2"/>
      </w:pPr>
      <w:r>
        <w:t>15.2 国内网络加速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用途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默认地址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Python 包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`https://pypi.tuna.tsinghua.edu.cn/simple`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Hugging Face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`https://hf-mirror.com`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ModelScope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`https://modelscope.cn`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CUDA PyTorch wheel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`https://mirrors.aliyun.com/pytorch-wheels/cu130`</w:t>
            </w:r>
          </w:p>
        </w:tc>
      </w:tr>
    </w:tbl>
    <w:p>
      <w:r>
        <w:rPr>
          <w:rFonts w:ascii="Arial Unicode MS" w:hAnsi="Arial Unicode MS" w:cs="Arial Unicode MS" w:eastAsia="Arial Unicode MS"/>
          <w:sz w:val="22"/>
        </w:rPr>
        <w:t>模型镜像只改变传输来源，固定 revision、大小和 SHA256 仍是完整性依据。</w:t>
      </w:r>
    </w:p>
    <w:p>
      <w:pPr>
        <w:pStyle w:val="Heading2"/>
      </w:pPr>
      <w:r>
        <w:t>15.3 远程访问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Arial Unicode MS"/>
          <w:sz w:val="16"/>
        </w:rPr>
        <w:t>ssh -p 6105 -L 8000:127.0.0.1:8000 root@106.13.186.155</w:t>
      </w:r>
    </w:p>
    <w:p>
      <w:r>
        <w:rPr>
          <w:rFonts w:ascii="Arial Unicode MS" w:hAnsi="Arial Unicode MS" w:cs="Arial Unicode MS" w:eastAsia="Arial Unicode MS"/>
          <w:sz w:val="22"/>
        </w:rPr>
        <w:t>服务保持只监听 `127.0.0.1`，不开放 DGX 的公网端口。</w:t>
      </w:r>
    </w:p>
    <w:p>
      <w:pPr>
        <w:pStyle w:val="Heading1"/>
      </w:pPr>
      <w:r>
        <w:t>16. 安全、隐私与离线边界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Campaign 主生成阶段设置 `HF_HUB_OFFLINE=1`、`TRANSFORMERS_OFFLINE=1` 和 `HF_DATASETS_OFFLINE=1`。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LLM 地址必须解析为 localhost，拒绝远程 adapter URL。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上传同时校验 MIME、大小和真实文件签名。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产品图片最大 20 MiB，仅允许 PNG、JPEG、WebP。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音频只允许受支持的 WAV、MP3、M4A、WebM 容器签名。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导出文件真实路径必须位于允许的 uploads 或当前 Campaign artifacts 根目录。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日志不主动记录密钥；vLLM API key 存放在本地运行目录。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推理期间只允许 localhost、本地文件、SQLite、Unix 进程和 ffmpeg 通信。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本版本未完成内核级抓包审计，因此不得把环境变量隔离描述为防火墙级证明。</w:t>
      </w:r>
    </w:p>
    <w:p>
      <w:pPr>
        <w:pStyle w:val="Heading1"/>
      </w:pPr>
      <w:r>
        <w:t>17.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类别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性能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缓存就绪后的默认完整 Campaign 目标不超过 10 分钟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稳定性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不出现 OOM、CUDA context 污染或残留重型模型进程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可恢复性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后端重启后恢复 queued/running Campaign；SSE 可续传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可观测性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页面显示 API、模型准备状态、阶段、事件序号和产物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可维护性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单仓、单 README 主入口、单根命令、固定 lock manifest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可测试性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Mock 单元/E2E、生命周期对抗测试、DGX 真机 E2E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可访问性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PRD 使用真实标题层级；DOCX 表格标记标题行</w:t>
            </w:r>
          </w:p>
        </w:tc>
      </w:tr>
    </w:tbl>
    <w:p>
      <w:pPr>
        <w:pStyle w:val="Heading1"/>
      </w:pPr>
      <w:r>
        <w:t>18. 验收标准与当前证据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2486"/>
        <w:gridCol w:w="2486"/>
        <w:gridCol w:w="2488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编号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标准</w:t>
            </w:r>
          </w:p>
        </w:tc>
        <w:tc>
          <w:tcPr>
            <w:tcW w:type="dxa" w:w="2488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AT-001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连续三次完整运行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同一当前构建连续 3 个 Campaign `completed`，每次不超过 10 分钟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未完全满足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AT-002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三语言输出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zh/en/ja 文案与音频齐全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AT-003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ASR/TTS 闭环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Magpie 生成，Nemotron 回听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AT-004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回听相似度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每种语言不低于 `0.75`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已满足单轮与回归测试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AT-005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视频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至少 480p，ffprobe 可读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AT-006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重试与 partial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失败重试一次，仍失败时保留成果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AT-007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降级语义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ffmpeg 兜底明确 degraded，不冒充完成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AT-008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OOM 与残留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完整运行和取消后无 OOM、无孤儿进程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已满足当前实测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AT-009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离线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主推理链路不访问公网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环境与地址边界已满足；内核抓包待补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AT-010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导出隔离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完整包与单语言包完整、无跨语言泄露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AT-011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国际化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默认中文，英文切换持久化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AT-012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一键演示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一键示例可填入并创建完整 Campaign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已满足</w:t>
            </w:r>
          </w:p>
        </w:tc>
      </w:tr>
    </w:tbl>
    <w:p>
      <w:pPr>
        <w:pStyle w:val="Heading2"/>
      </w:pPr>
      <w:r>
        <w:t>18.1 真机与对抗性证据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Run8：真实模型均完成生成，但中文混合拉丁缩写导致回听低于阈值，Campaign 如实保持 `partial`，由此修复了口播生成规则。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Run9：native vLLM 六阶段全部一次成功，用时 `580.147219s`；zh/en/ja 相似度为 `0.9375`、`1.0`、`0.9189`。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UQ-14：当前 safe-warm 部署六阶段全部一次成功，用时 `451.296015s`；zh/en/ja 相似度为 `0.8333`、`1.0`、`0.88`；完整和三个单语言 ZIP 均通过完整性与语言隔离检查。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UQ-15：只在真实 TTS 请求执行中取消；旧 TTS 进程被终止，新常驻进程自动恢复且启动计数增加，ASR 未被误杀，无 Step1X/Cosmos 孤儿进程。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本地完整门禁：后端 84 项、前端 25 项、HTTP E2E 14 项通过，另含类型检查、构建、生命周期和后端烟测。</w:t>
      </w:r>
    </w:p>
    <w:p>
      <w:r>
        <w:rPr>
          <w:rFonts w:ascii="Arial Unicode MS" w:hAnsi="Arial Unicode MS" w:cs="Arial Unicode MS" w:eastAsia="Arial Unicode MS"/>
          <w:sz w:val="22"/>
        </w:rPr>
        <w:t>Run9 和 UQ-14 是两次独立的十分钟内结果，但尚未形成同一当前构建连续三次达标的完整序列，因此不得宣称 AT-001 已完成。</w:t>
      </w:r>
    </w:p>
    <w:p>
      <w:pPr>
        <w:pStyle w:val="Heading1"/>
      </w:pPr>
      <w:r>
        <w:t>19. 团队分工与贡献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成员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分工与贡献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陈荣杰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队长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负责项目和技术的实施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陈郑超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队员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负责产品与设计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黄冬梅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队员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负责全流程质量把控</w:t>
            </w:r>
          </w:p>
        </w:tc>
      </w:tr>
    </w:tbl>
    <w:p>
      <w:r>
        <w:rPr>
          <w:rFonts w:ascii="Arial Unicode MS" w:hAnsi="Arial Unicode MS" w:cs="Arial Unicode MS" w:eastAsia="Arial Unicode MS"/>
          <w:sz w:val="22"/>
        </w:rPr>
        <w:t>团队协作以同一 PRD、同一代码仓库、同一验收标准和可复现证据为边界。技术实现、产品设计和质量把控分别有明确负责人，但最终交付以六阶段全链路是否真实可运行作为共同判断标准。</w:t>
      </w:r>
    </w:p>
    <w:p>
      <w:pPr>
        <w:pStyle w:val="Heading1"/>
      </w:pPr>
      <w:r>
        <w:t>20. 风险与后续路线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风险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影响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/>
                <w:color w:val="111827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统一内存峰值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Step1X/Cosmos 转换时可能 OOM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保持 safe-warm、串行锁和阶段前释放 vLLM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国内网络不稳定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首次模型下载时间不可预测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固定镜像、断点续传、大小和 SHA256 校验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ASR 对混合字符敏感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TTS 回听可能低于阈值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生成本地可发音脚本，只重试失败语言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视频质量随样例变化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演示观感不稳定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固定默认样例和推理参数，保留真实质量标记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三轮严格证据未闭合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不能完全声明性能验收完成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在同一当前构建补跑连续三轮并保存 benchmark 证据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环境变量离线非内核隔离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无法证明网络层绝对零外连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 Unicode MS" w:hAnsi="Arial Unicode MS" w:cs="Arial Unicode MS" w:eastAsia="Arial Unicode MS"/>
                <w:b w:val="0"/>
                <w:color w:val="111827"/>
                <w:sz w:val="18"/>
              </w:rPr>
              <w:t>后续增加受控抓包或网络命名空间审计</w:t>
            </w:r>
          </w:p>
        </w:tc>
      </w:tr>
    </w:tbl>
    <w:p>
      <w:r>
        <w:rPr>
          <w:rFonts w:ascii="Arial Unicode MS" w:hAnsi="Arial Unicode MS" w:cs="Arial Unicode MS" w:eastAsia="Arial Unicode MS"/>
          <w:sz w:val="22"/>
        </w:rPr>
        <w:t>后续版本优先级：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cs="Arial Unicode MS" w:eastAsia="Arial Unicode MS"/>
          <w:sz w:val="22"/>
        </w:rPr>
        <w:t>完成同一构建连续三轮十分钟内验收。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cs="Arial Unicode MS" w:eastAsia="Arial Unicode MS"/>
          <w:sz w:val="22"/>
        </w:rPr>
        <w:t>增加品牌模板、人工审核节点和素材版本管理。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cs="Arial Unicode MS" w:eastAsia="Arial Unicode MS"/>
          <w:sz w:val="22"/>
        </w:rPr>
        <w:t>增强模型缓存与统一内存可视化。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cs="Arial Unicode MS" w:eastAsia="Arial Unicode MS"/>
          <w:sz w:val="22"/>
        </w:rPr>
        <w:t>增加 Campaign 对比、可编辑文案和批量导出。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cs="Arial Unicode MS" w:eastAsia="Arial Unicode MS"/>
          <w:sz w:val="22"/>
        </w:rPr>
        <w:t>在不破坏 localhost 与离线边界的前提下扩展更多语言。</w:t>
      </w:r>
    </w:p>
    <w:p>
      <w:pPr>
        <w:pStyle w:val="Heading1"/>
      </w:pPr>
      <w:r>
        <w:t>21. 发布定义</w:t>
      </w:r>
    </w:p>
    <w:p>
      <w:r>
        <w:rPr>
          <w:rFonts w:ascii="Arial Unicode MS" w:hAnsi="Arial Unicode MS" w:cs="Arial Unicode MS" w:eastAsia="Arial Unicode MS"/>
          <w:sz w:val="22"/>
        </w:rPr>
        <w:t>v2.0 可交付必须同时满足：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根命令可在无 Docker 的 DGX Spark 上启动系统并自动修复缺失模型。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中文默认界面、英文切换、一键示例和六阶段进度可用。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当前语言输出与阶段过程产物边界清晰。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完整导出和单语言导出通过完整性、安全与隔离测试。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所有失败、重试、取消、降级和质量结果如实记录。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README、英文 README、PRD、架构、部署、模型清单和测试报告描述同一套技术事实。</w:t>
      </w:r>
    </w:p>
    <w:p>
      <w:pPr>
        <w:pStyle w:val="ListBullet"/>
      </w:pPr>
      <w:r>
        <w:rPr>
          <w:rFonts w:ascii="Arial Unicode MS" w:hAnsi="Arial Unicode MS" w:cs="Arial Unicode MS" w:eastAsia="Arial Unicode MS"/>
          <w:sz w:val="22"/>
        </w:rPr>
        <w:t>不删除或覆盖用户未授权的项目外原始资料。</w:t>
      </w:r>
    </w:p>
    <w:p>
      <w:r>
        <w:rPr>
          <w:rFonts w:ascii="Arial Unicode MS" w:hAnsi="Arial Unicode MS" w:cs="Arial Unicode MS" w:eastAsia="Arial Unicode MS"/>
          <w:sz w:val="22"/>
        </w:rPr>
        <w:t>本 PRD v2.0 是 OverseaArk 当前唯一有效的产品需求基线。旧版 PRD 中出现的 Step-3.7、llama.cpp、ComfyUI、FLUX、Piper、StepAudio、云端推理或全模型常驻等描述均不再适用。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cs="Arial Unicode MS" w:eastAsia="Arial Unicode MS"/>
        <w:b w:val="0"/>
        <w:color w:val="6B7280"/>
        <w:sz w:val="16"/>
      </w:rPr>
      <w:t xml:space="preserve">当前实施与赛事交付基线  ·  </w:t>
    </w:r>
    <w:fldSimple w:instr="PAGE">
      <w:r>
        <w:rPr>
          <w:sz w:val="16"/>
          <w:color w:val="6B728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 Unicode MS" w:hAnsi="Arial Unicode MS" w:cs="Arial Unicode MS" w:eastAsia="Arial Unicode MS"/>
        <w:b/>
        <w:color w:val="4B5563"/>
        <w:sz w:val="16"/>
      </w:rPr>
      <w:t>出海方舟 OverseaArk  |  PRD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before="0" w:after="120"/>
    </w:pPr>
    <w:rPr>
      <w:rFonts w:ascii="Arial Unicode MS" w:hAnsi="Arial Unicode MS" w:cs="Arial Unicode MS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Arial Unicode MS" w:hAnsi="Arial Unicode MS" w:cs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 Unicode MS" w:hAnsi="Arial Unicode MS" w:cs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 Unicode MS" w:hAnsi="Arial Unicode MS" w:cs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Arial Unicode MS" w:hAnsi="Arial Unicode MS" w:cs="Arial Unicode MS" w:eastAsia="Arial Unicode M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cs="Arial Unicode MS" w:eastAsia="Arial Unicode MS"/>
      <w:b w:val="0"/>
      <w:color w:val="11182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cs="Arial Unicode MS" w:eastAsia="Arial Unicode MS"/>
      <w:b w:val="0"/>
      <w:color w:val="11182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cs="Arial Unicode MS" w:eastAsia="Arial Unicode MS"/>
      <w:b w:val="0"/>
      <w:bCs/>
      <w:color w:val="6B728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Masthead">
    <w:name w:val="Memo Masthead"/>
    <w:pPr>
      <w:spacing w:after="0"/>
    </w:pPr>
    <w:rPr>
      <w:rFonts w:ascii="Arial Unicode MS" w:hAnsi="Arial Unicode MS" w:cs="Arial Unicode MS" w:eastAsia="Arial Unicode MS"/>
      <w:b/>
      <w:color w:val="FFFFFF"/>
      <w:sz w:val="18"/>
    </w:rPr>
  </w:style>
  <w:style w:type="paragraph" w:customStyle="1" w:styleId="TOCInstruction">
    <w:name w:val="TOC Instruction"/>
    <w:rPr>
      <w:rFonts w:ascii="Arial Unicode MS" w:hAnsi="Arial Unicode MS" w:cs="Arial Unicode MS" w:eastAsia="Arial Unicode MS"/>
      <w:b/>
      <w:color w:val="0F172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