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Models of the FMR, rFMR, and gFMR</w:t>
      </w:r>
    </w:p>
    <w:p>
      <w:pPr>
        <w:pStyle w:val="Subtitle"/>
      </w:pPr>
      <w:r>
        <w:t xml:space="preserve">A physics-first literature review and a two-driver route to positive SFR–metallicity correlations at fixed mass</w:t>
      </w:r>
    </w:p>
    <w:p>
      <w:pPr>
        <w:pStyle w:val="Date"/>
      </w:pPr>
      <w:r>
        <w:t xml:space="preserve">13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executive-summary"/>
    <w:p>
      <w:pPr>
        <w:pStyle w:val="Heading1"/>
      </w:pPr>
      <w:r>
        <w:t xml:space="preserve">Executive summary</w:t>
      </w:r>
    </w:p>
    <w:p>
      <w:pPr>
        <w:pStyle w:val="FirstParagraph"/>
      </w:pPr>
      <w:r>
        <w:t xml:space="preserve">This review asks a narrower question than a general review of the mass–metallicity relation:</w:t>
      </w:r>
      <w:r>
        <w:t xml:space="preserve"> </w:t>
      </w:r>
      <w:r>
        <w:rPr>
          <w:b/>
          <w:bCs/>
        </w:rPr>
        <w:t xml:space="preserve">which astronomical papers provide an analytical or semi-analytical explanation of the three-variable relation between gas-phase metallicity, mass, and star formation or gas content?</w:t>
      </w:r>
      <w:r>
        <w:t xml:space="preserve"> </w:t>
      </w:r>
      <w:r>
        <w:t xml:space="preserve">It distinguishes three related objects:</w:t>
      </w:r>
    </w:p>
    <w:p>
      <w:pPr>
        <w:pStyle w:val="Compact"/>
        <w:numPr>
          <w:ilvl w:val="0"/>
          <w:numId w:val="1001"/>
        </w:numPr>
      </w:pPr>
      <w:r>
        <w:t xml:space="preserve">the</w:t>
      </w:r>
      <w:r>
        <w:t xml:space="preserve"> </w:t>
      </w:r>
      <w:r>
        <w:rPr>
          <w:b/>
          <w:bCs/>
        </w:rPr>
        <w:t xml:space="preserve">global FMR</w:t>
      </w:r>
      <w:r>
        <w:t xml:space="preserve">,</w:t>
      </w:r>
      <w:r>
        <w:t xml:space="preserve"> </w:t>
      </w:r>
      <m:oMath>
        <m:sSub>
          <m:e>
            <m:r>
              <m:t>Z</m:t>
            </m:r>
          </m:e>
          <m:sub>
            <m:r>
              <m:rPr>
                <m:sty m:val="p"/>
              </m:rPr>
              <m:t>g</m:t>
            </m:r>
          </m:sub>
        </m:sSub>
        <m:r>
          <m:rPr>
            <m:sty m:val="p"/>
          </m:rPr>
          <m:t>(</m:t>
        </m:r>
        <m:sSub>
          <m:e>
            <m:r>
              <m:t>M</m:t>
            </m:r>
          </m:e>
          <m:sub>
            <m:r>
              <m:rPr>
                <m:sty m:val="p"/>
              </m:rPr>
              <m:t>⋆</m:t>
            </m:r>
          </m:sub>
        </m:sSub>
        <m:r>
          <m:rPr>
            <m:sty m:val="p"/>
          </m:rPr>
          <m:t>,</m:t>
        </m:r>
        <m:r>
          <m:rPr>
            <m:sty m:val="p"/>
          </m:rPr>
          <m:t>S</m:t>
        </m:r>
        <m:r>
          <m:rPr>
            <m:sty m:val="p"/>
          </m:rPr>
          <m:t>F</m:t>
        </m:r>
        <m:r>
          <m:rPr>
            <m:sty m:val="p"/>
          </m:rPr>
          <m:t>R</m:t>
        </m:r>
        <m:r>
          <m:rPr>
            <m:sty m:val="p"/>
          </m:rPr>
          <m:t>)</m:t>
        </m:r>
      </m:oMath>
      <w:r>
        <w:t xml:space="preserve">;</w:t>
      </w:r>
    </w:p>
    <w:p>
      <w:pPr>
        <w:pStyle w:val="Compact"/>
        <w:numPr>
          <w:ilvl w:val="0"/>
          <w:numId w:val="1001"/>
        </w:numPr>
      </w:pPr>
      <w:r>
        <w:t xml:space="preserve">the</w:t>
      </w:r>
      <w:r>
        <w:t xml:space="preserve"> </w:t>
      </w:r>
      <w:r>
        <w:rPr>
          <w:b/>
          <w:bCs/>
        </w:rPr>
        <w:t xml:space="preserve">resolved FMR (rFMR)</w:t>
      </w:r>
      <w:r>
        <w:t xml:space="preserve">, usually</w:t>
      </w:r>
      <w:r>
        <w:t xml:space="preserve"> </w:t>
      </w:r>
      <m:oMath>
        <m:sSub>
          <m:e>
            <m:r>
              <m:t>Z</m:t>
            </m:r>
          </m:e>
          <m:sub>
            <m:r>
              <m:rPr>
                <m:sty m:val="p"/>
              </m:rPr>
              <m:t>g</m:t>
            </m:r>
          </m:sub>
        </m:sSub>
        <m:r>
          <m:rPr>
            <m:sty m:val="p"/>
          </m:rPr>
          <m:t>(</m:t>
        </m:r>
        <m:sSub>
          <m:e>
            <m:r>
              <m:rPr>
                <m:sty m:val="p"/>
              </m:rPr>
              <m:t>Σ</m:t>
            </m:r>
          </m:e>
          <m:sub>
            <m:r>
              <m:rPr>
                <m:sty m:val="p"/>
              </m:rPr>
              <m:t>⋆</m:t>
            </m:r>
          </m:sub>
        </m:sSub>
        <m:r>
          <m:rPr>
            <m:sty m:val="p"/>
          </m:rPr>
          <m:t>,</m:t>
        </m:r>
        <m:sSub>
          <m:e>
            <m:r>
              <m:rPr>
                <m:sty m:val="p"/>
              </m:rPr>
              <m:t>Σ</m:t>
            </m:r>
          </m:e>
          <m:sub>
            <m:r>
              <m:rPr>
                <m:sty m:val="p"/>
              </m:rPr>
              <m:t>S</m:t>
            </m:r>
            <m:r>
              <m:rPr>
                <m:sty m:val="p"/>
              </m:rPr>
              <m:t>F</m:t>
            </m:r>
            <m:r>
              <m:rPr>
                <m:sty m:val="p"/>
              </m:rPr>
              <m:t>R</m:t>
            </m:r>
          </m:sub>
        </m:sSub>
        <m:r>
          <m:rPr>
            <m:sty m:val="p"/>
          </m:rPr>
          <m:t>)</m:t>
        </m:r>
      </m:oMath>
      <w:r>
        <w:t xml:space="preserve"> </w:t>
      </w:r>
      <w:r>
        <w:t xml:space="preserve">within galaxies; and</w:t>
      </w:r>
    </w:p>
    <w:p>
      <w:pPr>
        <w:pStyle w:val="Compact"/>
        <w:numPr>
          <w:ilvl w:val="0"/>
          <w:numId w:val="1001"/>
        </w:numPr>
      </w:pPr>
      <w:r>
        <w:t xml:space="preserve">the</w:t>
      </w:r>
      <w:r>
        <w:t xml:space="preserve"> </w:t>
      </w:r>
      <w:r>
        <w:rPr>
          <w:b/>
          <w:bCs/>
        </w:rPr>
        <w:t xml:space="preserve">gaseous FMR (gFMR)</w:t>
      </w:r>
      <w:r>
        <w:t xml:space="preserve"> </w:t>
      </w:r>
      <w:r>
        <w:t xml:space="preserve">in the specific recent sense</w:t>
      </w:r>
      <w:r>
        <w:t xml:space="preserve"> </w:t>
      </w:r>
      <m:oMath>
        <m:sSub>
          <m:e>
            <m:r>
              <m:t>Z</m:t>
            </m:r>
          </m:e>
          <m:sub>
            <m:r>
              <m:rPr>
                <m:sty m:val="p"/>
              </m:rPr>
              <m:t>g</m:t>
            </m:r>
          </m:sub>
        </m:sSub>
        <m:r>
          <m:rPr>
            <m:sty m:val="p"/>
          </m:rPr>
          <m:t>(</m:t>
        </m:r>
        <m:sSub>
          <m:e>
            <m:r>
              <m:t>M</m:t>
            </m:r>
          </m:e>
          <m:sub>
            <m:r>
              <m:rPr>
                <m:sty m:val="p"/>
              </m:rPr>
              <m:t>⋆</m:t>
            </m:r>
          </m:sub>
        </m:sSub>
        <m:r>
          <m:rPr>
            <m:sty m:val="p"/>
          </m:rPr>
          <m:t>,</m:t>
        </m:r>
        <m:sSub>
          <m:e>
            <m:r>
              <m:t>M</m:t>
            </m:r>
          </m:e>
          <m:sub>
            <m:r>
              <m:rPr>
                <m:sty m:val="p"/>
              </m:rPr>
              <m:t>g</m:t>
            </m:r>
          </m:sub>
        </m:sSub>
        <m:r>
          <m:rPr>
            <m:sty m:val="p"/>
          </m:rPr>
          <m:t>)</m:t>
        </m:r>
      </m:oMath>
      <w:r>
        <w:t xml:space="preserve">, not merely “a gas-phase FMR.”</w:t>
      </w:r>
    </w:p>
    <w:p>
      <w:pPr>
        <w:pStyle w:val="FirstParagraph"/>
      </w:pPr>
      <w:r>
        <w:t xml:space="preserve">The main conclusions are:</w:t>
      </w:r>
    </w:p>
    <w:p>
      <w:pPr>
        <w:pStyle w:val="Compact"/>
        <w:numPr>
          <w:ilvl w:val="0"/>
          <w:numId w:val="1002"/>
        </w:numPr>
      </w:pPr>
      <w:r>
        <w:t xml:space="preserve">There is no single canonical analytical FMR model. Most physical models are variants of one gas-and-metal continuity system. They differ in which quantity is assumed to fluctuate, which quantities are held fixed, and whether equilibrium is imposed.</w:t>
      </w:r>
    </w:p>
    <w:p>
      <w:pPr>
        <w:pStyle w:val="Compact"/>
        <w:numPr>
          <w:ilvl w:val="0"/>
          <w:numId w:val="1002"/>
        </w:numPr>
      </w:pPr>
      <w:r>
        <w:t xml:space="preserve">The classical negative SFR–</w:t>
      </w:r>
      <m:oMath>
        <m:sSub>
          <m:e>
            <m:r>
              <m:t>Z</m:t>
            </m:r>
          </m:e>
          <m:sub>
            <m:r>
              <m:rPr>
                <m:sty m:val="p"/>
              </m:rPr>
              <m:t>g</m:t>
            </m:r>
          </m:sub>
        </m:sSub>
      </m:oMath>
      <w:r>
        <w:t xml:space="preserve"> </w:t>
      </w:r>
      <w:r>
        <w:t xml:space="preserve">residual at fixed</w:t>
      </w:r>
      <w:r>
        <w:t xml:space="preserve"> </w:t>
      </w:r>
      <m:oMath>
        <m:sSub>
          <m:e>
            <m:r>
              <m:t>M</m:t>
            </m:r>
          </m:e>
          <m:sub>
            <m:r>
              <m:rPr>
                <m:sty m:val="p"/>
              </m:rPr>
              <m:t>⋆</m:t>
            </m:r>
          </m:sub>
        </m:sSub>
      </m:oMath>
      <w:r>
        <w:t xml:space="preserve"> </w:t>
      </w:r>
      <w:r>
        <w:t xml:space="preserve">follows naturally when</w:t>
      </w:r>
      <w:r>
        <w:t xml:space="preserve"> </w:t>
      </w:r>
      <w:r>
        <w:rPr>
          <w:b/>
          <w:bCs/>
        </w:rPr>
        <w:t xml:space="preserve">metal-poor inflow is the dominant short-timescale driver</w:t>
      </w:r>
      <w:r>
        <w:t xml:space="preserve">. A rise in inflow first raises gas mass and SFR and simultaneously dilutes the gas. Dayal et al. (2013), Forbes et al. (2014), Lilly et al. (2013), and Wang et al. (2026) provide distinct analytical versions of this idea. (</w:t>
      </w:r>
      <w:hyperlink r:id="rId9">
        <w:r>
          <w:rPr>
            <w:rStyle w:val="Hyperlink"/>
          </w:rPr>
          <w:t xml:space="preserve">Dayal et al. 2013</w:t>
        </w:r>
      </w:hyperlink>
      <w:r>
        <w:t xml:space="preserve">)</w:t>
      </w:r>
      <w:r>
        <w:t xml:space="preserve"> </w:t>
      </w:r>
      <w:r>
        <w:t xml:space="preserve">(</w:t>
      </w:r>
      <w:hyperlink r:id="rId10">
        <w:r>
          <w:rPr>
            <w:rStyle w:val="Hyperlink"/>
          </w:rPr>
          <w:t xml:space="preserve">Forbes et al. 2014</w:t>
        </w:r>
      </w:hyperlink>
      <w:r>
        <w:t xml:space="preserve">)</w:t>
      </w:r>
      <w:r>
        <w:t xml:space="preserve"> </w:t>
      </w:r>
      <w:r>
        <w:t xml:space="preserve">(</w:t>
      </w:r>
      <w:hyperlink r:id="rId11">
        <w:r>
          <w:rPr>
            <w:rStyle w:val="Hyperlink"/>
          </w:rPr>
          <w:t xml:space="preserve">Lilly et al. 2013</w:t>
        </w:r>
      </w:hyperlink>
      <w:r>
        <w:t xml:space="preserve">)</w:t>
      </w:r>
      <w:r>
        <w:t xml:space="preserve"> </w:t>
      </w:r>
      <w:r>
        <w:t xml:space="preserve">(</w:t>
      </w:r>
      <w:hyperlink r:id="rId12">
        <w:r>
          <w:rPr>
            <w:rStyle w:val="Hyperlink"/>
          </w:rPr>
          <w:t xml:space="preserve">Wang et al. 2026</w:t>
        </w:r>
      </w:hyperlink>
      <w:r>
        <w:t xml:space="preserve">)</w:t>
      </w:r>
    </w:p>
    <w:p>
      <w:pPr>
        <w:pStyle w:val="Compact"/>
        <w:numPr>
          <w:ilvl w:val="0"/>
          <w:numId w:val="1002"/>
        </w:numPr>
      </w:pPr>
      <w:r>
        <w:t xml:space="preserve">A positive SFR–</w:t>
      </w:r>
      <m:oMath>
        <m:sSub>
          <m:e>
            <m:r>
              <m:t>Z</m:t>
            </m:r>
          </m:e>
          <m:sub>
            <m:r>
              <m:rPr>
                <m:sty m:val="p"/>
              </m:rPr>
              <m:t>g</m:t>
            </m:r>
          </m:sub>
        </m:sSub>
      </m:oMath>
      <w:r>
        <w:t xml:space="preserve"> </w:t>
      </w:r>
      <w:r>
        <w:t xml:space="preserve">residual at fixed mass is not pathological. It arises when</w:t>
      </w:r>
      <w:r>
        <w:t xml:space="preserve"> </w:t>
      </w:r>
      <w:r>
        <w:rPr>
          <w:b/>
          <w:bCs/>
        </w:rPr>
        <w:t xml:space="preserve">star-formation-efficiency variations</w:t>
      </w:r>
      <w:r>
        <w:t xml:space="preserve">, rather than inflow variations, dominate: SFR rises immediately at nearly fixed gas supply, while metal production drives</w:t>
      </w:r>
      <w:r>
        <w:t xml:space="preserve"> </w:t>
      </w:r>
      <m:oMath>
        <m:sSub>
          <m:e>
            <m:r>
              <m:t>Z</m:t>
            </m:r>
          </m:e>
          <m:sub>
            <m:r>
              <m:rPr>
                <m:sty m:val="p"/>
              </m:rPr>
              <m:t>g</m:t>
            </m:r>
          </m:sub>
        </m:sSub>
      </m:oMath>
      <w:r>
        <w:t xml:space="preserve"> </w:t>
      </w:r>
      <w:r>
        <w:t xml:space="preserve">upward after a finite response time. Wang &amp; Lilly (2021) derive this sign analytically; Huang et al. (2026) express the resolved sign as competition between depletion-time and inflow-time fluctuations. (</w:t>
      </w:r>
      <w:hyperlink r:id="rId13">
        <w:r>
          <w:rPr>
            <w:rStyle w:val="Hyperlink"/>
          </w:rPr>
          <w:t xml:space="preserve">Wang &amp; Lilly 2021</w:t>
        </w:r>
      </w:hyperlink>
      <w:r>
        <w:t xml:space="preserve">)</w:t>
      </w:r>
      <w:r>
        <w:t xml:space="preserve"> </w:t>
      </w:r>
      <w:r>
        <w:t xml:space="preserve">(</w:t>
      </w:r>
      <w:hyperlink r:id="rId14">
        <w:r>
          <w:rPr>
            <w:rStyle w:val="Hyperlink"/>
          </w:rPr>
          <w:t xml:space="preserve">Huang et al. 2026</w:t>
        </w:r>
      </w:hyperlink>
      <w:r>
        <w:t xml:space="preserve">)</w:t>
      </w:r>
    </w:p>
    <w:p>
      <w:pPr>
        <w:pStyle w:val="Compact"/>
        <w:numPr>
          <w:ilvl w:val="0"/>
          <w:numId w:val="1002"/>
        </w:numPr>
      </w:pPr>
      <w:r>
        <w:t xml:space="preserve">The requested modifications of</w:t>
      </w:r>
      <w:r>
        <w:t xml:space="preserve"> </w:t>
      </w:r>
      <w:r>
        <w:rPr>
          <w:b/>
          <w:bCs/>
        </w:rPr>
        <w:t xml:space="preserve">Wang et al. (2026)</w:t>
      </w:r>
      <w:r>
        <w:t xml:space="preserve"> </w:t>
      </w:r>
      <w:r>
        <w:t xml:space="preserve">and</w:t>
      </w:r>
      <w:r>
        <w:t xml:space="preserve"> </w:t>
      </w:r>
      <w:r>
        <w:rPr>
          <w:b/>
          <w:bCs/>
        </w:rPr>
        <w:t xml:space="preserve">Forbes et al. (2014)</w:t>
      </w:r>
      <w:r>
        <w:t xml:space="preserve"> </w:t>
      </w:r>
      <w:r>
        <w:t xml:space="preserve">are therefore possible, but the physically clean modification is a two-driver regulator: add a stochastic or coherent efficiency field</w:t>
      </w:r>
      <w:r>
        <w:t xml:space="preserve"> </w:t>
      </w:r>
      <m:oMath>
        <m:r>
          <m:t>ϵ</m:t>
        </m:r>
        <m:r>
          <m:rPr>
            <m:sty m:val="p"/>
          </m:rPr>
          <m:t>(</m:t>
        </m:r>
        <m:r>
          <m:t>t</m:t>
        </m:r>
        <m:r>
          <m:rPr>
            <m:sty m:val="p"/>
          </m:rPr>
          <m:t>)</m:t>
        </m:r>
      </m:oMath>
      <w:r>
        <w:t xml:space="preserve"> </w:t>
      </w:r>
      <w:r>
        <w:t xml:space="preserve">alongside the inflow</w:t>
      </w:r>
      <w:r>
        <w:t xml:space="preserve"> </w:t>
      </w:r>
      <m:oMath>
        <m:r>
          <m:rPr>
            <m:sty m:val="p"/>
          </m:rPr>
          <m:t>Φ</m:t>
        </m:r>
        <m:r>
          <m:rPr>
            <m:sty m:val="p"/>
          </m:rPr>
          <m:t>(</m:t>
        </m:r>
        <m:r>
          <m:t>t</m:t>
        </m:r>
        <m:r>
          <m:rPr>
            <m:sty m:val="p"/>
          </m:rPr>
          <m:t>)</m:t>
        </m:r>
      </m:oMath>
      <w:r>
        <w:t xml:space="preserve">. This is an extension of those two particular models, not a newly discovered mechanism.</w:t>
      </w:r>
    </w:p>
    <w:p>
      <w:pPr>
        <w:pStyle w:val="Compact"/>
        <w:numPr>
          <w:ilvl w:val="0"/>
          <w:numId w:val="1002"/>
        </w:numPr>
      </w:pPr>
      <w:r>
        <w:t xml:space="preserve">A reproducible numerical experiment in this report demonstrates the sign change. With all other parameters fixed, an inflow-only stochastic regulator gives</w:t>
      </w:r>
      <w:r>
        <w:t xml:space="preserve"> </w:t>
      </w:r>
      <m:oMath>
        <m:r>
          <m:t>r</m:t>
        </m:r>
        <m:r>
          <m:rPr>
            <m:sty m:val="p"/>
          </m:rPr>
          <m:t>(</m:t>
        </m:r>
        <m:r>
          <m:rPr>
            <m:sty m:val="p"/>
          </m:rPr>
          <m:t>Δ</m:t>
        </m:r>
        <m:r>
          <m:rPr>
            <m:sty m:val="p"/>
          </m:rPr>
          <m:t>log</m:t>
        </m:r>
        <m:r>
          <m:rPr>
            <m:sty m:val="p"/>
          </m:rPr>
          <m:t>S</m:t>
        </m:r>
        <m:r>
          <m:rPr>
            <m:sty m:val="p"/>
          </m:rPr>
          <m:t>F</m:t>
        </m:r>
        <m:r>
          <m:rPr>
            <m:sty m:val="p"/>
          </m:rPr>
          <m:t>R</m:t>
        </m:r>
        <m:r>
          <m:rPr>
            <m:sty m:val="p"/>
          </m:rPr>
          <m:t>,</m:t>
        </m:r>
        <m:r>
          <m:rPr>
            <m:sty m:val="p"/>
          </m:rPr>
          <m:t>Δ</m:t>
        </m:r>
        <m:r>
          <m:rPr>
            <m:sty m:val="p"/>
          </m:rPr>
          <m:t>log</m:t>
        </m:r>
        <m:sSub>
          <m:e>
            <m:r>
              <m:t>Z</m:t>
            </m:r>
          </m:e>
          <m:sub>
            <m:r>
              <m:rPr>
                <m:sty m:val="p"/>
              </m:rPr>
              <m:t>g</m:t>
            </m:r>
          </m:sub>
        </m:sSub>
        <m:r>
          <m:rPr>
            <m:sty m:val="p"/>
          </m:rPr>
          <m:t>)</m:t>
        </m:r>
        <m:r>
          <m:rPr>
            <m:sty m:val="p"/>
          </m:rPr>
          <m:t>=</m:t>
        </m:r>
        <m:r>
          <m:rPr>
            <m:sty m:val="p"/>
          </m:rPr>
          <m:t>−</m:t>
        </m:r>
        <m:r>
          <m:t>0.38</m:t>
        </m:r>
      </m:oMath>
      <w:r>
        <w:t xml:space="preserve">; an efficiency-only regulator gives</w:t>
      </w:r>
      <w:r>
        <w:t xml:space="preserve"> </w:t>
      </w:r>
      <m:oMath>
        <m:r>
          <m:t>r</m:t>
        </m:r>
        <m:r>
          <m:rPr>
            <m:sty m:val="p"/>
          </m:rPr>
          <m:t>=</m:t>
        </m:r>
        <m:r>
          <m:rPr>
            <m:sty m:val="p"/>
          </m:rPr>
          <m:t>+</m:t>
        </m:r>
        <m:r>
          <m:t>0.58</m:t>
        </m:r>
      </m:oMath>
      <w:r>
        <w:t xml:space="preserve">; and a mixed case in which efficiency fluctuations dominate gives</w:t>
      </w:r>
      <w:r>
        <w:t xml:space="preserve"> </w:t>
      </w:r>
      <m:oMath>
        <m:r>
          <m:t>r</m:t>
        </m:r>
        <m:r>
          <m:rPr>
            <m:sty m:val="p"/>
          </m:rPr>
          <m:t>=</m:t>
        </m:r>
        <m:r>
          <m:rPr>
            <m:sty m:val="p"/>
          </m:rPr>
          <m:t>+</m:t>
        </m:r>
        <m:r>
          <m:t>0.25</m:t>
        </m:r>
      </m:oMath>
      <w:r>
        <w:t xml:space="preserve">. Across 12 stochastic realisations per amplitude ratio, the median correlation first becomes positive near</w:t>
      </w:r>
      <w:r>
        <w:t xml:space="preserve"> </w:t>
      </w:r>
      <m:oMath>
        <m:sSub>
          <m:e>
            <m:r>
              <m:t>σ</m:t>
            </m:r>
          </m:e>
          <m:sub>
            <m:r>
              <m:rPr>
                <m:sty m:val="p"/>
              </m:rPr>
              <m:t>ln</m:t>
            </m:r>
            <m:r>
              <m:t>ϵ</m:t>
            </m:r>
          </m:sub>
        </m:sSub>
        <m:r>
          <m:rPr>
            <m:sty m:val="p"/>
          </m:rPr>
          <m:t>/</m:t>
        </m:r>
        <m:sSub>
          <m:e>
            <m:r>
              <m:t>σ</m:t>
            </m:r>
          </m:e>
          <m:sub>
            <m:r>
              <m:rPr>
                <m:sty m:val="p"/>
              </m:rPr>
              <m:t>ln</m:t>
            </m:r>
            <m:r>
              <m:rPr>
                <m:sty m:val="p"/>
              </m:rPr>
              <m:t>Φ</m:t>
            </m:r>
          </m:sub>
        </m:sSub>
        <m:r>
          <m:rPr>
            <m:sty m:val="p"/>
          </m:rPr>
          <m:t>=</m:t>
        </m:r>
        <m:r>
          <m:t>1.125</m:t>
        </m:r>
      </m:oMath>
      <w:r>
        <w:t xml:space="preserve"> </w:t>
      </w:r>
      <w:r>
        <w:t xml:space="preserve">for the chosen response and coherence times. This threshold is illustrative, not universal.</w:t>
      </w:r>
    </w:p>
    <w:p>
      <w:pPr>
        <w:pStyle w:val="Compact"/>
        <w:numPr>
          <w:ilvl w:val="0"/>
          <w:numId w:val="1002"/>
        </w:numPr>
      </w:pPr>
      <w:r>
        <w:t xml:space="preserve">For MAUVE, the discriminating observation is not the sign by itself. A positive branch caused by efficiency fluctuations should be associated with shorter depletion time or higher SFE at fixed</w:t>
      </w:r>
      <w:r>
        <w:t xml:space="preserve"> </w:t>
      </w:r>
      <m:oMath>
        <m:sSub>
          <m:e>
            <m:r>
              <m:rPr>
                <m:sty m:val="p"/>
              </m:rPr>
              <m:t>Σ</m:t>
            </m:r>
          </m:e>
          <m:sub>
            <m:r>
              <m:rPr>
                <m:sty m:val="p"/>
              </m:rPr>
              <m:t>⋆</m:t>
            </m:r>
          </m:sub>
        </m:sSub>
      </m:oMath>
      <w:r>
        <w:t xml:space="preserve">, whereas an inflow-driven negative branch should be associated with larger gas fraction and dilution. CO/HI information, response-time proxies, consistent abundance calibrations, and explicit DIG/shock control are therefore essential.</w:t>
      </w:r>
    </w:p>
    <w:bookmarkEnd w:id="15"/>
    <w:bookmarkStart w:id="21" w:name="scope-terminology-and-search-method"/>
    <w:p>
      <w:pPr>
        <w:pStyle w:val="Heading1"/>
      </w:pPr>
      <w:r>
        <w:t xml:space="preserve">1. Scope, terminology, and search method</w:t>
      </w:r>
    </w:p>
    <w:bookmarkStart w:id="16" w:name="what-counts-as-an-analytical-model-here"/>
    <w:p>
      <w:pPr>
        <w:pStyle w:val="Heading2"/>
      </w:pPr>
      <w:r>
        <w:t xml:space="preserve">1.1 What counts as an analytical model here</w:t>
      </w:r>
    </w:p>
    <w:p>
      <w:pPr>
        <w:pStyle w:val="FirstParagraph"/>
      </w:pPr>
      <w:r>
        <w:t xml:space="preserve">Included papers do at least one of the following:</w:t>
      </w:r>
    </w:p>
    <w:p>
      <w:pPr>
        <w:pStyle w:val="Compact"/>
        <w:numPr>
          <w:ilvl w:val="0"/>
          <w:numId w:val="1003"/>
        </w:numPr>
      </w:pPr>
      <w:r>
        <w:t xml:space="preserve">derive a closed-form or low-dimensional differential-equation relation among metallicity, stellar mass, gas mass, SFR, inflow, outflow, or efficiency;</w:t>
      </w:r>
    </w:p>
    <w:p>
      <w:pPr>
        <w:pStyle w:val="Compact"/>
        <w:numPr>
          <w:ilvl w:val="0"/>
          <w:numId w:val="1003"/>
        </w:numPr>
      </w:pPr>
      <w:r>
        <w:t xml:space="preserve">derive the sign or response amplitude of metallicity–SFR residuals;</w:t>
      </w:r>
    </w:p>
    <w:p>
      <w:pPr>
        <w:pStyle w:val="Compact"/>
        <w:numPr>
          <w:ilvl w:val="0"/>
          <w:numId w:val="1003"/>
        </w:numPr>
      </w:pPr>
      <w:r>
        <w:t xml:space="preserve">construct a resolved annular or local regulator with an explicit analytical metallicity solution; or</w:t>
      </w:r>
    </w:p>
    <w:p>
      <w:pPr>
        <w:pStyle w:val="Compact"/>
        <w:numPr>
          <w:ilvl w:val="0"/>
          <w:numId w:val="1003"/>
        </w:numPr>
      </w:pPr>
      <w:r>
        <w:t xml:space="preserve">provide an empirical analytical surface that is often called an FMR or rFMR and therefore must be distinguished from a causal model.</w:t>
      </w:r>
    </w:p>
    <w:p>
      <w:pPr>
        <w:pStyle w:val="FirstParagraph"/>
      </w:pPr>
      <w:r>
        <w:t xml:space="preserve">Hydrodynamic simulations and full semi-analytic galaxy-formation codes are used only as context. They can test whether an FMR emerges, but they are not “analytical models” in the narrow sense used here. The review also separates</w:t>
      </w:r>
      <w:r>
        <w:t xml:space="preserve"> </w:t>
      </w:r>
      <w:r>
        <w:rPr>
          <w:b/>
          <w:bCs/>
        </w:rPr>
        <w:t xml:space="preserve">foundational regulator papers</w:t>
      </w:r>
      <w:r>
        <w:t xml:space="preserve"> </w:t>
      </w:r>
      <w:r>
        <w:t xml:space="preserve">from papers that explicitly model the FMR.</w:t>
      </w:r>
    </w:p>
    <w:bookmarkEnd w:id="16"/>
    <w:bookmarkStart w:id="17" w:name="search-strategy-and-limits"/>
    <w:p>
      <w:pPr>
        <w:pStyle w:val="Heading2"/>
      </w:pPr>
      <w:r>
        <w:t xml:space="preserve">1.2 Search strategy and limits</w:t>
      </w:r>
    </w:p>
    <w:p>
      <w:pPr>
        <w:pStyle w:val="FirstParagraph"/>
      </w:pPr>
      <w:r>
        <w:t xml:space="preserve">The online search was conducted on 13 August 2026. It combined exact-phrase and concept searches for “fundamental metallicity relation,” “analytical/analytic model,” “gas regulator,” “resolved FMR,” “local metallicity–SFR relation,” “gaseous FMR,” “gas fraction metallicity,” “positive SFR metallicity correlation,” and citation chaining from the principal model papers. Primary arXiv records, journal pages, and author-hosted manuscripts were preferred. The equations and model claims below were checked against the papers, not against search-result summaries.</w:t>
      </w:r>
    </w:p>
    <w:p>
      <w:pPr>
        <w:pStyle w:val="BodyText"/>
      </w:pPr>
      <w:r>
        <w:t xml:space="preserve">This is a</w:t>
      </w:r>
      <w:r>
        <w:t xml:space="preserve"> </w:t>
      </w:r>
      <w:r>
        <w:rPr>
          <w:b/>
          <w:bCs/>
        </w:rPr>
        <w:t xml:space="preserve">deep, structured scoping review</w:t>
      </w:r>
      <w:r>
        <w:t xml:space="preserve">, not a formally registered systematic review. “Any paper” cannot be proven literally exhaustive because terminology is inconsistent: some relevant papers never use FMR, rFMR, or gFMR in the title; “semi-analytic” may mean either algebra or a numerical galaxy-formation framework; and gFMR has multiple informal meanings. The evidence map therefore labels direct models, foundations, empirical surfaces, and contextual numerical work instead of inflating all of them into one category.</w:t>
      </w:r>
    </w:p>
    <w:bookmarkEnd w:id="17"/>
    <w:bookmarkStart w:id="20" w:name="definitions-that-prevent-category-errors"/>
    <w:p>
      <w:pPr>
        <w:pStyle w:val="Heading2"/>
      </w:pPr>
      <w:r>
        <w:t xml:space="preserve">1.3 Definitions that prevent category errors</w:t>
      </w:r>
    </w:p>
    <w:p>
      <w:pPr>
        <w:pStyle w:val="Compact"/>
        <w:numPr>
          <w:ilvl w:val="0"/>
          <w:numId w:val="1004"/>
        </w:numPr>
      </w:pPr>
      <w:r>
        <w:rPr>
          <w:b/>
          <w:bCs/>
        </w:rPr>
        <w:t xml:space="preserve">Global FMR:</w:t>
      </w:r>
      <w:r>
        <w:t xml:space="preserve"> </w:t>
      </w:r>
      <w:r>
        <w:t xml:space="preserve">a relation or surface in</w:t>
      </w:r>
      <w:r>
        <w:t xml:space="preserve"> </w:t>
      </w:r>
      <m:oMath>
        <m:r>
          <m:rPr>
            <m:sty m:val="p"/>
          </m:rPr>
          <m:t>(</m:t>
        </m:r>
        <m:sSub>
          <m:e>
            <m:r>
              <m:t>M</m:t>
            </m:r>
          </m:e>
          <m:sub>
            <m:r>
              <m:rPr>
                <m:sty m:val="p"/>
              </m:rPr>
              <m:t>⋆</m:t>
            </m:r>
          </m:sub>
        </m:sSub>
        <m:r>
          <m:rPr>
            <m:sty m:val="p"/>
          </m:rPr>
          <m:t>,</m:t>
        </m:r>
        <m:r>
          <m:rPr>
            <m:sty m:val="p"/>
          </m:rPr>
          <m:t>S</m:t>
        </m:r>
        <m:r>
          <m:rPr>
            <m:sty m:val="p"/>
          </m:rPr>
          <m:t>F</m:t>
        </m:r>
        <m:r>
          <m:rPr>
            <m:sty m:val="p"/>
          </m:rPr>
          <m:t>R</m:t>
        </m:r>
        <m:r>
          <m:rPr>
            <m:sty m:val="p"/>
          </m:rPr>
          <m:t>,</m:t>
        </m:r>
        <m:sSub>
          <m:e>
            <m:r>
              <m:t>Z</m:t>
            </m:r>
          </m:e>
          <m:sub>
            <m:r>
              <m:rPr>
                <m:sty m:val="p"/>
              </m:rPr>
              <m:t>g</m:t>
            </m:r>
          </m:sub>
        </m:sSub>
        <m:r>
          <m:rPr>
            <m:sty m:val="p"/>
          </m:rPr>
          <m:t>)</m:t>
        </m:r>
      </m:oMath>
      <w:r>
        <w:t xml:space="preserve">. Mannucci et al. (2010) popularised this form; Lara-López et al. (2010) proposed a related plane. These are observational parameterisations, not continuity-equation explanations. (</w:t>
      </w:r>
      <w:hyperlink r:id="rId18">
        <w:r>
          <w:rPr>
            <w:rStyle w:val="Hyperlink"/>
          </w:rPr>
          <w:t xml:space="preserve">Mannucci et al. 2010</w:t>
        </w:r>
      </w:hyperlink>
      <w:r>
        <w:t xml:space="preserve">)</w:t>
      </w:r>
      <w:r>
        <w:t xml:space="preserve"> </w:t>
      </w:r>
      <w:r>
        <w:t xml:space="preserve">(</w:t>
      </w:r>
      <w:hyperlink r:id="rId19">
        <w:r>
          <w:rPr>
            <w:rStyle w:val="Hyperlink"/>
          </w:rPr>
          <w:t xml:space="preserve">Lara-López et al. 2010</w:t>
        </w:r>
      </w:hyperlink>
      <w:r>
        <w:t xml:space="preserve">)</w:t>
      </w:r>
    </w:p>
    <w:p>
      <w:pPr>
        <w:pStyle w:val="Compact"/>
        <w:numPr>
          <w:ilvl w:val="0"/>
          <w:numId w:val="1004"/>
        </w:numPr>
      </w:pPr>
      <w:r>
        <w:rPr>
          <w:b/>
          <w:bCs/>
        </w:rPr>
        <w:t xml:space="preserve">rFMR:</w:t>
      </w:r>
      <w:r>
        <w:t xml:space="preserve"> </w:t>
      </w:r>
      <w:r>
        <w:t xml:space="preserve">a relation among local surface-density quantities, most commonly</w:t>
      </w:r>
      <w:r>
        <w:t xml:space="preserve"> </w:t>
      </w:r>
      <m:oMath>
        <m:r>
          <m:rPr>
            <m:sty m:val="p"/>
          </m:rPr>
          <m:t>(</m:t>
        </m:r>
        <m:sSub>
          <m:e>
            <m:r>
              <m:rPr>
                <m:sty m:val="p"/>
              </m:rPr>
              <m:t>Σ</m:t>
            </m:r>
          </m:e>
          <m:sub>
            <m:r>
              <m:rPr>
                <m:sty m:val="p"/>
              </m:rPr>
              <m:t>⋆</m:t>
            </m:r>
          </m:sub>
        </m:sSub>
        <m:r>
          <m:rPr>
            <m:sty m:val="p"/>
          </m:rPr>
          <m:t>,</m:t>
        </m:r>
        <m:sSub>
          <m:e>
            <m:r>
              <m:rPr>
                <m:sty m:val="p"/>
              </m:rPr>
              <m:t>Σ</m:t>
            </m:r>
          </m:e>
          <m:sub>
            <m:r>
              <m:rPr>
                <m:sty m:val="p"/>
              </m:rPr>
              <m:t>S</m:t>
            </m:r>
            <m:r>
              <m:rPr>
                <m:sty m:val="p"/>
              </m:rPr>
              <m:t>F</m:t>
            </m:r>
            <m:r>
              <m:rPr>
                <m:sty m:val="p"/>
              </m:rPr>
              <m:t>R</m:t>
            </m:r>
          </m:sub>
        </m:sSub>
        <m:r>
          <m:rPr>
            <m:sty m:val="p"/>
          </m:rPr>
          <m:t>,</m:t>
        </m:r>
        <m:sSub>
          <m:e>
            <m:r>
              <m:t>Z</m:t>
            </m:r>
          </m:e>
          <m:sub>
            <m:r>
              <m:rPr>
                <m:sty m:val="p"/>
              </m:rPr>
              <m:t>g</m:t>
            </m:r>
          </m:sub>
        </m:sSub>
        <m:r>
          <m:rPr>
            <m:sty m:val="p"/>
          </m:rPr>
          <m:t>)</m:t>
        </m:r>
      </m:oMath>
      <w:r>
        <w:t xml:space="preserve">. The word “resolved” does not by itself imply a causal local model; a fitted surface and an annular conservation law are different evidential objects.</w:t>
      </w:r>
    </w:p>
    <w:p>
      <w:pPr>
        <w:pStyle w:val="Compact"/>
        <w:numPr>
          <w:ilvl w:val="0"/>
          <w:numId w:val="1004"/>
        </w:numPr>
      </w:pPr>
      <w:r>
        <w:rPr>
          <w:b/>
          <w:bCs/>
        </w:rPr>
        <w:t xml:space="preserve">gFMR:</w:t>
      </w:r>
      <w:r>
        <w:t xml:space="preserve"> </w:t>
      </w:r>
      <w:r>
        <w:t xml:space="preserve">in Wang et al. (2026), the “gaseous FMR” is</w:t>
      </w:r>
      <w:r>
        <w:t xml:space="preserve"> </w:t>
      </w:r>
      <m:oMath>
        <m:r>
          <m:rPr>
            <m:sty m:val="p"/>
          </m:rPr>
          <m:t>(</m:t>
        </m:r>
        <m:sSub>
          <m:e>
            <m:r>
              <m:t>M</m:t>
            </m:r>
          </m:e>
          <m:sub>
            <m:r>
              <m:rPr>
                <m:sty m:val="p"/>
              </m:rPr>
              <m:t>⋆</m:t>
            </m:r>
          </m:sub>
        </m:sSub>
        <m:r>
          <m:rPr>
            <m:sty m:val="p"/>
          </m:rPr>
          <m:t>,</m:t>
        </m:r>
        <m:sSub>
          <m:e>
            <m:r>
              <m:t>M</m:t>
            </m:r>
          </m:e>
          <m:sub>
            <m:r>
              <m:rPr>
                <m:sty m:val="p"/>
              </m:rPr>
              <m:t>g</m:t>
            </m:r>
          </m:sub>
        </m:sSub>
        <m:r>
          <m:rPr>
            <m:sty m:val="p"/>
          </m:rPr>
          <m:t>,</m:t>
        </m:r>
        <m:sSub>
          <m:e>
            <m:r>
              <m:t>Z</m:t>
            </m:r>
          </m:e>
          <m:sub>
            <m:r>
              <m:rPr>
                <m:sty m:val="p"/>
              </m:rPr>
              <m:t>g</m:t>
            </m:r>
          </m:sub>
        </m:sSub>
        <m:r>
          <m:rPr>
            <m:sty m:val="p"/>
          </m:rPr>
          <m:t>)</m:t>
        </m:r>
      </m:oMath>
      <w:r>
        <w:t xml:space="preserve">. Older HI- or H</w:t>
      </w:r>
      <m:oMath>
        <m:sSub>
          <m:e>
            <m:r>
              <m:t>​</m:t>
            </m:r>
          </m:e>
          <m:sub>
            <m:r>
              <m:t>2</m:t>
            </m:r>
          </m:sub>
        </m:sSub>
      </m:oMath>
      <w:r>
        <w:t xml:space="preserve">-based observational relations are close conceptual ancestors, but they do not necessarily use that name. (</w:t>
      </w:r>
      <w:hyperlink r:id="rId12">
        <w:r>
          <w:rPr>
            <w:rStyle w:val="Hyperlink"/>
          </w:rPr>
          <w:t xml:space="preserve">Wang et al. 2026</w:t>
        </w:r>
      </w:hyperlink>
      <w:r>
        <w:t xml:space="preserve">)</w:t>
      </w:r>
    </w:p>
    <w:p>
      <w:pPr>
        <w:pStyle w:val="Compact"/>
        <w:numPr>
          <w:ilvl w:val="0"/>
          <w:numId w:val="1004"/>
        </w:numPr>
      </w:pPr>
      <w:r>
        <w:rPr>
          <w:b/>
          <w:bCs/>
        </w:rPr>
        <w:t xml:space="preserve">The sign at fixed mass:</w:t>
      </w:r>
      <w:r>
        <w:t xml:space="preserve"> </w:t>
      </w:r>
      <w:r>
        <w:t xml:space="preserve">throughout this report, “positive” means</w:t>
      </w:r>
      <w:r>
        <w:t xml:space="preserve"> </w:t>
      </w:r>
      <m:oMath>
        <m:r>
          <m:rPr>
            <m:sty m:val="p"/>
          </m:rPr>
          <m:t>∂</m:t>
        </m:r>
        <m:sSub>
          <m:e>
            <m:r>
              <m:t>Z</m:t>
            </m:r>
          </m:e>
          <m:sub>
            <m:r>
              <m:rPr>
                <m:sty m:val="p"/>
              </m:rPr>
              <m:t>g</m:t>
            </m:r>
          </m:sub>
        </m:sSub>
        <m:r>
          <m:rPr>
            <m:sty m:val="p"/>
          </m:rPr>
          <m:t>/</m:t>
        </m:r>
        <m:r>
          <m:rPr>
            <m:sty m:val="p"/>
          </m:rPr>
          <m:t>∂</m:t>
        </m:r>
        <m:r>
          <m:rPr>
            <m:sty m:val="p"/>
          </m:rPr>
          <m:t>log</m:t>
        </m:r>
        <m:r>
          <m:rPr>
            <m:sty m:val="p"/>
          </m:rPr>
          <m:t>S</m:t>
        </m:r>
        <m:r>
          <m:rPr>
            <m:sty m:val="p"/>
          </m:rPr>
          <m:t>F</m:t>
        </m:r>
        <m:r>
          <m:rPr>
            <m:sty m:val="p"/>
          </m:rPr>
          <m:t>R</m:t>
        </m:r>
        <m:r>
          <m:rPr>
            <m:sty m:val="p"/>
          </m:rPr>
          <m:t>&gt;</m:t>
        </m:r>
        <m:r>
          <m:t>0</m:t>
        </m:r>
      </m:oMath>
      <w:r>
        <w:t xml:space="preserve"> </w:t>
      </w:r>
      <w:r>
        <w:t xml:space="preserve">at fixed</w:t>
      </w:r>
      <w:r>
        <w:t xml:space="preserve"> </w:t>
      </w:r>
      <m:oMath>
        <m:sSub>
          <m:e>
            <m:r>
              <m:t>M</m:t>
            </m:r>
          </m:e>
          <m:sub>
            <m:r>
              <m:rPr>
                <m:sty m:val="p"/>
              </m:rPr>
              <m:t>⋆</m:t>
            </m:r>
          </m:sub>
        </m:sSub>
      </m:oMath>
      <w:r>
        <w:t xml:space="preserve"> </w:t>
      </w:r>
      <w:r>
        <w:t xml:space="preserve">globally or fixed</w:t>
      </w:r>
      <w:r>
        <w:t xml:space="preserve"> </w:t>
      </w:r>
      <m:oMath>
        <m:sSub>
          <m:e>
            <m:r>
              <m:rPr>
                <m:sty m:val="p"/>
              </m:rPr>
              <m:t>Σ</m:t>
            </m:r>
          </m:e>
          <m:sub>
            <m:r>
              <m:rPr>
                <m:sty m:val="p"/>
              </m:rPr>
              <m:t>⋆</m:t>
            </m:r>
          </m:sub>
        </m:sSub>
      </m:oMath>
      <w:r>
        <w:t xml:space="preserve"> </w:t>
      </w:r>
      <w:r>
        <w:t xml:space="preserve">locally. A projected mass trend, radial gradient, or correlation driven by mixing different masses is not sufficient.</w:t>
      </w:r>
    </w:p>
    <w:bookmarkEnd w:id="20"/>
    <w:bookmarkEnd w:id="21"/>
    <w:bookmarkStart w:id="22" w:name="the-shared-analytical-skeleton"/>
    <w:p>
      <w:pPr>
        <w:pStyle w:val="Heading1"/>
      </w:pPr>
      <w:r>
        <w:t xml:space="preserve">2. The shared analytical skeleton</w:t>
      </w:r>
    </w:p>
    <w:p>
      <w:pPr>
        <w:pStyle w:val="FirstParagraph"/>
      </w:pPr>
      <w:r>
        <w:t xml:space="preserve">Most of the physical literature can be written as a one-zone or one-patch gas regulator. Let</w:t>
      </w:r>
      <w:r>
        <w:t xml:space="preserve"> </w:t>
      </w:r>
      <m:oMath>
        <m:sSub>
          <m:e>
            <m:r>
              <m:t>M</m:t>
            </m:r>
          </m:e>
          <m:sub>
            <m:r>
              <m:rPr>
                <m:sty m:val="p"/>
              </m:rPr>
              <m:t>g</m:t>
            </m:r>
          </m:sub>
        </m:sSub>
      </m:oMath>
      <w:r>
        <w:t xml:space="preserve"> </w:t>
      </w:r>
      <w:r>
        <w:t xml:space="preserve">be gas mass,</w:t>
      </w:r>
      <w:r>
        <w:t xml:space="preserve"> </w:t>
      </w:r>
      <m:oMath>
        <m:r>
          <m:t>Z</m:t>
        </m:r>
      </m:oMath>
      <w:r>
        <w:t xml:space="preserve"> </w:t>
      </w:r>
      <w:r>
        <w:t xml:space="preserve">its metal mass fraction,</w:t>
      </w:r>
      <w:r>
        <w:t xml:space="preserve"> </w:t>
      </w:r>
      <m:oMath>
        <m:r>
          <m:rPr>
            <m:sty m:val="p"/>
          </m:rPr>
          <m:t>Φ</m:t>
        </m:r>
      </m:oMath>
      <w:r>
        <w:t xml:space="preserve"> </w:t>
      </w:r>
      <w:r>
        <w:t xml:space="preserve">the inflow rate,</w:t>
      </w:r>
      <w:r>
        <w:t xml:space="preserve"> </w:t>
      </w:r>
      <m:oMath>
        <m:r>
          <m:t>ϵ</m:t>
        </m:r>
        <m:r>
          <m:rPr>
            <m:sty m:val="p"/>
          </m:rPr>
          <m:t>≡</m:t>
        </m:r>
        <m:r>
          <m:rPr>
            <m:sty m:val="p"/>
          </m:rPr>
          <m:t>S</m:t>
        </m:r>
        <m:r>
          <m:rPr>
            <m:sty m:val="p"/>
          </m:rPr>
          <m:t>F</m:t>
        </m:r>
        <m:r>
          <m:rPr>
            <m:sty m:val="p"/>
          </m:rPr>
          <m:t>R</m:t>
        </m:r>
        <m:r>
          <m:rPr>
            <m:sty m:val="p"/>
          </m:rPr>
          <m:t>/</m:t>
        </m:r>
        <m:sSub>
          <m:e>
            <m:r>
              <m:t>M</m:t>
            </m:r>
          </m:e>
          <m:sub>
            <m:r>
              <m:rPr>
                <m:sty m:val="p"/>
              </m:rPr>
              <m:t>g</m:t>
            </m:r>
          </m:sub>
        </m:sSub>
      </m:oMath>
      <w:r>
        <w:t xml:space="preserve"> </w:t>
      </w:r>
      <w:r>
        <w:t xml:space="preserve">the star-formation efficiency,</w:t>
      </w:r>
      <w:r>
        <w:t xml:space="preserve"> </w:t>
      </w:r>
      <m:oMath>
        <m:r>
          <m:t>R</m:t>
        </m:r>
      </m:oMath>
      <w:r>
        <w:t xml:space="preserve"> </w:t>
      </w:r>
      <w:r>
        <w:t xml:space="preserve">the returned fraction,</w:t>
      </w:r>
      <w:r>
        <w:t xml:space="preserve"> </w:t>
      </w:r>
      <m:oMath>
        <m:r>
          <m:t>η</m:t>
        </m:r>
      </m:oMath>
      <w:r>
        <w:t xml:space="preserve"> </w:t>
      </w:r>
      <w:r>
        <w:t xml:space="preserve">the outflow mass-loading factor,</w:t>
      </w:r>
      <w:r>
        <w:t xml:space="preserve"> </w:t>
      </w:r>
      <m:oMath>
        <m:r>
          <m:t>y</m:t>
        </m:r>
      </m:oMath>
      <w:r>
        <w:t xml:space="preserve"> </w:t>
      </w:r>
      <w:r>
        <w:t xml:space="preserve">the yield in the adopted convention, and</w:t>
      </w:r>
      <w:r>
        <w:t xml:space="preserve"> </w:t>
      </w:r>
      <m:oMath>
        <m:sSub>
          <m:e>
            <m:r>
              <m:t>Z</m:t>
            </m:r>
          </m:e>
          <m:sub>
            <m:r>
              <m:rPr>
                <m:sty m:val="p"/>
              </m:rPr>
              <m:t>i</m:t>
            </m:r>
            <m:r>
              <m:rPr>
                <m:sty m:val="p"/>
              </m:rPr>
              <m:t>n</m:t>
            </m:r>
          </m:sub>
        </m:sSub>
      </m:oMath>
      <w:r>
        <w:t xml:space="preserve"> </w:t>
      </w:r>
      <w:r>
        <w:t xml:space="preserve">the inflow metallicity. For a well-mixed outflow,</w:t>
      </w:r>
    </w:p>
    <w:p>
      <w:pPr>
        <w:pStyle w:val="BodyText"/>
      </w:pPr>
      <m:oMathPara>
        <m:oMathParaPr>
          <m:jc m:val="center"/>
        </m:oMathParaPr>
        <m:oMath>
          <m:f>
            <m:fPr>
              <m:type m:val="bar"/>
            </m:fPr>
            <m:num>
              <m:r>
                <m:rPr>
                  <m:sty m:val="p"/>
                </m:rPr>
                <m:t>d</m:t>
              </m:r>
              <m:sSub>
                <m:e>
                  <m:r>
                    <m:t>M</m:t>
                  </m:r>
                </m:e>
                <m:sub>
                  <m:r>
                    <m:rPr>
                      <m:sty m:val="p"/>
                    </m:rPr>
                    <m:t>g</m:t>
                  </m:r>
                </m:sub>
              </m:sSub>
            </m:num>
            <m:den>
              <m:r>
                <m:rPr>
                  <m:sty m:val="p"/>
                </m:rPr>
                <m:t>d</m:t>
              </m:r>
              <m:r>
                <m:t>t</m:t>
              </m:r>
            </m:den>
          </m:f>
          <m:r>
            <m:rPr>
              <m:sty m:val="p"/>
            </m:rPr>
            <m:t>=</m:t>
          </m:r>
          <m:r>
            <m:rPr>
              <m:sty m:val="p"/>
            </m:rPr>
            <m:t>Φ</m:t>
          </m:r>
          <m:r>
            <m:rPr>
              <m:sty m:val="p"/>
            </m:rPr>
            <m:t>−</m:t>
          </m:r>
          <m:r>
            <m:rPr>
              <m:sty m:val="p"/>
            </m:rPr>
            <m:t>(</m:t>
          </m:r>
          <m:r>
            <m:t>1</m:t>
          </m:r>
          <m:r>
            <m:rPr>
              <m:sty m:val="p"/>
            </m:rPr>
            <m:t>−</m:t>
          </m:r>
          <m:r>
            <m:t>R</m:t>
          </m:r>
          <m:r>
            <m:rPr>
              <m:sty m:val="p"/>
            </m:rPr>
            <m:t>+</m:t>
          </m:r>
          <m:r>
            <m:t>η</m:t>
          </m:r>
          <m:r>
            <m:rPr>
              <m:sty m:val="p"/>
            </m:rPr>
            <m:t>)</m:t>
          </m:r>
          <m:r>
            <m:t>ϵ</m:t>
          </m:r>
          <m:sSub>
            <m:e>
              <m:r>
                <m:t>M</m:t>
              </m:r>
            </m:e>
            <m:sub>
              <m:r>
                <m:rPr>
                  <m:sty m:val="p"/>
                </m:rPr>
                <m:t>g</m:t>
              </m:r>
            </m:sub>
          </m:sSub>
          <m:r>
            <m:rPr>
              <m:sty m:val="p"/>
            </m:rPr>
            <m:t>,</m:t>
          </m:r>
        </m:oMath>
      </m:oMathPara>
    </w:p>
    <w:p>
      <w:pPr>
        <w:pStyle w:val="FirstParagraph"/>
      </w:pPr>
      <m:oMathPara>
        <m:oMathParaPr>
          <m:jc m:val="center"/>
        </m:oMathParaPr>
        <m:oMath>
          <m:f>
            <m:fPr>
              <m:type m:val="bar"/>
            </m:fPr>
            <m:num>
              <m:r>
                <m:rPr>
                  <m:sty m:val="p"/>
                </m:rPr>
                <m:t>d</m:t>
              </m:r>
              <m:r>
                <m:rPr>
                  <m:sty m:val="p"/>
                </m:rPr>
                <m:t>(</m:t>
              </m:r>
              <m:sSub>
                <m:e>
                  <m:r>
                    <m:t>M</m:t>
                  </m:r>
                </m:e>
                <m:sub>
                  <m:r>
                    <m:rPr>
                      <m:sty m:val="p"/>
                    </m:rPr>
                    <m:t>g</m:t>
                  </m:r>
                </m:sub>
              </m:sSub>
              <m:r>
                <m:t>Z</m:t>
              </m:r>
              <m:r>
                <m:rPr>
                  <m:sty m:val="p"/>
                </m:rPr>
                <m:t>)</m:t>
              </m:r>
            </m:num>
            <m:den>
              <m:r>
                <m:rPr>
                  <m:sty m:val="p"/>
                </m:rPr>
                <m:t>d</m:t>
              </m:r>
              <m:r>
                <m:t>t</m:t>
              </m:r>
            </m:den>
          </m:f>
          <m:r>
            <m:rPr>
              <m:sty m:val="p"/>
            </m:rPr>
            <m:t>=</m:t>
          </m:r>
          <m:r>
            <m:t>y</m:t>
          </m:r>
          <m:r>
            <m:t>ϵ</m:t>
          </m:r>
          <m:sSub>
            <m:e>
              <m:r>
                <m:t>M</m:t>
              </m:r>
            </m:e>
            <m:sub>
              <m:r>
                <m:rPr>
                  <m:sty m:val="p"/>
                </m:rPr>
                <m:t>g</m:t>
              </m:r>
            </m:sub>
          </m:sSub>
          <m:r>
            <m:rPr>
              <m:sty m:val="p"/>
            </m:rPr>
            <m:t>+</m:t>
          </m:r>
          <m:sSub>
            <m:e>
              <m:r>
                <m:t>Z</m:t>
              </m:r>
            </m:e>
            <m:sub>
              <m:r>
                <m:rPr>
                  <m:sty m:val="p"/>
                </m:rPr>
                <m:t>i</m:t>
              </m:r>
              <m:r>
                <m:rPr>
                  <m:sty m:val="p"/>
                </m:rPr>
                <m:t>n</m:t>
              </m:r>
            </m:sub>
          </m:sSub>
          <m:r>
            <m:rPr>
              <m:sty m:val="p"/>
            </m:rPr>
            <m:t>Φ</m:t>
          </m:r>
          <m:r>
            <m:rPr>
              <m:sty m:val="p"/>
            </m:rPr>
            <m:t>−</m:t>
          </m:r>
          <m:r>
            <m:t>Z</m:t>
          </m:r>
          <m:r>
            <m:rPr>
              <m:sty m:val="p"/>
            </m:rPr>
            <m:t>(</m:t>
          </m:r>
          <m:r>
            <m:t>1</m:t>
          </m:r>
          <m:r>
            <m:rPr>
              <m:sty m:val="p"/>
            </m:rPr>
            <m:t>−</m:t>
          </m:r>
          <m:r>
            <m:t>R</m:t>
          </m:r>
          <m:r>
            <m:rPr>
              <m:sty m:val="p"/>
            </m:rPr>
            <m:t>+</m:t>
          </m:r>
          <m:r>
            <m:t>η</m:t>
          </m:r>
          <m:r>
            <m:rPr>
              <m:sty m:val="p"/>
            </m:rPr>
            <m:t>)</m:t>
          </m:r>
          <m:r>
            <m:t>ϵ</m:t>
          </m:r>
          <m:sSub>
            <m:e>
              <m:r>
                <m:t>M</m:t>
              </m:r>
            </m:e>
            <m:sub>
              <m:r>
                <m:rPr>
                  <m:sty m:val="p"/>
                </m:rPr>
                <m:t>g</m:t>
              </m:r>
            </m:sub>
          </m:sSub>
          <m:r>
            <m:rPr>
              <m:sty m:val="p"/>
            </m:rPr>
            <m:t>.</m:t>
          </m:r>
        </m:oMath>
      </m:oMathPara>
    </w:p>
    <w:p>
      <w:pPr>
        <w:pStyle w:val="FirstParagraph"/>
      </w:pPr>
      <w:r>
        <w:t xml:space="preserve">Combining them removes the explicit well-mixed outflow term from the instantaneous abundance equation:</w:t>
      </w:r>
    </w:p>
    <w:p>
      <w:pPr>
        <w:pStyle w:val="BodyText"/>
      </w:pPr>
      <m:oMathPara>
        <m:oMathParaPr>
          <m:jc m:val="center"/>
        </m:oMathParaPr>
        <m:oMath>
          <m:f>
            <m:fPr>
              <m:type m:val="bar"/>
            </m:fPr>
            <m:num>
              <m:r>
                <m:rPr>
                  <m:sty m:val="p"/>
                </m:rPr>
                <m:t>d</m:t>
              </m:r>
              <m:r>
                <m:t>Z</m:t>
              </m:r>
            </m:num>
            <m:den>
              <m:r>
                <m:rPr>
                  <m:sty m:val="p"/>
                </m:rPr>
                <m:t>d</m:t>
              </m:r>
              <m:r>
                <m:t>t</m:t>
              </m:r>
            </m:den>
          </m:f>
          <m:r>
            <m:rPr>
              <m:sty m:val="p"/>
            </m:rPr>
            <m:t>=</m:t>
          </m:r>
          <m:r>
            <m:t>y</m:t>
          </m:r>
          <m:r>
            <m:t>ϵ</m:t>
          </m:r>
          <m:r>
            <m:rPr>
              <m:sty m:val="p"/>
            </m:rPr>
            <m:t>+</m:t>
          </m:r>
          <m:r>
            <m:rPr>
              <m:sty m:val="p"/>
            </m:rPr>
            <m:t>(</m:t>
          </m:r>
          <m:sSub>
            <m:e>
              <m:r>
                <m:t>Z</m:t>
              </m:r>
            </m:e>
            <m:sub>
              <m:r>
                <m:rPr>
                  <m:sty m:val="p"/>
                </m:rPr>
                <m:t>i</m:t>
              </m:r>
              <m:r>
                <m:rPr>
                  <m:sty m:val="p"/>
                </m:rPr>
                <m:t>n</m:t>
              </m:r>
            </m:sub>
          </m:sSub>
          <m:r>
            <m:rPr>
              <m:sty m:val="p"/>
            </m:rPr>
            <m:t>−</m:t>
          </m:r>
          <m:r>
            <m:t>Z</m:t>
          </m:r>
          <m:r>
            <m:rPr>
              <m:sty m:val="p"/>
            </m:rPr>
            <m:t>)</m:t>
          </m:r>
          <m:f>
            <m:fPr>
              <m:type m:val="bar"/>
            </m:fPr>
            <m:num>
              <m:r>
                <m:rPr>
                  <m:sty m:val="p"/>
                </m:rPr>
                <m:t>Φ</m:t>
              </m:r>
            </m:num>
            <m:den>
              <m:sSub>
                <m:e>
                  <m:r>
                    <m:t>M</m:t>
                  </m:r>
                </m:e>
                <m:sub>
                  <m:r>
                    <m:rPr>
                      <m:sty m:val="p"/>
                    </m:rPr>
                    <m:t>g</m:t>
                  </m:r>
                </m:sub>
              </m:sSub>
            </m:den>
          </m:f>
          <m:r>
            <m:rPr>
              <m:sty m:val="p"/>
            </m:rPr>
            <m:t>=</m:t>
          </m:r>
          <m:f>
            <m:fPr>
              <m:type m:val="bar"/>
            </m:fPr>
            <m:num>
              <m:sSup>
                <m:e>
                  <m:r>
                    <m:t>Z</m:t>
                  </m:r>
                </m:e>
                <m:sup>
                  <m:r>
                    <m:rPr>
                      <m:sty m:val="p"/>
                    </m:rPr>
                    <m:t>†</m:t>
                  </m:r>
                </m:sup>
              </m:sSup>
              <m:r>
                <m:rPr>
                  <m:sty m:val="p"/>
                </m:rPr>
                <m:t>−</m:t>
              </m:r>
              <m:r>
                <m:t>Z</m:t>
              </m:r>
            </m:num>
            <m:den>
              <m:sSub>
                <m:e>
                  <m:r>
                    <m:t>τ</m:t>
                  </m:r>
                </m:e>
                <m:sub>
                  <m:r>
                    <m:rPr>
                      <m:sty m:val="p"/>
                    </m:rPr>
                    <m:t>Φ</m:t>
                  </m:r>
                </m:sub>
              </m:sSub>
            </m:den>
          </m:f>
          <m:r>
            <m:rPr>
              <m:sty m:val="p"/>
            </m:rPr>
            <m:t>,</m:t>
          </m:r>
        </m:oMath>
      </m:oMathPara>
    </w:p>
    <w:p>
      <w:pPr>
        <w:pStyle w:val="FirstParagraph"/>
      </w:pPr>
      <w:r>
        <w:t xml:space="preserve">where</w:t>
      </w:r>
    </w:p>
    <w:p>
      <w:pPr>
        <w:pStyle w:val="BodyText"/>
      </w:pPr>
      <m:oMathPara>
        <m:oMathParaPr>
          <m:jc m:val="center"/>
        </m:oMathParaPr>
        <m:oMath>
          <m:sSub>
            <m:e>
              <m:r>
                <m:t>τ</m:t>
              </m:r>
            </m:e>
            <m:sub>
              <m:r>
                <m:rPr>
                  <m:sty m:val="p"/>
                </m:rPr>
                <m:t>Φ</m:t>
              </m:r>
            </m:sub>
          </m:sSub>
          <m:r>
            <m:rPr>
              <m:sty m:val="p"/>
            </m:rPr>
            <m:t>≡</m:t>
          </m:r>
          <m:f>
            <m:fPr>
              <m:type m:val="bar"/>
            </m:fPr>
            <m:num>
              <m:sSub>
                <m:e>
                  <m:r>
                    <m:t>M</m:t>
                  </m:r>
                </m:e>
                <m:sub>
                  <m:r>
                    <m:rPr>
                      <m:sty m:val="p"/>
                    </m:rPr>
                    <m:t>g</m:t>
                  </m:r>
                </m:sub>
              </m:sSub>
            </m:num>
            <m:den>
              <m:r>
                <m:rPr>
                  <m:sty m:val="p"/>
                </m:rPr>
                <m:t>Φ</m:t>
              </m:r>
            </m:den>
          </m:f>
          <m:r>
            <m:rPr>
              <m:sty m:val="p"/>
            </m:rPr>
            <m:t>,</m:t>
          </m:r>
          <m:r>
            <m:t>  </m:t>
          </m:r>
          <m:sSup>
            <m:e>
              <m:r>
                <m:t>Z</m:t>
              </m:r>
            </m:e>
            <m:sup>
              <m:r>
                <m:rPr>
                  <m:sty m:val="p"/>
                </m:rPr>
                <m:t>†</m:t>
              </m:r>
            </m:sup>
          </m:sSup>
          <m:r>
            <m:rPr>
              <m:sty m:val="p"/>
            </m:rPr>
            <m:t>≡</m:t>
          </m:r>
          <m:sSub>
            <m:e>
              <m:r>
                <m:t>Z</m:t>
              </m:r>
            </m:e>
            <m:sub>
              <m:r>
                <m:rPr>
                  <m:sty m:val="p"/>
                </m:rPr>
                <m:t>i</m:t>
              </m:r>
              <m:r>
                <m:rPr>
                  <m:sty m:val="p"/>
                </m:rPr>
                <m:t>n</m:t>
              </m:r>
            </m:sub>
          </m:sSub>
          <m:r>
            <m:rPr>
              <m:sty m:val="p"/>
            </m:rPr>
            <m:t>+</m:t>
          </m:r>
          <m:r>
            <m:t>y</m:t>
          </m:r>
          <m:f>
            <m:fPr>
              <m:type m:val="bar"/>
            </m:fPr>
            <m:num>
              <m:r>
                <m:t>ϵ</m:t>
              </m:r>
              <m:sSub>
                <m:e>
                  <m:r>
                    <m:t>M</m:t>
                  </m:r>
                </m:e>
                <m:sub>
                  <m:r>
                    <m:rPr>
                      <m:sty m:val="p"/>
                    </m:rPr>
                    <m:t>g</m:t>
                  </m:r>
                </m:sub>
              </m:sSub>
            </m:num>
            <m:den>
              <m:r>
                <m:rPr>
                  <m:sty m:val="p"/>
                </m:rPr>
                <m:t>Φ</m:t>
              </m:r>
            </m:den>
          </m:f>
          <m:r>
            <m:rPr>
              <m:sty m:val="p"/>
            </m:rPr>
            <m:t>=</m:t>
          </m:r>
          <m:sSub>
            <m:e>
              <m:r>
                <m:t>Z</m:t>
              </m:r>
            </m:e>
            <m:sub>
              <m:r>
                <m:rPr>
                  <m:sty m:val="p"/>
                </m:rPr>
                <m:t>i</m:t>
              </m:r>
              <m:r>
                <m:rPr>
                  <m:sty m:val="p"/>
                </m:rPr>
                <m:t>n</m:t>
              </m:r>
            </m:sub>
          </m:sSub>
          <m:r>
            <m:rPr>
              <m:sty m:val="p"/>
            </m:rPr>
            <m:t>+</m:t>
          </m:r>
          <m:r>
            <m:t>y</m:t>
          </m:r>
          <m:f>
            <m:fPr>
              <m:type m:val="bar"/>
            </m:fPr>
            <m:num>
              <m:r>
                <m:rPr>
                  <m:sty m:val="p"/>
                </m:rPr>
                <m:t>S</m:t>
              </m:r>
              <m:r>
                <m:rPr>
                  <m:sty m:val="p"/>
                </m:rPr>
                <m:t>F</m:t>
              </m:r>
              <m:r>
                <m:rPr>
                  <m:sty m:val="p"/>
                </m:rPr>
                <m:t>R</m:t>
              </m:r>
            </m:num>
            <m:den>
              <m:r>
                <m:rPr>
                  <m:sty m:val="p"/>
                </m:rPr>
                <m:t>Φ</m:t>
              </m:r>
            </m:den>
          </m:f>
          <m:r>
            <m:rPr>
              <m:sty m:val="p"/>
            </m:rPr>
            <m:t>.</m:t>
          </m:r>
        </m:oMath>
      </m:oMathPara>
    </w:p>
    <w:p>
      <w:pPr>
        <w:pStyle w:val="FirstParagraph"/>
      </w:pPr>
      <w:r>
        <w:t xml:space="preserve">This compact form exposes the driver competition. A first-order perturbation of the target metallicity gives</w:t>
      </w:r>
    </w:p>
    <w:p>
      <w:pPr>
        <w:pStyle w:val="BodyText"/>
      </w:pPr>
      <m:oMathPara>
        <m:oMathParaPr>
          <m:jc m:val="center"/>
        </m:oMathParaPr>
        <m:oMath>
          <m:r>
            <m:t>δ</m:t>
          </m:r>
          <m:sSup>
            <m:e>
              <m:r>
                <m:t>Z</m:t>
              </m:r>
            </m:e>
            <m:sup>
              <m:r>
                <m:rPr>
                  <m:sty m:val="p"/>
                </m:rPr>
                <m:t>†</m:t>
              </m:r>
            </m:sup>
          </m:sSup>
          <m:r>
            <m:rPr>
              <m:sty m:val="p"/>
            </m:rPr>
            <m:t>=</m:t>
          </m:r>
          <m:r>
            <m:rPr>
              <m:sty m:val="p"/>
            </m:rPr>
            <m:t>(</m:t>
          </m:r>
          <m:sSup>
            <m:e>
              <m:r>
                <m:t>Z</m:t>
              </m:r>
            </m:e>
            <m:sup>
              <m:r>
                <m:rPr>
                  <m:sty m:val="p"/>
                </m:rPr>
                <m:t>†</m:t>
              </m:r>
            </m:sup>
          </m:sSup>
          <m:r>
            <m:rPr>
              <m:sty m:val="p"/>
            </m:rPr>
            <m:t>−</m:t>
          </m:r>
          <m:sSub>
            <m:e>
              <m:r>
                <m:t>Z</m:t>
              </m:r>
            </m:e>
            <m:sub>
              <m:r>
                <m:rPr>
                  <m:sty m:val="p"/>
                </m:rPr>
                <m:t>i</m:t>
              </m:r>
              <m:r>
                <m:rPr>
                  <m:sty m:val="p"/>
                </m:rPr>
                <m:t>n</m:t>
              </m:r>
            </m:sub>
          </m:sSub>
          <m:r>
            <m:rPr>
              <m:sty m:val="p"/>
            </m:rPr>
            <m:t>)</m:t>
          </m:r>
          <m:d>
            <m:dPr>
              <m:begChr m:val="("/>
              <m:sepChr m:val=""/>
              <m:endChr m:val=")"/>
              <m:grow/>
            </m:dPr>
            <m:e>
              <m:r>
                <m:t>δ</m:t>
              </m:r>
              <m:r>
                <m:rPr>
                  <m:sty m:val="p"/>
                </m:rPr>
                <m:t>ln</m:t>
              </m:r>
              <m:r>
                <m:rPr>
                  <m:sty m:val="p"/>
                </m:rPr>
                <m:t>S</m:t>
              </m:r>
              <m:r>
                <m:rPr>
                  <m:sty m:val="p"/>
                </m:rPr>
                <m:t>F</m:t>
              </m:r>
              <m:r>
                <m:rPr>
                  <m:sty m:val="p"/>
                </m:rPr>
                <m:t>R</m:t>
              </m:r>
              <m:r>
                <m:rPr>
                  <m:sty m:val="p"/>
                </m:rPr>
                <m:t>−</m:t>
              </m:r>
              <m:r>
                <m:t>δ</m:t>
              </m:r>
              <m:r>
                <m:rPr>
                  <m:sty m:val="p"/>
                </m:rPr>
                <m:t>ln</m:t>
              </m:r>
              <m:r>
                <m:rPr>
                  <m:sty m:val="p"/>
                </m:rPr>
                <m:t>Φ</m:t>
              </m:r>
            </m:e>
          </m:d>
          <m:r>
            <m:rPr>
              <m:sty m:val="p"/>
            </m:rPr>
            <m:t>+</m:t>
          </m:r>
          <m:r>
            <m:t>δ</m:t>
          </m:r>
          <m:sSub>
            <m:e>
              <m:r>
                <m:t>Z</m:t>
              </m:r>
            </m:e>
            <m:sub>
              <m:r>
                <m:rPr>
                  <m:sty m:val="p"/>
                </m:rPr>
                <m:t>i</m:t>
              </m:r>
              <m:r>
                <m:rPr>
                  <m:sty m:val="p"/>
                </m:rPr>
                <m:t>n</m:t>
              </m:r>
            </m:sub>
          </m:sSub>
          <m:r>
            <m:rPr>
              <m:sty m:val="p"/>
            </m:rPr>
            <m:t>.</m:t>
          </m:r>
        </m:oMath>
      </m:oMathPara>
    </w:p>
    <w:p>
      <w:pPr>
        <w:pStyle w:val="FirstParagraph"/>
      </w:pPr>
      <w:r>
        <w:t xml:space="preserve">Consequently:</w:t>
      </w:r>
    </w:p>
    <w:p>
      <w:pPr>
        <w:pStyle w:val="Compact"/>
        <w:numPr>
          <w:ilvl w:val="0"/>
          <w:numId w:val="1005"/>
        </w:numPr>
      </w:pPr>
      <w:r>
        <w:rPr>
          <w:b/>
          <w:bCs/>
        </w:rPr>
        <w:t xml:space="preserve">inflow-driven excursion:</w:t>
      </w:r>
      <w:r>
        <w:t xml:space="preserve"> </w:t>
      </w:r>
      <m:oMath>
        <m:r>
          <m:t>δ</m:t>
        </m:r>
        <m:r>
          <m:rPr>
            <m:sty m:val="p"/>
          </m:rPr>
          <m:t>ln</m:t>
        </m:r>
        <m:r>
          <m:rPr>
            <m:sty m:val="p"/>
          </m:rPr>
          <m:t>Φ</m:t>
        </m:r>
      </m:oMath>
      <w:r>
        <w:t xml:space="preserve"> </w:t>
      </w:r>
      <w:r>
        <w:t xml:space="preserve">is large; dilution is immediate, while gas consumption and enrichment lag, producing the usual negative residual;</w:t>
      </w:r>
    </w:p>
    <w:p>
      <w:pPr>
        <w:pStyle w:val="Compact"/>
        <w:numPr>
          <w:ilvl w:val="0"/>
          <w:numId w:val="1005"/>
        </w:numPr>
      </w:pPr>
      <w:r>
        <w:rPr>
          <w:b/>
          <w:bCs/>
        </w:rPr>
        <w:t xml:space="preserve">efficiency-driven excursion:</w:t>
      </w:r>
      <w:r>
        <w:t xml:space="preserve"> </w:t>
      </w:r>
      <m:oMath>
        <m:r>
          <m:rPr>
            <m:sty m:val="p"/>
          </m:rPr>
          <m:t>Φ</m:t>
        </m:r>
      </m:oMath>
      <w:r>
        <w:t xml:space="preserve"> </w:t>
      </w:r>
      <w:r>
        <w:t xml:space="preserve">is nearly fixed while</w:t>
      </w:r>
      <w:r>
        <w:t xml:space="preserve"> </w:t>
      </w:r>
      <m:oMath>
        <m:r>
          <m:t>ϵ</m:t>
        </m:r>
      </m:oMath>
      <w:r>
        <w:t xml:space="preserve"> </w:t>
      </w:r>
      <w:r>
        <w:t xml:space="preserve">and SFR rise; the target metallicity rises, producing a positive residual after the metal-response filter;</w:t>
      </w:r>
    </w:p>
    <w:p>
      <w:pPr>
        <w:pStyle w:val="Compact"/>
        <w:numPr>
          <w:ilvl w:val="0"/>
          <w:numId w:val="1005"/>
        </w:numPr>
      </w:pPr>
      <w:r>
        <w:rPr>
          <w:b/>
          <w:bCs/>
        </w:rPr>
        <w:t xml:space="preserve">enriched/recycled inflow:</w:t>
      </w:r>
      <w:r>
        <w:t xml:space="preserve"> </w:t>
      </w:r>
      <w:r>
        <w:t xml:space="preserve">a positive</w:t>
      </w:r>
      <w:r>
        <w:t xml:space="preserve"> </w:t>
      </w:r>
      <m:oMath>
        <m:r>
          <m:t>δ</m:t>
        </m:r>
        <m:sSub>
          <m:e>
            <m:r>
              <m:t>Z</m:t>
            </m:r>
          </m:e>
          <m:sub>
            <m:r>
              <m:rPr>
                <m:sty m:val="p"/>
              </m:rPr>
              <m:t>i</m:t>
            </m:r>
            <m:r>
              <m:rPr>
                <m:sty m:val="p"/>
              </m:rPr>
              <m:t>n</m:t>
            </m:r>
          </m:sub>
        </m:sSub>
      </m:oMath>
      <w:r>
        <w:t xml:space="preserve"> </w:t>
      </w:r>
      <w:r>
        <w:t xml:space="preserve">correlated with SFR can also make the residual positive;</w:t>
      </w:r>
    </w:p>
    <w:p>
      <w:pPr>
        <w:pStyle w:val="Compact"/>
        <w:numPr>
          <w:ilvl w:val="0"/>
          <w:numId w:val="1005"/>
        </w:numPr>
      </w:pPr>
      <w:r>
        <w:rPr>
          <w:b/>
          <w:bCs/>
        </w:rPr>
        <w:t xml:space="preserve">variable mass loading:</w:t>
      </w:r>
      <w:r>
        <w:t xml:space="preserve"> </w:t>
      </w:r>
      <w:r>
        <w:t xml:space="preserve">in equilibrium,</w:t>
      </w:r>
      <w:r>
        <w:t xml:space="preserve"> </w:t>
      </w:r>
      <m:oMath>
        <m:r>
          <m:t>Z</m:t>
        </m:r>
        <m:r>
          <m:rPr>
            <m:sty m:val="p"/>
          </m:rPr>
          <m:t>∼</m:t>
        </m:r>
        <m:sSub>
          <m:e>
            <m:r>
              <m:t>Z</m:t>
            </m:r>
          </m:e>
          <m:sub>
            <m:r>
              <m:rPr>
                <m:sty m:val="p"/>
              </m:rPr>
              <m:t>i</m:t>
            </m:r>
            <m:r>
              <m:rPr>
                <m:sty m:val="p"/>
              </m:rPr>
              <m:t>n</m:t>
            </m:r>
          </m:sub>
        </m:sSub>
        <m:r>
          <m:rPr>
            <m:sty m:val="p"/>
          </m:rPr>
          <m:t>+</m:t>
        </m:r>
        <m:r>
          <m:t>y</m:t>
        </m:r>
        <m:r>
          <m:rPr>
            <m:sty m:val="p"/>
          </m:rPr>
          <m:t>/</m:t>
        </m:r>
        <m:r>
          <m:rPr>
            <m:sty m:val="p"/>
          </m:rPr>
          <m:t>(</m:t>
        </m:r>
        <m:r>
          <m:t>1</m:t>
        </m:r>
        <m:r>
          <m:rPr>
            <m:sty m:val="p"/>
          </m:rPr>
          <m:t>−</m:t>
        </m:r>
        <m:r>
          <m:t>R</m:t>
        </m:r>
        <m:r>
          <m:rPr>
            <m:sty m:val="p"/>
          </m:rPr>
          <m:t>+</m:t>
        </m:r>
        <m:r>
          <m:t>η</m:t>
        </m:r>
        <m:r>
          <m:rPr>
            <m:sty m:val="p"/>
          </m:rPr>
          <m:t>)</m:t>
        </m:r>
      </m:oMath>
      <w:r>
        <w:t xml:space="preserve">, so an anti-correlation of</w:t>
      </w:r>
      <w:r>
        <w:t xml:space="preserve"> </w:t>
      </w:r>
      <m:oMath>
        <m:r>
          <m:t>η</m:t>
        </m:r>
      </m:oMath>
      <w:r>
        <w:t xml:space="preserve"> </w:t>
      </w:r>
      <w:r>
        <w:t xml:space="preserve">with SFR can yield a positive residual, though this needs an independent physical justification.</w:t>
      </w:r>
    </w:p>
    <w:p>
      <w:pPr>
        <w:pStyle w:val="FirstParagraph"/>
      </w:pPr>
      <w:r>
        <w:t xml:space="preserve">The key lesson is that the sign diagnoses the</w:t>
      </w:r>
      <w:r>
        <w:t xml:space="preserve"> </w:t>
      </w:r>
      <w:r>
        <w:rPr>
          <w:b/>
          <w:bCs/>
        </w:rPr>
        <w:t xml:space="preserve">dominant perturbation and its timing</w:t>
      </w:r>
      <w:r>
        <w:t xml:space="preserve">, not merely the existence of “self-regulation.” Wang &amp; Lilly (2021) and Huang et al. (2026) derive this logic explicitly at global and resolved scales. (</w:t>
      </w:r>
      <w:hyperlink r:id="rId13">
        <w:r>
          <w:rPr>
            <w:rStyle w:val="Hyperlink"/>
          </w:rPr>
          <w:t xml:space="preserve">Wang &amp; Lilly 2021</w:t>
        </w:r>
      </w:hyperlink>
      <w:r>
        <w:t xml:space="preserve">)</w:t>
      </w:r>
      <w:r>
        <w:t xml:space="preserve"> </w:t>
      </w:r>
      <w:r>
        <w:t xml:space="preserve">(</w:t>
      </w:r>
      <w:hyperlink r:id="rId14">
        <w:r>
          <w:rPr>
            <w:rStyle w:val="Hyperlink"/>
          </w:rPr>
          <w:t xml:space="preserve">Huang et al. 2026</w:t>
        </w:r>
      </w:hyperlink>
      <w:r>
        <w:t xml:space="preserve">)</w:t>
      </w:r>
    </w:p>
    <w:bookmarkEnd w:id="22"/>
    <w:bookmarkStart w:id="23" w:name="evidence-map"/>
    <w:p>
      <w:pPr>
        <w:pStyle w:val="Heading1"/>
      </w:pPr>
      <w:r>
        <w:t xml:space="preserve">3. Evidence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family</w:t>
            </w:r>
          </w:p>
        </w:tc>
        <w:tc>
          <w:tcPr/>
          <w:p>
            <w:pPr>
              <w:pStyle w:val="Compact"/>
            </w:pPr>
            <w:r>
              <w:t xml:space="preserve">Representative papers</w:t>
            </w:r>
          </w:p>
        </w:tc>
        <w:tc>
          <w:tcPr/>
          <w:p>
            <w:pPr>
              <w:pStyle w:val="Compact"/>
            </w:pPr>
            <w:r>
              <w:t xml:space="preserve">Scale / variables</w:t>
            </w:r>
          </w:p>
        </w:tc>
        <w:tc>
          <w:tcPr/>
          <w:p>
            <w:pPr>
              <w:pStyle w:val="Compact"/>
            </w:pPr>
            <w:r>
              <w:t xml:space="preserve">Mathematical role</w:t>
            </w:r>
          </w:p>
        </w:tc>
        <w:tc>
          <w:tcPr/>
          <w:p>
            <w:pPr>
              <w:pStyle w:val="Compact"/>
            </w:pPr>
            <w:r>
              <w:t xml:space="preserve">Typical fixed-mass SFR–</w:t>
            </w:r>
            <m:oMath>
              <m:r>
                <m:t>Z</m:t>
              </m:r>
            </m:oMath>
            <w:r>
              <w:t xml:space="preserve"> </w:t>
            </w:r>
            <w:r>
              <w:t xml:space="preserve">sign</w:t>
            </w:r>
          </w:p>
        </w:tc>
      </w:tr>
      <w:tr>
        <w:tc>
          <w:tcPr/>
          <w:p>
            <w:pPr>
              <w:pStyle w:val="Compact"/>
            </w:pPr>
            <w:r>
              <w:t xml:space="preserve">Empirical FMR surfaces</w:t>
            </w:r>
          </w:p>
        </w:tc>
        <w:tc>
          <w:tcPr/>
          <w:p>
            <w:pPr>
              <w:pStyle w:val="Compact"/>
            </w:pPr>
            <w:r>
              <w:t xml:space="preserve">Mannucci et al. 2010; Lara-López et al. 2010; Curti et al. 2020</w:t>
            </w:r>
          </w:p>
        </w:tc>
        <w:tc>
          <w:tcPr/>
          <w:p>
            <w:pPr>
              <w:pStyle w:val="Compact"/>
            </w:pPr>
            <w:r>
              <w:t xml:space="preserve">Global</w:t>
            </w:r>
            <w:r>
              <w:t xml:space="preserve"> </w:t>
            </w:r>
            <m:oMath>
              <m:sSub>
                <m:e>
                  <m:r>
                    <m:t>M</m:t>
                  </m:r>
                </m:e>
                <m:sub>
                  <m:r>
                    <m:rPr>
                      <m:sty m:val="p"/>
                    </m:rPr>
                    <m:t>⋆</m:t>
                  </m:r>
                </m:sub>
              </m:sSub>
            </m:oMath>
            <w:r>
              <w:t xml:space="preserve">, SFR,</w:t>
            </w:r>
            <w:r>
              <w:t xml:space="preserve"> </w:t>
            </w:r>
            <m:oMath>
              <m:r>
                <m:t>Z</m:t>
              </m:r>
            </m:oMath>
          </w:p>
        </w:tc>
        <w:tc>
          <w:tcPr/>
          <w:p>
            <w:pPr>
              <w:pStyle w:val="Compact"/>
            </w:pPr>
            <w:r>
              <w:t xml:space="preserve">Polynomial, plane, or saturating fit</w:t>
            </w:r>
          </w:p>
        </w:tc>
        <w:tc>
          <w:tcPr/>
          <w:p>
            <w:pPr>
              <w:pStyle w:val="Compact"/>
            </w:pPr>
            <w:r>
              <w:t xml:space="preserve">Usually negative at low/intermediate mass; fitted rather than predicted</w:t>
            </w:r>
          </w:p>
        </w:tc>
      </w:tr>
      <w:tr>
        <w:tc>
          <w:tcPr/>
          <w:p>
            <w:pPr>
              <w:pStyle w:val="Compact"/>
            </w:pPr>
            <w:r>
              <w:t xml:space="preserve">Equilibrium/bathtub foundations</w:t>
            </w:r>
          </w:p>
        </w:tc>
        <w:tc>
          <w:tcPr/>
          <w:p>
            <w:pPr>
              <w:pStyle w:val="Compact"/>
            </w:pPr>
            <w:r>
              <w:t xml:space="preserve">Davé et al. 2012; Feldmann 2013; Lilly et al. 2013</w:t>
            </w:r>
          </w:p>
        </w:tc>
        <w:tc>
          <w:tcPr/>
          <w:p>
            <w:pPr>
              <w:pStyle w:val="Compact"/>
            </w:pPr>
            <w:r>
              <w:t xml:space="preserve">Global gas, stars, metals</w:t>
            </w:r>
          </w:p>
        </w:tc>
        <w:tc>
          <w:tcPr/>
          <w:p>
            <w:pPr>
              <w:pStyle w:val="Compact"/>
            </w:pPr>
            <w:r>
              <w:t xml:space="preserve">Continuity equations and equilibrium/slow evolution</w:t>
            </w:r>
          </w:p>
        </w:tc>
        <w:tc>
          <w:tcPr/>
          <w:p>
            <w:pPr>
              <w:pStyle w:val="Compact"/>
            </w:pPr>
            <w:r>
              <w:t xml:space="preserve">Negative if high SFR traces high gas supply; none in strict equilibrium without a residual driver</w:t>
            </w:r>
          </w:p>
        </w:tc>
      </w:tr>
      <w:tr>
        <w:tc>
          <w:tcPr/>
          <w:p>
            <w:pPr>
              <w:pStyle w:val="Compact"/>
            </w:pPr>
            <w:r>
              <w:t xml:space="preserve">Inflow/outflow analytic FMR</w:t>
            </w:r>
          </w:p>
        </w:tc>
        <w:tc>
          <w:tcPr/>
          <w:p>
            <w:pPr>
              <w:pStyle w:val="Compact"/>
            </w:pPr>
            <w:r>
              <w:t xml:space="preserve">Dayal et al. 2013; Hunt et al. 2016b</w:t>
            </w:r>
          </w:p>
        </w:tc>
        <w:tc>
          <w:tcPr/>
          <w:p>
            <w:pPr>
              <w:pStyle w:val="Compact"/>
            </w:pPr>
            <w:r>
              <w:t xml:space="preserve">Global FMR</w:t>
            </w:r>
          </w:p>
        </w:tc>
        <w:tc>
          <w:tcPr/>
          <w:p>
            <w:pPr>
              <w:pStyle w:val="Compact"/>
            </w:pPr>
            <w:r>
              <w:t xml:space="preserve">Closed chemical-evolution solution with rates tied to SFR</w:t>
            </w:r>
          </w:p>
        </w:tc>
        <w:tc>
          <w:tcPr/>
          <w:p>
            <w:pPr>
              <w:pStyle w:val="Compact"/>
            </w:pPr>
            <w:r>
              <w:t xml:space="preserve">Negative below the high-mass saturation regime</w:t>
            </w:r>
          </w:p>
        </w:tc>
      </w:tr>
      <w:tr>
        <w:tc>
          <w:tcPr/>
          <w:p>
            <w:pPr>
              <w:pStyle w:val="Compact"/>
            </w:pPr>
            <w:r>
              <w:t xml:space="preserve">Stochastic non-equilibrium regulator</w:t>
            </w:r>
          </w:p>
        </w:tc>
        <w:tc>
          <w:tcPr/>
          <w:p>
            <w:pPr>
              <w:pStyle w:val="Compact"/>
            </w:pPr>
            <w:r>
              <w:t xml:space="preserve">Forbes et al. 2014</w:t>
            </w:r>
          </w:p>
        </w:tc>
        <w:tc>
          <w:tcPr/>
          <w:p>
            <w:pPr>
              <w:pStyle w:val="Compact"/>
            </w:pPr>
            <w:r>
              <w:t xml:space="preserve">Global residuals at fixed mass</w:t>
            </w:r>
          </w:p>
        </w:tc>
        <w:tc>
          <w:tcPr/>
          <w:p>
            <w:pPr>
              <w:pStyle w:val="Compact"/>
            </w:pPr>
            <w:r>
              <w:t xml:space="preserve">Linear response to stochastic inflow</w:t>
            </w:r>
          </w:p>
        </w:tc>
        <w:tc>
          <w:tcPr/>
          <w:p>
            <w:pPr>
              <w:pStyle w:val="Compact"/>
            </w:pPr>
            <w:r>
              <w:t xml:space="preserve">Negative in the published inflow-only model</w:t>
            </w:r>
          </w:p>
        </w:tc>
      </w:tr>
      <w:tr>
        <w:tc>
          <w:tcPr/>
          <w:p>
            <w:pPr>
              <w:pStyle w:val="Compact"/>
            </w:pPr>
            <w:r>
              <w:t xml:space="preserve">Generalised regulator solutions</w:t>
            </w:r>
          </w:p>
        </w:tc>
        <w:tc>
          <w:tcPr/>
          <w:p>
            <w:pPr>
              <w:pStyle w:val="Compact"/>
            </w:pPr>
            <w:r>
              <w:t xml:space="preserve">Pipino et al. 2014; Peng &amp; Maiolino 2014</w:t>
            </w:r>
          </w:p>
        </w:tc>
        <w:tc>
          <w:tcPr/>
          <w:p>
            <w:pPr>
              <w:pStyle w:val="Compact"/>
            </w:pPr>
            <w:r>
              <w:t xml:space="preserve">Global</w:t>
            </w:r>
          </w:p>
        </w:tc>
        <w:tc>
          <w:tcPr/>
          <w:p>
            <w:pPr>
              <w:pStyle w:val="Compact"/>
            </w:pPr>
            <w:r>
              <w:t xml:space="preserve">Time-dependent or quasi-steady analytic solutions</w:t>
            </w:r>
          </w:p>
        </w:tc>
        <w:tc>
          <w:tcPr/>
          <w:p>
            <w:pPr>
              <w:pStyle w:val="Compact"/>
            </w:pPr>
            <w:r>
              <w:t xml:space="preserve">Depends on driver; commonly used to explain negative FMR</w:t>
            </w:r>
          </w:p>
        </w:tc>
      </w:tr>
      <w:tr>
        <w:tc>
          <w:tcPr/>
          <w:p>
            <w:pPr>
              <w:pStyle w:val="Compact"/>
            </w:pPr>
            <w:r>
              <w:t xml:space="preserve">Non-equilibrium calibrated evolution</w:t>
            </w:r>
          </w:p>
        </w:tc>
        <w:tc>
          <w:tcPr/>
          <w:p>
            <w:pPr>
              <w:pStyle w:val="Compact"/>
            </w:pPr>
            <w:r>
              <w:t xml:space="preserve">Lin &amp; Zu 2023</w:t>
            </w:r>
          </w:p>
        </w:tc>
        <w:tc>
          <w:tcPr/>
          <w:p>
            <w:pPr>
              <w:pStyle w:val="Compact"/>
            </w:pPr>
            <w:r>
              <w:t xml:space="preserve">Global FMR</w:t>
            </w:r>
          </w:p>
        </w:tc>
        <w:tc>
          <w:tcPr/>
          <w:p>
            <w:pPr>
              <w:pStyle w:val="Compact"/>
            </w:pPr>
            <w:r>
              <w:t xml:space="preserve">ODE model along mean SF histories with variable</w:t>
            </w:r>
            <w:r>
              <w:t xml:space="preserve"> </w:t>
            </w:r>
            <m:oMath>
              <m:r>
                <m:t>η</m:t>
              </m:r>
            </m:oMath>
          </w:p>
        </w:tc>
        <w:tc>
          <w:tcPr/>
          <w:p>
            <w:pPr>
              <w:pStyle w:val="Compact"/>
            </w:pPr>
            <w:r>
              <w:t xml:space="preserve">Reproduces observed global surface; not a simple residual impulse model</w:t>
            </w:r>
          </w:p>
        </w:tc>
      </w:tr>
      <w:tr>
        <w:tc>
          <w:tcPr/>
          <w:p>
            <w:pPr>
              <w:pStyle w:val="Compact"/>
            </w:pPr>
            <w:r>
              <w:t xml:space="preserve">Inflow-driven closed-form gFMR</w:t>
            </w:r>
          </w:p>
        </w:tc>
        <w:tc>
          <w:tcPr/>
          <w:p>
            <w:pPr>
              <w:pStyle w:val="Compact"/>
            </w:pPr>
            <w:r>
              <w:t xml:space="preserve">Wang et al. 2026</w:t>
            </w:r>
          </w:p>
        </w:tc>
        <w:tc>
          <w:tcPr/>
          <w:p>
            <w:pPr>
              <w:pStyle w:val="Compact"/>
            </w:pPr>
            <m:oMath>
              <m:sSub>
                <m:e>
                  <m:r>
                    <m:t>M</m:t>
                  </m:r>
                </m:e>
                <m:sub>
                  <m:r>
                    <m:rPr>
                      <m:sty m:val="p"/>
                    </m:rPr>
                    <m:t>⋆</m:t>
                  </m:r>
                </m:sub>
              </m:sSub>
            </m:oMath>
            <w:r>
              <w:t xml:space="preserve">,</w:t>
            </w:r>
            <w:r>
              <w:t xml:space="preserve"> </w:t>
            </w:r>
            <m:oMath>
              <m:sSub>
                <m:e>
                  <m:r>
                    <m:t>M</m:t>
                  </m:r>
                </m:e>
                <m:sub>
                  <m:r>
                    <m:rPr>
                      <m:sty m:val="p"/>
                    </m:rPr>
                    <m:t>g</m:t>
                  </m:r>
                </m:sub>
              </m:sSub>
            </m:oMath>
            <w:r>
              <w:t xml:space="preserve">,</w:t>
            </w:r>
            <w:r>
              <w:t xml:space="preserve"> </w:t>
            </w:r>
            <m:oMath>
              <m:r>
                <m:t>Z</m:t>
              </m:r>
            </m:oMath>
            <w:r>
              <w:t xml:space="preserve"> </w:t>
            </w:r>
            <w:r>
              <w:t xml:space="preserve">and mapped FMR</w:t>
            </w:r>
          </w:p>
        </w:tc>
        <w:tc>
          <w:tcPr/>
          <w:p>
            <w:pPr>
              <w:pStyle w:val="Compact"/>
            </w:pPr>
            <w:r>
              <w:t xml:space="preserve">Closed-form ideal model plus cosmological calibration</w:t>
            </w:r>
          </w:p>
        </w:tc>
        <w:tc>
          <w:tcPr/>
          <w:p>
            <w:pPr>
              <w:pStyle w:val="Compact"/>
            </w:pPr>
            <w:r>
              <w:t xml:space="preserve">gFMR has</w:t>
            </w:r>
            <w:r>
              <w:t xml:space="preserve"> </w:t>
            </w:r>
            <m:oMath>
              <m:r>
                <m:t>Z</m:t>
              </m:r>
              <m:r>
                <m:rPr>
                  <m:sty m:val="p"/>
                </m:rPr>
                <m:t>↑</m:t>
              </m:r>
            </m:oMath>
            <w:r>
              <w:t xml:space="preserve"> </w:t>
            </w:r>
            <w:r>
              <w:t xml:space="preserve">with</w:t>
            </w:r>
            <w:r>
              <w:t xml:space="preserve"> </w:t>
            </w:r>
            <m:oMath>
              <m:sSub>
                <m:e>
                  <m:r>
                    <m:t>M</m:t>
                  </m:r>
                </m:e>
                <m:sub>
                  <m:r>
                    <m:rPr>
                      <m:sty m:val="p"/>
                    </m:rPr>
                    <m:t>⋆</m:t>
                  </m:r>
                </m:sub>
              </m:sSub>
              <m:r>
                <m:rPr>
                  <m:sty m:val="p"/>
                </m:rPr>
                <m:t>/</m:t>
              </m:r>
              <m:sSub>
                <m:e>
                  <m:r>
                    <m:t>M</m:t>
                  </m:r>
                </m:e>
                <m:sub>
                  <m:r>
                    <m:rPr>
                      <m:sty m:val="p"/>
                    </m:rPr>
                    <m:t>g</m:t>
                  </m:r>
                </m:sub>
              </m:sSub>
            </m:oMath>
            <w:r>
              <w:t xml:space="preserve">; mapped FMR is negative for its calibrated efficiency law</w:t>
            </w:r>
          </w:p>
        </w:tc>
      </w:tr>
      <w:tr>
        <w:tc>
          <w:tcPr/>
          <w:p>
            <w:pPr>
              <w:pStyle w:val="Compact"/>
            </w:pPr>
            <w:r>
              <w:t xml:space="preserve">Local/annular equilibrium</w:t>
            </w:r>
          </w:p>
        </w:tc>
        <w:tc>
          <w:tcPr/>
          <w:p>
            <w:pPr>
              <w:pStyle w:val="Compact"/>
            </w:pPr>
            <w:r>
              <w:t xml:space="preserve">Carton et al. 2015</w:t>
            </w:r>
          </w:p>
        </w:tc>
        <w:tc>
          <w:tcPr/>
          <w:p>
            <w:pPr>
              <w:pStyle w:val="Compact"/>
            </w:pPr>
            <w:r>
              <w:t xml:space="preserve">Radial</w:t>
            </w:r>
            <w:r>
              <w:t xml:space="preserve"> </w:t>
            </w:r>
            <m:oMath>
              <m:sSub>
                <m:e>
                  <m:r>
                    <m:t>M</m:t>
                  </m:r>
                </m:e>
                <m:sub>
                  <m:r>
                    <m:rPr>
                      <m:sty m:val="p"/>
                    </m:rPr>
                    <m:t>g</m:t>
                  </m:r>
                </m:sub>
              </m:sSub>
              <m:r>
                <m:rPr>
                  <m:sty m:val="p"/>
                </m:rPr>
                <m:t>/</m:t>
              </m:r>
              <m:sSub>
                <m:e>
                  <m:r>
                    <m:t>M</m:t>
                  </m:r>
                </m:e>
                <m:sub>
                  <m:r>
                    <m:rPr>
                      <m:sty m:val="p"/>
                    </m:rPr>
                    <m:t>⋆</m:t>
                  </m:r>
                </m:sub>
              </m:sSub>
            </m:oMath>
            <w:r>
              <w:t xml:space="preserve">, sSFR,</w:t>
            </w:r>
            <w:r>
              <w:t xml:space="preserve"> </w:t>
            </w:r>
            <m:oMath>
              <m:r>
                <m:t>Z</m:t>
              </m:r>
            </m:oMath>
          </w:p>
        </w:tc>
        <w:tc>
          <w:tcPr/>
          <w:p>
            <w:pPr>
              <w:pStyle w:val="Compact"/>
            </w:pPr>
            <w:r>
              <w:t xml:space="preserve">Annular regulator metallicity profile</w:t>
            </w:r>
          </w:p>
        </w:tc>
        <w:tc>
          <w:tcPr/>
          <w:p>
            <w:pPr>
              <w:pStyle w:val="Compact"/>
            </w:pPr>
            <w:r>
              <w:t xml:space="preserve">Usually negative when sSFR represents gas-rich inflow</w:t>
            </w:r>
          </w:p>
        </w:tc>
      </w:tr>
      <w:tr>
        <w:tc>
          <w:tcPr/>
          <w:p>
            <w:pPr>
              <w:pStyle w:val="Compact"/>
            </w:pPr>
            <w:r>
              <w:t xml:space="preserve">Stellar-fraction metallicity relation</w:t>
            </w:r>
          </w:p>
        </w:tc>
        <w:tc>
          <w:tcPr/>
          <w:p>
            <w:pPr>
              <w:pStyle w:val="Compact"/>
            </w:pPr>
            <w:r>
              <w:t xml:space="preserve">Ascasibar et al. 2015</w:t>
            </w:r>
          </w:p>
        </w:tc>
        <w:tc>
          <w:tcPr/>
          <w:p>
            <w:pPr>
              <w:pStyle w:val="Compact"/>
            </w:pPr>
            <w:r>
              <w:t xml:space="preserve">Global and kpc patches,</w:t>
            </w:r>
            <w:r>
              <w:t xml:space="preserve"> </w:t>
            </w:r>
            <m:oMath>
              <m:sSub>
                <m:e>
                  <m:r>
                    <m:t>M</m:t>
                  </m:r>
                </m:e>
                <m:sub>
                  <m:r>
                    <m:rPr>
                      <m:sty m:val="p"/>
                    </m:rPr>
                    <m:t>⋆</m:t>
                  </m:r>
                </m:sub>
              </m:sSub>
              <m:r>
                <m:rPr>
                  <m:sty m:val="p"/>
                </m:rPr>
                <m:t>/</m:t>
              </m:r>
              <m:sSub>
                <m:e>
                  <m:r>
                    <m:t>M</m:t>
                  </m:r>
                </m:e>
                <m:sub>
                  <m:r>
                    <m:rPr>
                      <m:sty m:val="p"/>
                    </m:rPr>
                    <m:t>g</m:t>
                  </m:r>
                </m:sub>
              </m:sSub>
            </m:oMath>
          </w:p>
        </w:tc>
        <w:tc>
          <w:tcPr/>
          <w:p>
            <w:pPr>
              <w:pStyle w:val="Compact"/>
            </w:pPr>
            <w:r>
              <w:t xml:space="preserve">Closed form linking gas fraction to metallicity</w:t>
            </w:r>
          </w:p>
        </w:tc>
        <w:tc>
          <w:tcPr/>
          <w:p>
            <w:pPr>
              <w:pStyle w:val="Compact"/>
            </w:pPr>
            <w:r>
              <w:t xml:space="preserve">Indirect; maps to negative FMR if SFR tracks gas mass</w:t>
            </w:r>
          </w:p>
        </w:tc>
      </w:tr>
      <w:tr>
        <w:tc>
          <w:tcPr/>
          <w:p>
            <w:pPr>
              <w:pStyle w:val="Compact"/>
            </w:pPr>
            <w:r>
              <w:t xml:space="preserve">Local-to-global residual mapping</w:t>
            </w:r>
          </w:p>
        </w:tc>
        <w:tc>
          <w:tcPr/>
          <w:p>
            <w:pPr>
              <w:pStyle w:val="Compact"/>
            </w:pPr>
            <w:r>
              <w:t xml:space="preserve">Sánchez Almeida &amp; Sánchez-Menguiano 2019</w:t>
            </w:r>
          </w:p>
        </w:tc>
        <w:tc>
          <w:tcPr/>
          <w:p>
            <w:pPr>
              <w:pStyle w:val="Compact"/>
            </w:pPr>
            <w:r>
              <w:t xml:space="preserve">Local and integrated residuals</w:t>
            </w:r>
          </w:p>
        </w:tc>
        <w:tc>
          <w:tcPr/>
          <w:p>
            <w:pPr>
              <w:pStyle w:val="Compact"/>
            </w:pPr>
            <w:r>
              <w:t xml:space="preserve">Analytical integration of an assumed local slope</w:t>
            </w:r>
          </w:p>
        </w:tc>
        <w:tc>
          <w:tcPr/>
          <w:p>
            <w:pPr>
              <w:pStyle w:val="Compact"/>
            </w:pPr>
            <w:r>
              <w:t xml:space="preserve">Preserves the assumed local sign under stated conditions</w:t>
            </w:r>
          </w:p>
        </w:tc>
      </w:tr>
      <w:tr>
        <w:tc>
          <w:tcPr/>
          <w:p>
            <w:pPr>
              <w:pStyle w:val="Compact"/>
            </w:pPr>
            <w:r>
              <w:t xml:space="preserve">Driver-response model</w:t>
            </w:r>
          </w:p>
        </w:tc>
        <w:tc>
          <w:tcPr/>
          <w:p>
            <w:pPr>
              <w:pStyle w:val="Compact"/>
            </w:pPr>
            <w:r>
              <w:t xml:space="preserve">Wang &amp; Lilly 2021</w:t>
            </w:r>
          </w:p>
        </w:tc>
        <w:tc>
          <w:tcPr/>
          <w:p>
            <w:pPr>
              <w:pStyle w:val="Compact"/>
            </w:pPr>
            <w:r>
              <w:t xml:space="preserve">Global or local fluctuations</w:t>
            </w:r>
          </w:p>
        </w:tc>
        <w:tc>
          <w:tcPr/>
          <w:p>
            <w:pPr>
              <w:pStyle w:val="Compact"/>
            </w:pPr>
            <w:r>
              <w:t xml:space="preserve">Sinusoidal linear response and amplitudes</w:t>
            </w:r>
          </w:p>
        </w:tc>
        <w:tc>
          <w:tcPr/>
          <w:p>
            <w:pPr>
              <w:pStyle w:val="Compact"/>
            </w:pPr>
            <w:r>
              <w:t xml:space="preserve">Inflow negative; efficiency positive</w:t>
            </w:r>
          </w:p>
        </w:tc>
      </w:tr>
      <w:tr>
        <w:tc>
          <w:tcPr/>
          <w:p>
            <w:pPr>
              <w:pStyle w:val="Compact"/>
            </w:pPr>
            <w:r>
              <w:t xml:space="preserve">Empirical rFMR surface</w:t>
            </w:r>
          </w:p>
        </w:tc>
        <w:tc>
          <w:tcPr/>
          <w:p>
            <w:pPr>
              <w:pStyle w:val="Compact"/>
            </w:pPr>
            <w:r>
              <w:t xml:space="preserve">Baker et al. 2023</w:t>
            </w:r>
          </w:p>
        </w:tc>
        <w:tc>
          <w:tcPr/>
          <w:p>
            <w:pPr>
              <w:pStyle w:val="Compact"/>
            </w:pPr>
            <m:oMath>
              <m:sSub>
                <m:e>
                  <m:r>
                    <m:rPr>
                      <m:sty m:val="p"/>
                    </m:rPr>
                    <m:t>Σ</m:t>
                  </m:r>
                </m:e>
                <m:sub>
                  <m:r>
                    <m:rPr>
                      <m:sty m:val="p"/>
                    </m:rPr>
                    <m:t>⋆</m:t>
                  </m:r>
                </m:sub>
              </m:sSub>
            </m:oMath>
            <w:r>
              <w:t xml:space="preserve">,</w:t>
            </w:r>
            <w:r>
              <w:t xml:space="preserve"> </w:t>
            </w:r>
            <m:oMath>
              <m:sSub>
                <m:e>
                  <m:r>
                    <m:rPr>
                      <m:sty m:val="p"/>
                    </m:rPr>
                    <m:t>Σ</m:t>
                  </m:r>
                </m:e>
                <m:sub>
                  <m:r>
                    <m:rPr>
                      <m:sty m:val="p"/>
                    </m:rPr>
                    <m:t>S</m:t>
                  </m:r>
                  <m:r>
                    <m:rPr>
                      <m:sty m:val="p"/>
                    </m:rPr>
                    <m:t>F</m:t>
                  </m:r>
                  <m:r>
                    <m:rPr>
                      <m:sty m:val="p"/>
                    </m:rPr>
                    <m:t>R</m:t>
                  </m:r>
                </m:sub>
              </m:sSub>
            </m:oMath>
            <w:r>
              <w:t xml:space="preserve">,</w:t>
            </w:r>
            <w:r>
              <w:t xml:space="preserve"> </w:t>
            </w:r>
            <m:oMath>
              <m:r>
                <m:t>Z</m:t>
              </m:r>
            </m:oMath>
          </w:p>
        </w:tc>
        <w:tc>
          <w:tcPr/>
          <w:p>
            <w:pPr>
              <w:pStyle w:val="Compact"/>
            </w:pPr>
            <w:r>
              <w:t xml:space="preserve">Saturating fitted surface and partial correlations</w:t>
            </w:r>
          </w:p>
        </w:tc>
        <w:tc>
          <w:tcPr/>
          <w:p>
            <w:pPr>
              <w:pStyle w:val="Compact"/>
            </w:pPr>
            <w:r>
              <w:t xml:space="preserve">Negative on average in their sample</w:t>
            </w:r>
          </w:p>
        </w:tc>
      </w:tr>
      <w:tr>
        <w:tc>
          <w:tcPr/>
          <w:p>
            <w:pPr>
              <w:pStyle w:val="Compact"/>
            </w:pPr>
            <w:r>
              <w:t xml:space="preserve">Spatial transport foundation</w:t>
            </w:r>
          </w:p>
        </w:tc>
        <w:tc>
          <w:tcPr/>
          <w:p>
            <w:pPr>
              <w:pStyle w:val="Compact"/>
            </w:pPr>
            <w:r>
              <w:t xml:space="preserve">Sharda et al. 2021</w:t>
            </w:r>
          </w:p>
        </w:tc>
        <w:tc>
          <w:tcPr/>
          <w:p>
            <w:pPr>
              <w:pStyle w:val="Compact"/>
            </w:pPr>
            <w:r>
              <w:t xml:space="preserve">Radial metallicity profiles</w:t>
            </w:r>
          </w:p>
        </w:tc>
        <w:tc>
          <w:tcPr/>
          <w:p>
            <w:pPr>
              <w:pStyle w:val="Compact"/>
            </w:pPr>
            <w:r>
              <w:t xml:space="preserve">Advection–diffusion–production equation</w:t>
            </w:r>
          </w:p>
        </w:tc>
        <w:tc>
          <w:tcPr/>
          <w:p>
            <w:pPr>
              <w:pStyle w:val="Compact"/>
            </w:pPr>
            <w:r>
              <w:t xml:space="preserve">No unique local SFR-residual sign</w:t>
            </w:r>
          </w:p>
        </w:tc>
      </w:tr>
      <w:tr>
        <w:tc>
          <w:tcPr/>
          <w:p>
            <w:pPr>
              <w:pStyle w:val="Compact"/>
            </w:pPr>
            <w:r>
              <w:t xml:space="preserve">Two-timescale resolved model</w:t>
            </w:r>
          </w:p>
        </w:tc>
        <w:tc>
          <w:tcPr/>
          <w:p>
            <w:pPr>
              <w:pStyle w:val="Compact"/>
            </w:pPr>
            <w:r>
              <w:t xml:space="preserve">Huang et al. 2026</w:t>
            </w:r>
          </w:p>
        </w:tc>
        <w:tc>
          <w:tcPr/>
          <w:p>
            <w:pPr>
              <w:pStyle w:val="Compact"/>
            </w:pPr>
            <m:oMath>
              <m:sSub>
                <m:e>
                  <m:r>
                    <m:rPr>
                      <m:sty m:val="p"/>
                    </m:rPr>
                    <m:t>Σ</m:t>
                  </m:r>
                </m:e>
                <m:sub>
                  <m:r>
                    <m:rPr>
                      <m:sty m:val="p"/>
                    </m:rPr>
                    <m:t>⋆</m:t>
                  </m:r>
                </m:sub>
              </m:sSub>
            </m:oMath>
            <w:r>
              <w:t xml:space="preserve">,</w:t>
            </w:r>
            <w:r>
              <w:t xml:space="preserve"> </w:t>
            </w:r>
            <m:oMath>
              <m:sSub>
                <m:e>
                  <m:r>
                    <m:rPr>
                      <m:sty m:val="p"/>
                    </m:rPr>
                    <m:t>Σ</m:t>
                  </m:r>
                </m:e>
                <m:sub>
                  <m:r>
                    <m:rPr>
                      <m:sty m:val="p"/>
                    </m:rPr>
                    <m:t>S</m:t>
                  </m:r>
                  <m:r>
                    <m:rPr>
                      <m:sty m:val="p"/>
                    </m:rPr>
                    <m:t>F</m:t>
                  </m:r>
                  <m:r>
                    <m:rPr>
                      <m:sty m:val="p"/>
                    </m:rPr>
                    <m:t>R</m:t>
                  </m:r>
                </m:sub>
              </m:sSub>
            </m:oMath>
            <w:r>
              <w:t xml:space="preserve">,</w:t>
            </w:r>
            <w:r>
              <w:t xml:space="preserve"> </w:t>
            </w:r>
            <m:oMath>
              <m:r>
                <m:t>Z</m:t>
              </m:r>
            </m:oMath>
          </w:p>
        </w:tc>
        <w:tc>
          <w:tcPr/>
          <w:p>
            <w:pPr>
              <w:pStyle w:val="Compact"/>
            </w:pPr>
            <w:r>
              <w:t xml:space="preserve">Perturbation and temporal-filter solution</w:t>
            </w:r>
          </w:p>
        </w:tc>
        <w:tc>
          <w:tcPr/>
          <w:p>
            <w:pPr>
              <w:pStyle w:val="Compact"/>
            </w:pPr>
            <w:r>
              <w:t xml:space="preserve">Positive if efficiency variations dominate; negative if inflow dominates</w:t>
            </w:r>
          </w:p>
        </w:tc>
      </w:tr>
    </w:tbl>
    <w:p>
      <w:pPr>
        <w:pStyle w:val="BodyText"/>
      </w:pPr>
      <w:r>
        <w:t xml:space="preserve">The table intentionally does not list every simulation that reproduces an FMR. Fontanot et al. (2021), Yates et al. (2012, 2014), EAGLE, FIRE, and IllustrisTNG studies are important checks, but their galaxy-formation frameworks are numerically semi-analytic or hydrodynamic rather than the closed analytical models requested here.</w:t>
      </w:r>
    </w:p>
    <w:bookmarkEnd w:id="23"/>
    <w:bookmarkStart w:id="48" w:name="global-fmr-models-in-detail"/>
    <w:p>
      <w:pPr>
        <w:pStyle w:val="Heading1"/>
      </w:pPr>
      <w:r>
        <w:t xml:space="preserve">4. Global FMR models in detail</w:t>
      </w:r>
    </w:p>
    <w:bookmarkStart w:id="25" w:name="Xa23e2660042030cb97b06bc017f10dcf7074234"/>
    <w:p>
      <w:pPr>
        <w:pStyle w:val="Heading2"/>
      </w:pPr>
      <w:r>
        <w:t xml:space="preserve">4.1 Observational surfaces: Mannucci, Lara-López, and Curti</w:t>
      </w:r>
    </w:p>
    <w:p>
      <w:pPr>
        <w:pStyle w:val="FirstParagraph"/>
      </w:pPr>
      <w:r>
        <w:t xml:space="preserve">Mannucci et al. (2010) defined a low-scatter surface in stellar mass, SFR, and oxygen abundance and introduced</w:t>
      </w:r>
      <w:r>
        <w:t xml:space="preserve"> </w:t>
      </w:r>
      <m:oMath>
        <m:sSub>
          <m:e>
            <m:r>
              <m:t>μ</m:t>
            </m:r>
          </m:e>
          <m:sub>
            <m:r>
              <m:t>α</m:t>
            </m:r>
          </m:sub>
        </m:sSub>
        <m:r>
          <m:rPr>
            <m:sty m:val="p"/>
          </m:rPr>
          <m:t>=</m:t>
        </m:r>
        <m:r>
          <m:rPr>
            <m:sty m:val="p"/>
          </m:rPr>
          <m:t>log</m:t>
        </m:r>
        <m:sSub>
          <m:e>
            <m:r>
              <m:t>M</m:t>
            </m:r>
          </m:e>
          <m:sub>
            <m:r>
              <m:rPr>
                <m:sty m:val="p"/>
              </m:rPr>
              <m:t>⋆</m:t>
            </m:r>
          </m:sub>
        </m:sSub>
        <m:r>
          <m:rPr>
            <m:sty m:val="p"/>
          </m:rPr>
          <m:t>−</m:t>
        </m:r>
        <m:r>
          <m:t>α</m:t>
        </m:r>
        <m:r>
          <m:rPr>
            <m:sty m:val="p"/>
          </m:rPr>
          <m:t>log</m:t>
        </m:r>
        <m:r>
          <m:rPr>
            <m:sty m:val="p"/>
          </m:rPr>
          <m:t>S</m:t>
        </m:r>
        <m:r>
          <m:rPr>
            <m:sty m:val="p"/>
          </m:rPr>
          <m:t>F</m:t>
        </m:r>
        <m:r>
          <m:rPr>
            <m:sty m:val="p"/>
          </m:rPr>
          <m:t>R</m:t>
        </m:r>
      </m:oMath>
      <w:r>
        <w:t xml:space="preserve">, with</w:t>
      </w:r>
      <w:r>
        <w:t xml:space="preserve"> </w:t>
      </w:r>
      <m:oMath>
        <m:r>
          <m:t>α</m:t>
        </m:r>
        <m:r>
          <m:rPr>
            <m:sty m:val="p"/>
          </m:rPr>
          <m:t>≃</m:t>
        </m:r>
        <m:r>
          <m:t>0.32</m:t>
        </m:r>
      </m:oMath>
      <w:r>
        <w:t xml:space="preserve"> </w:t>
      </w:r>
      <w:r>
        <w:t xml:space="preserve">for their calibration and sample. Lara-López et al. (2010) fitted a plane-like relation. Curti et al. (2020) later provided direct-</w:t>
      </w:r>
      <m:oMath>
        <m:sSub>
          <m:e>
            <m:r>
              <m:t>T</m:t>
            </m:r>
          </m:e>
          <m:sub>
            <m:r>
              <m:rPr>
                <m:sty m:val="p"/>
              </m:rPr>
              <m:t>e</m:t>
            </m:r>
          </m:sub>
        </m:sSub>
      </m:oMath>
      <w:r>
        <w:t xml:space="preserve">-anchored empirical parameterisations. These formulae are analytically evaluable, but they are</w:t>
      </w:r>
      <w:r>
        <w:t xml:space="preserve"> </w:t>
      </w:r>
      <w:r>
        <w:rPr>
          <w:b/>
          <w:bCs/>
        </w:rPr>
        <w:t xml:space="preserve">descriptions of a selected and calibrated data set</w:t>
      </w:r>
      <w:r>
        <w:t xml:space="preserve">, not derivations of inflow, enrichment, or outflow physics. (</w:t>
      </w:r>
      <w:hyperlink r:id="rId18">
        <w:r>
          <w:rPr>
            <w:rStyle w:val="Hyperlink"/>
          </w:rPr>
          <w:t xml:space="preserve">Mannucci et al. 2010</w:t>
        </w:r>
      </w:hyperlink>
      <w:r>
        <w:t xml:space="preserve">)</w:t>
      </w:r>
      <w:r>
        <w:t xml:space="preserve"> </w:t>
      </w:r>
      <w:r>
        <w:t xml:space="preserve">(</w:t>
      </w:r>
      <w:hyperlink r:id="rId19">
        <w:r>
          <w:rPr>
            <w:rStyle w:val="Hyperlink"/>
          </w:rPr>
          <w:t xml:space="preserve">Lara-López et al. 2010</w:t>
        </w:r>
      </w:hyperlink>
      <w:r>
        <w:t xml:space="preserve">)</w:t>
      </w:r>
      <w:r>
        <w:t xml:space="preserve"> </w:t>
      </w:r>
      <w:r>
        <w:t xml:space="preserve">(</w:t>
      </w:r>
      <w:hyperlink r:id="rId24">
        <w:r>
          <w:rPr>
            <w:rStyle w:val="Hyperlink"/>
          </w:rPr>
          <w:t xml:space="preserve">Curti et al. 2020</w:t>
        </w:r>
      </w:hyperlink>
      <w:r>
        <w:t xml:space="preserve">)</w:t>
      </w:r>
    </w:p>
    <w:p>
      <w:pPr>
        <w:pStyle w:val="BodyText"/>
      </w:pPr>
      <w:r>
        <w:t xml:space="preserve">Their continuing value is as a target that physical models must reproduce. Their limitation is equally important: the fitted coefficient of SFR changes with abundance indicator, aperture, S/N selection, mass range, and the assumed functional shape. A polynomial surface cannot decide whether the third-parameter dependence is dilution, SFE, mass loading, enriched recycling, or a measurement covariance.</w:t>
      </w:r>
    </w:p>
    <w:bookmarkEnd w:id="25"/>
    <w:bookmarkStart w:id="28" w:name="X90fa6f12ee0fb136879cf2cc60e0367faa27fd3"/>
    <w:p>
      <w:pPr>
        <w:pStyle w:val="Heading2"/>
      </w:pPr>
      <w:r>
        <w:t xml:space="preserve">4.2 Davé et al. (2012), Feldmann (2013), and the equilibrium foundation</w:t>
      </w:r>
    </w:p>
    <w:p>
      <w:pPr>
        <w:pStyle w:val="FirstParagraph"/>
      </w:pPr>
      <w:r>
        <w:t xml:space="preserve">The “equilibrium” or “bathtub” view balances gas supply with star formation and outflow. Davé et al. (2012) showed how ejective feedback, preventive feedback, and wind recycling set galaxy gas fractions, SFRs, and metallicities. Feldmann (2013) derived equilibrium scaling relations for gas and stellar fractions, sSFR, and metallicity. These papers supply the physical grammar later FMR models use. (</w:t>
      </w:r>
      <w:hyperlink r:id="rId26">
        <w:r>
          <w:rPr>
            <w:rStyle w:val="Hyperlink"/>
          </w:rPr>
          <w:t xml:space="preserve">Davé et al. 2012</w:t>
        </w:r>
      </w:hyperlink>
      <w:r>
        <w:t xml:space="preserve">)</w:t>
      </w:r>
      <w:r>
        <w:t xml:space="preserve"> </w:t>
      </w:r>
      <w:r>
        <w:t xml:space="preserve">(</w:t>
      </w:r>
      <w:hyperlink r:id="rId27">
        <w:r>
          <w:rPr>
            <w:rStyle w:val="Hyperlink"/>
          </w:rPr>
          <w:t xml:space="preserve">Feldmann 2013</w:t>
        </w:r>
      </w:hyperlink>
      <w:r>
        <w:t xml:space="preserve">)</w:t>
      </w:r>
    </w:p>
    <w:p>
      <w:pPr>
        <w:pStyle w:val="BodyText"/>
      </w:pPr>
      <w:r>
        <w:t xml:space="preserve">A strict steady state is nevertheless insufficient to explain a residual covariance by itself: if all parameters are fixed, every object sits on one equilibrium point. An FMR appears only after allowing mass-dependent parameters, non-zero gas growth, different evolutionary stages, or fluctuations around equilibrium. This distinction is sometimes obscured when “gas regulation explains the FMR” is stated without naming the variable that produces the scatter.</w:t>
      </w:r>
    </w:p>
    <w:bookmarkEnd w:id="28"/>
    <w:bookmarkStart w:id="30" w:name="Xe63f73352c7d0c113b17c9a8d2bdb92ab51afcc"/>
    <w:p>
      <w:pPr>
        <w:pStyle w:val="Heading2"/>
      </w:pPr>
      <w:r>
        <w:t xml:space="preserve">4.3 Dayal, Ferrara &amp; Dunlop (2013): a direct closed FMR</w:t>
      </w:r>
    </w:p>
    <w:p>
      <w:pPr>
        <w:pStyle w:val="FirstParagraph"/>
      </w:pPr>
      <w:r>
        <w:t xml:space="preserve">Dayal et al. construct one of the cleanest direct analytical FMR models. They assume</w:t>
      </w:r>
    </w:p>
    <w:p>
      <w:pPr>
        <w:pStyle w:val="BodyText"/>
      </w:pPr>
      <m:oMathPara>
        <m:oMathParaPr>
          <m:jc m:val="center"/>
        </m:oMathParaPr>
        <m:oMath>
          <m:sSub>
            <m:e>
              <m:acc>
                <m:accPr>
                  <m:chr m:val="̇"/>
                </m:accPr>
                <m:e>
                  <m:r>
                    <m:t>M</m:t>
                  </m:r>
                </m:e>
              </m:acc>
            </m:e>
            <m:sub>
              <m:r>
                <m:rPr>
                  <m:sty m:val="p"/>
                </m:rPr>
                <m:t>⋆</m:t>
              </m:r>
            </m:sub>
          </m:sSub>
          <m:r>
            <m:rPr>
              <m:sty m:val="p"/>
            </m:rPr>
            <m:t>=</m:t>
          </m:r>
          <m:r>
            <m:t>ψ</m:t>
          </m:r>
          <m:r>
            <m:rPr>
              <m:sty m:val="p"/>
            </m:rPr>
            <m:t>=</m:t>
          </m:r>
          <m:sSub>
            <m:e>
              <m:r>
                <m:t>ϵ</m:t>
              </m:r>
            </m:e>
            <m:sub>
              <m:r>
                <m:rPr>
                  <m:sty m:val="p"/>
                </m:rPr>
                <m:t>⋆</m:t>
              </m:r>
            </m:sub>
          </m:sSub>
          <m:sSub>
            <m:e>
              <m:r>
                <m:t>M</m:t>
              </m:r>
            </m:e>
            <m:sub>
              <m:r>
                <m:rPr>
                  <m:sty m:val="p"/>
                </m:rPr>
                <m:t>g</m:t>
              </m:r>
            </m:sub>
          </m:sSub>
          <m:r>
            <m:rPr>
              <m:sty m:val="p"/>
            </m:rPr>
            <m:t>,</m:t>
          </m:r>
          <m:r>
            <m:t>  </m:t>
          </m:r>
          <m:sSub>
            <m:e>
              <m:acc>
                <m:accPr>
                  <m:chr m:val="̇"/>
                </m:accPr>
                <m:e>
                  <m:r>
                    <m:t>M</m:t>
                  </m:r>
                </m:e>
              </m:acc>
            </m:e>
            <m:sub>
              <m:r>
                <m:rPr>
                  <m:sty m:val="p"/>
                </m:rPr>
                <m:t>g</m:t>
              </m:r>
            </m:sub>
          </m:sSub>
          <m:r>
            <m:rPr>
              <m:sty m:val="p"/>
            </m:rPr>
            <m:t>=</m:t>
          </m:r>
          <m:r>
            <m:rPr>
              <m:sty m:val="p"/>
            </m:rPr>
            <m:t>−</m:t>
          </m:r>
          <m:r>
            <m:rPr>
              <m:sty m:val="p"/>
            </m:rPr>
            <m:t>(</m:t>
          </m:r>
          <m:r>
            <m:t>1</m:t>
          </m:r>
          <m:r>
            <m:rPr>
              <m:sty m:val="p"/>
            </m:rPr>
            <m:t>−</m:t>
          </m:r>
          <m:r>
            <m:t>R</m:t>
          </m:r>
          <m:r>
            <m:rPr>
              <m:sty m:val="p"/>
            </m:rPr>
            <m:t>)</m:t>
          </m:r>
          <m:r>
            <m:t>ψ</m:t>
          </m:r>
          <m:r>
            <m:rPr>
              <m:sty m:val="p"/>
            </m:rPr>
            <m:t>+</m:t>
          </m:r>
          <m:r>
            <m:rPr>
              <m:sty m:val="p"/>
            </m:rPr>
            <m:t>(</m:t>
          </m:r>
          <m:r>
            <m:t>a</m:t>
          </m:r>
          <m:r>
            <m:rPr>
              <m:sty m:val="p"/>
            </m:rPr>
            <m:t>−</m:t>
          </m:r>
          <m:r>
            <m:t>w</m:t>
          </m:r>
          <m:r>
            <m:rPr>
              <m:sty m:val="p"/>
            </m:rPr>
            <m:t>)</m:t>
          </m:r>
          <m:r>
            <m:t>ψ</m:t>
          </m:r>
          <m:r>
            <m:rPr>
              <m:sty m:val="p"/>
            </m:rPr>
            <m:t>,</m:t>
          </m:r>
        </m:oMath>
      </m:oMathPara>
    </w:p>
    <w:p>
      <w:pPr>
        <w:pStyle w:val="FirstParagraph"/>
      </w:pPr>
      <m:oMathPara>
        <m:oMathParaPr>
          <m:jc m:val="center"/>
        </m:oMathParaPr>
        <m:oMath>
          <m:sSub>
            <m:e>
              <m:r>
                <m:t>M</m:t>
              </m:r>
            </m:e>
            <m:sub>
              <m:r>
                <m:rPr>
                  <m:sty m:val="p"/>
                </m:rPr>
                <m:t>g</m:t>
              </m:r>
            </m:sub>
          </m:sSub>
          <m:acc>
            <m:accPr>
              <m:chr m:val="̇"/>
            </m:accPr>
            <m:e>
              <m:r>
                <m:t>X</m:t>
              </m:r>
            </m:e>
          </m:acc>
          <m:r>
            <m:rPr>
              <m:sty m:val="p"/>
            </m:rPr>
            <m:t>=</m:t>
          </m:r>
          <m:r>
            <m:t>y</m:t>
          </m:r>
          <m:r>
            <m:rPr>
              <m:sty m:val="p"/>
            </m:rPr>
            <m:t>(</m:t>
          </m:r>
          <m:r>
            <m:t>1</m:t>
          </m:r>
          <m:r>
            <m:rPr>
              <m:sty m:val="p"/>
            </m:rPr>
            <m:t>−</m:t>
          </m:r>
          <m:r>
            <m:t>R</m:t>
          </m:r>
          <m:r>
            <m:rPr>
              <m:sty m:val="p"/>
            </m:rPr>
            <m:t>)</m:t>
          </m:r>
          <m:r>
            <m:t>ψ</m:t>
          </m:r>
          <m:r>
            <m:rPr>
              <m:sty m:val="p"/>
            </m:rPr>
            <m:t>−</m:t>
          </m:r>
          <m:r>
            <m:t>a</m:t>
          </m:r>
          <m:r>
            <m:t>X</m:t>
          </m:r>
          <m:r>
            <m:t>ψ</m:t>
          </m:r>
          <m:r>
            <m:rPr>
              <m:sty m:val="p"/>
            </m:rPr>
            <m:t>,</m:t>
          </m:r>
        </m:oMath>
      </m:oMathPara>
    </w:p>
    <w:p>
      <w:pPr>
        <w:pStyle w:val="FirstParagraph"/>
      </w:pPr>
      <w:r>
        <w:t xml:space="preserve">where</w:t>
      </w:r>
      <w:r>
        <w:t xml:space="preserve"> </w:t>
      </w:r>
      <m:oMath>
        <m:r>
          <m:t>a</m:t>
        </m:r>
        <m:r>
          <m:t>ψ</m:t>
        </m:r>
      </m:oMath>
      <w:r>
        <w:t xml:space="preserve"> </w:t>
      </w:r>
      <w:r>
        <w:t xml:space="preserve">and</w:t>
      </w:r>
      <w:r>
        <w:t xml:space="preserve"> </w:t>
      </w:r>
      <m:oMath>
        <m:r>
          <m:t>w</m:t>
        </m:r>
        <m:r>
          <m:t>ψ</m:t>
        </m:r>
      </m:oMath>
      <w:r>
        <w:t xml:space="preserve"> </w:t>
      </w:r>
      <w:r>
        <w:t xml:space="preserve">are pristine inflow and enriched outflow and</w:t>
      </w:r>
      <w:r>
        <w:t xml:space="preserve"> </w:t>
      </w:r>
      <m:oMath>
        <m:r>
          <m:t>X</m:t>
        </m:r>
      </m:oMath>
      <w:r>
        <w:t xml:space="preserve"> </w:t>
      </w:r>
      <w:r>
        <w:t xml:space="preserve">is the oxygen mass fraction. The solution may be expressed as</w:t>
      </w:r>
    </w:p>
    <w:p>
      <w:pPr>
        <w:pStyle w:val="BodyText"/>
      </w:pPr>
      <m:oMathPara>
        <m:oMathParaPr>
          <m:jc m:val="center"/>
        </m:oMathParaPr>
        <m:oMath>
          <m:r>
            <m:t>X</m:t>
          </m:r>
          <m:r>
            <m:rPr>
              <m:sty m:val="p"/>
            </m:rPr>
            <m:t>(</m:t>
          </m:r>
          <m:r>
            <m:t>ψ</m:t>
          </m:r>
          <m:r>
            <m:rPr>
              <m:sty m:val="p"/>
            </m:rPr>
            <m:t>)</m:t>
          </m:r>
          <m:r>
            <m:rPr>
              <m:sty m:val="p"/>
            </m:rPr>
            <m:t>=</m:t>
          </m:r>
          <m:f>
            <m:fPr>
              <m:type m:val="bar"/>
            </m:fPr>
            <m:num>
              <m:r>
                <m:t>y</m:t>
              </m:r>
              <m:r>
                <m:rPr>
                  <m:sty m:val="p"/>
                </m:rPr>
                <m:t>(</m:t>
              </m:r>
              <m:r>
                <m:t>1</m:t>
              </m:r>
              <m:r>
                <m:rPr>
                  <m:sty m:val="p"/>
                </m:rPr>
                <m:t>−</m:t>
              </m:r>
              <m:r>
                <m:t>R</m:t>
              </m:r>
              <m:r>
                <m:rPr>
                  <m:sty m:val="p"/>
                </m:rPr>
                <m:t>)</m:t>
              </m:r>
            </m:num>
            <m:den>
              <m:r>
                <m:t>a</m:t>
              </m:r>
            </m:den>
          </m:f>
          <m:d>
            <m:dPr>
              <m:begChr m:val="["/>
              <m:sepChr m:val=""/>
              <m:endChr m:val="]"/>
              <m:grow/>
            </m:dPr>
            <m:e>
              <m:r>
                <m:t>1</m:t>
              </m:r>
              <m:r>
                <m:rPr>
                  <m:sty m:val="p"/>
                </m:rPr>
                <m:t>−</m:t>
              </m:r>
              <m:sSup>
                <m:e>
                  <m:r>
                    <m:t>μ</m:t>
                  </m:r>
                </m:e>
                <m:sup>
                  <m:r>
                    <m:rPr>
                      <m:sty m:val="p"/>
                    </m:rPr>
                    <m:t>−</m:t>
                  </m:r>
                  <m:r>
                    <m:t>α</m:t>
                  </m:r>
                </m:sup>
              </m:sSup>
            </m:e>
          </m:d>
          <m:r>
            <m:rPr>
              <m:sty m:val="p"/>
            </m:rPr>
            <m:t>,</m:t>
          </m:r>
          <m:r>
            <m:t>  </m:t>
          </m:r>
          <m:r>
            <m:t>μ</m:t>
          </m:r>
          <m:r>
            <m:rPr>
              <m:sty m:val="p"/>
            </m:rPr>
            <m:t>=</m:t>
          </m:r>
          <m:f>
            <m:fPr>
              <m:type m:val="bar"/>
            </m:fPr>
            <m:num>
              <m:sSub>
                <m:e>
                  <m:r>
                    <m:t>M</m:t>
                  </m:r>
                </m:e>
                <m:sub>
                  <m:r>
                    <m:rPr>
                      <m:sty m:val="p"/>
                    </m:rPr>
                    <m:t>g</m:t>
                  </m:r>
                </m:sub>
              </m:sSub>
            </m:num>
            <m:den>
              <m:sSub>
                <m:e>
                  <m:r>
                    <m:t>M</m:t>
                  </m:r>
                </m:e>
                <m:sub>
                  <m:r>
                    <m:rPr>
                      <m:sty m:val="p"/>
                    </m:rPr>
                    <m:t>g</m:t>
                  </m:r>
                  <m:r>
                    <m:rPr>
                      <m:sty m:val="p"/>
                    </m:rPr>
                    <m:t>,</m:t>
                  </m:r>
                  <m:r>
                    <m:t>0</m:t>
                  </m:r>
                </m:sub>
              </m:sSub>
            </m:den>
          </m:f>
          <m:r>
            <m:rPr>
              <m:sty m:val="p"/>
            </m:rPr>
            <m:t>=</m:t>
          </m:r>
          <m:f>
            <m:fPr>
              <m:type m:val="bar"/>
            </m:fPr>
            <m:num>
              <m:r>
                <m:t>ψ</m:t>
              </m:r>
            </m:num>
            <m:den>
              <m:sSub>
                <m:e>
                  <m:r>
                    <m:t>ϵ</m:t>
                  </m:r>
                </m:e>
                <m:sub>
                  <m:r>
                    <m:rPr>
                      <m:sty m:val="p"/>
                    </m:rPr>
                    <m:t>⋆</m:t>
                  </m:r>
                </m:sub>
              </m:sSub>
              <m:sSub>
                <m:e>
                  <m:r>
                    <m:t>M</m:t>
                  </m:r>
                </m:e>
                <m:sub>
                  <m:r>
                    <m:rPr>
                      <m:sty m:val="p"/>
                    </m:rPr>
                    <m:t>g</m:t>
                  </m:r>
                  <m:r>
                    <m:rPr>
                      <m:sty m:val="p"/>
                    </m:rPr>
                    <m:t>,</m:t>
                  </m:r>
                  <m:r>
                    <m:t>0</m:t>
                  </m:r>
                </m:sub>
              </m:sSub>
            </m:den>
          </m:f>
          <m:r>
            <m:rPr>
              <m:sty m:val="p"/>
            </m:rPr>
            <m:t>,</m:t>
          </m:r>
        </m:oMath>
      </m:oMathPara>
    </w:p>
    <w:p>
      <w:pPr>
        <w:pStyle w:val="FirstParagraph"/>
      </w:pPr>
      <w:r>
        <w:t xml:space="preserve">with</w:t>
      </w:r>
      <w:r>
        <w:t xml:space="preserve"> </w:t>
      </w:r>
      <m:oMath>
        <m:r>
          <m:t>α</m:t>
        </m:r>
        <m:r>
          <m:rPr>
            <m:sty m:val="p"/>
          </m:rPr>
          <m:t>=</m:t>
        </m:r>
        <m:r>
          <m:t>a</m:t>
        </m:r>
        <m:r>
          <m:rPr>
            <m:sty m:val="p"/>
          </m:rPr>
          <m:t>/</m:t>
        </m:r>
        <m:r>
          <m:rPr>
            <m:sty m:val="p"/>
          </m:rPr>
          <m:t>(</m:t>
        </m:r>
        <m:r>
          <m:t>R</m:t>
        </m:r>
        <m:r>
          <m:rPr>
            <m:sty m:val="p"/>
          </m:rPr>
          <m:t>−</m:t>
        </m:r>
        <m:r>
          <m:t>1</m:t>
        </m:r>
        <m:r>
          <m:rPr>
            <m:sty m:val="p"/>
          </m:rPr>
          <m:t>+</m:t>
        </m:r>
        <m:r>
          <m:t>a</m:t>
        </m:r>
        <m:r>
          <m:rPr>
            <m:sty m:val="p"/>
          </m:rPr>
          <m:t>−</m:t>
        </m:r>
        <m:r>
          <m:t>w</m:t>
        </m:r>
        <m:r>
          <m:rPr>
            <m:sty m:val="p"/>
          </m:rPr>
          <m:t>)</m:t>
        </m:r>
      </m:oMath>
      <w:r>
        <w:t xml:space="preserve">. Their mass-dependent fitted inflow and outflow efficiencies reproduce the local Mannucci surface and, without an additional fit, the gas-fraction–metallicity relation. Low-mass galaxies show decreasing metallicity with increasing SFR; massive galaxies saturate because enrichment and dilution approach balance while outflows weaken. (</w:t>
      </w:r>
      <w:hyperlink r:id="rId29">
        <w:r>
          <w:rPr>
            <w:rStyle w:val="Hyperlink"/>
          </w:rPr>
          <w:t xml:space="preserve">Dayal et al. 2013</w:t>
        </w:r>
      </w:hyperlink>
      <w:r>
        <w:t xml:space="preserve">)</w:t>
      </w:r>
    </w:p>
    <w:p>
      <w:pPr>
        <w:pStyle w:val="BodyText"/>
      </w:pPr>
      <w:r>
        <w:rPr>
          <w:b/>
          <w:bCs/>
        </w:rPr>
        <w:t xml:space="preserve">Strengths.</w:t>
      </w:r>
      <w:r>
        <w:t xml:space="preserve"> </w:t>
      </w:r>
      <w:r>
        <w:t xml:space="preserve">It is explicit, compact, and directly connects the FMR to inflow, outflow, and yield. It also predicts a second observable relation.</w:t>
      </w:r>
    </w:p>
    <w:p>
      <w:pPr>
        <w:pStyle w:val="BodyText"/>
      </w:pPr>
      <w:r>
        <w:rPr>
          <w:b/>
          <w:bCs/>
        </w:rPr>
        <w:t xml:space="preserve">Limitations.</w:t>
      </w:r>
      <w:r>
        <w:t xml:space="preserve"> </w:t>
      </w:r>
      <w:r>
        <w:t xml:space="preserve">Inflow and outflow are imposed proportional to SFR;</w:t>
      </w:r>
      <w:r>
        <w:t xml:space="preserve"> </w:t>
      </w:r>
      <m:oMath>
        <m:r>
          <m:t>a</m:t>
        </m:r>
        <m:r>
          <m:rPr>
            <m:sty m:val="p"/>
          </m:rPr>
          <m:t>(</m:t>
        </m:r>
        <m:sSub>
          <m:e>
            <m:r>
              <m:t>M</m:t>
            </m:r>
          </m:e>
          <m:sub>
            <m:r>
              <m:rPr>
                <m:sty m:val="p"/>
              </m:rPr>
              <m:t>⋆</m:t>
            </m:r>
          </m:sub>
        </m:sSub>
        <m:r>
          <m:rPr>
            <m:sty m:val="p"/>
          </m:rPr>
          <m:t>)</m:t>
        </m:r>
      </m:oMath>
      <w:r>
        <w:t xml:space="preserve"> </w:t>
      </w:r>
      <w:r>
        <w:t xml:space="preserve">and</w:t>
      </w:r>
      <w:r>
        <w:t xml:space="preserve"> </w:t>
      </w:r>
      <m:oMath>
        <m:r>
          <m:t>w</m:t>
        </m:r>
        <m:r>
          <m:rPr>
            <m:sty m:val="p"/>
          </m:rPr>
          <m:t>(</m:t>
        </m:r>
        <m:sSub>
          <m:e>
            <m:r>
              <m:t>M</m:t>
            </m:r>
          </m:e>
          <m:sub>
            <m:r>
              <m:rPr>
                <m:sty m:val="p"/>
              </m:rPr>
              <m:t>⋆</m:t>
            </m:r>
          </m:sub>
        </m:sSub>
        <m:r>
          <m:rPr>
            <m:sty m:val="p"/>
          </m:rPr>
          <m:t>)</m:t>
        </m:r>
      </m:oMath>
      <w:r>
        <w:t xml:space="preserve"> </w:t>
      </w:r>
      <w:r>
        <w:t xml:space="preserve">are calibrated to the FMR; instantaneous recycling/mixing and a constant efficiency are assumed; and time-correlated residuals are not modelled. It is therefore more a family of deterministic evolutionary tracks than a dynamical explanation of short-timescale scatter.</w:t>
      </w:r>
    </w:p>
    <w:bookmarkEnd w:id="30"/>
    <w:bookmarkStart w:id="32" w:name="lilly-et-al.-2013-the-gas-regulator"/>
    <w:p>
      <w:pPr>
        <w:pStyle w:val="Heading2"/>
      </w:pPr>
      <w:r>
        <w:t xml:space="preserve">4.4 Lilly et al. (2013): the gas regulator</w:t>
      </w:r>
    </w:p>
    <w:p>
      <w:pPr>
        <w:pStyle w:val="FirstParagraph"/>
      </w:pPr>
      <w:r>
        <w:t xml:space="preserve">Lilly et al. derive metallicity, gas content, and star formation in a regulator whose reservoir is fed by inflow and drained by star formation and outflow. Their key advance for FMR work is allowing the gas reservoir to grow rather than demanding exact gas-mass equilibrium, while adopting a slowly varying or equilibrium-like abundance solution. Metallicity becomes a function of efficiency, mass loading, gas-to-stellar ratio, and sSFR. If efficiency and loading do not explicitly evolve, changes in the main sequence and gas content can generate an approximately redshift-invariant</w:t>
      </w:r>
      <w:r>
        <w:t xml:space="preserve"> </w:t>
      </w:r>
      <m:oMath>
        <m:r>
          <m:t>Z</m:t>
        </m:r>
        <m:r>
          <m:rPr>
            <m:sty m:val="p"/>
          </m:rPr>
          <m:t>(</m:t>
        </m:r>
        <m:sSub>
          <m:e>
            <m:r>
              <m:t>M</m:t>
            </m:r>
          </m:e>
          <m:sub>
            <m:r>
              <m:rPr>
                <m:sty m:val="p"/>
              </m:rPr>
              <m:t>⋆</m:t>
            </m:r>
          </m:sub>
        </m:sSub>
        <m:r>
          <m:rPr>
            <m:sty m:val="p"/>
          </m:rPr>
          <m:t>,</m:t>
        </m:r>
        <m:r>
          <m:rPr>
            <m:sty m:val="p"/>
          </m:rPr>
          <m:t>S</m:t>
        </m:r>
        <m:r>
          <m:rPr>
            <m:sty m:val="p"/>
          </m:rPr>
          <m:t>F</m:t>
        </m:r>
        <m:r>
          <m:rPr>
            <m:sty m:val="p"/>
          </m:rPr>
          <m:t>R</m:t>
        </m:r>
        <m:r>
          <m:rPr>
            <m:sty m:val="p"/>
          </m:rPr>
          <m:t>)</m:t>
        </m:r>
      </m:oMath>
      <w:r>
        <w:t xml:space="preserve"> </w:t>
      </w:r>
      <w:r>
        <w:t xml:space="preserve">surface. (</w:t>
      </w:r>
      <w:hyperlink r:id="rId11">
        <w:r>
          <w:rPr>
            <w:rStyle w:val="Hyperlink"/>
          </w:rPr>
          <w:t xml:space="preserve">Lilly et al. 2013</w:t>
        </w:r>
      </w:hyperlink>
      <w:r>
        <w:t xml:space="preserve">)</w:t>
      </w:r>
    </w:p>
    <w:p>
      <w:pPr>
        <w:pStyle w:val="BodyText"/>
      </w:pPr>
      <w:r>
        <w:t xml:space="preserve">The model is conceptually powerful because it links the FMR to independently measurable gas-regulator quantities. Its danger is approximation mixing: setting</w:t>
      </w:r>
      <w:r>
        <w:t xml:space="preserve"> </w:t>
      </w:r>
      <m:oMath>
        <m:acc>
          <m:accPr>
            <m:chr m:val="̇"/>
          </m:accPr>
          <m:e>
            <m:r>
              <m:t>Z</m:t>
            </m:r>
          </m:e>
        </m:acc>
        <m:r>
          <m:rPr>
            <m:sty m:val="p"/>
          </m:rPr>
          <m:t>≃</m:t>
        </m:r>
        <m:r>
          <m:t>0</m:t>
        </m:r>
      </m:oMath>
      <w:r>
        <w:t xml:space="preserve"> </w:t>
      </w:r>
      <w:r>
        <w:t xml:space="preserve">while allowing</w:t>
      </w:r>
      <w:r>
        <w:t xml:space="preserve"> </w:t>
      </w:r>
      <m:oMath>
        <m:sSub>
          <m:e>
            <m:acc>
              <m:accPr>
                <m:chr m:val="̇"/>
              </m:accPr>
              <m:e>
                <m:r>
                  <m:t>M</m:t>
                </m:r>
              </m:e>
            </m:acc>
          </m:e>
          <m:sub>
            <m:r>
              <m:rPr>
                <m:sty m:val="p"/>
              </m:rPr>
              <m:t>g</m:t>
            </m:r>
          </m:sub>
        </m:sSub>
        <m:r>
          <m:rPr>
            <m:sty m:val="p"/>
          </m:rPr>
          <m:t>≠</m:t>
        </m:r>
        <m:r>
          <m:t>0</m:t>
        </m:r>
      </m:oMath>
      <w:r>
        <w:t xml:space="preserve"> </w:t>
      </w:r>
      <w:r>
        <w:t xml:space="preserve">is not the same as solving the fully time-dependent metal equation. Forbes et al. explicitly criticise that mixed equilibrium, and Pipino et al. quantify where the approximation is accurate. (</w:t>
      </w:r>
      <w:hyperlink r:id="rId10">
        <w:r>
          <w:rPr>
            <w:rStyle w:val="Hyperlink"/>
          </w:rPr>
          <w:t xml:space="preserve">Forbes et al. 2014</w:t>
        </w:r>
      </w:hyperlink>
      <w:r>
        <w:t xml:space="preserve">)</w:t>
      </w:r>
      <w:r>
        <w:t xml:space="preserve"> </w:t>
      </w:r>
      <w:r>
        <w:t xml:space="preserve">(</w:t>
      </w:r>
      <w:hyperlink r:id="rId31">
        <w:r>
          <w:rPr>
            <w:rStyle w:val="Hyperlink"/>
          </w:rPr>
          <w:t xml:space="preserve">Pipino et al. 2014</w:t>
        </w:r>
      </w:hyperlink>
      <w:r>
        <w:t xml:space="preserve">)</w:t>
      </w:r>
    </w:p>
    <w:bookmarkEnd w:id="32"/>
    <w:bookmarkStart w:id="34" w:name="Xe17010f84b06f81220dd2ffec5cc6318d3680f3"/>
    <w:p>
      <w:pPr>
        <w:pStyle w:val="Heading2"/>
      </w:pPr>
      <w:r>
        <w:t xml:space="preserve">4.5 Forbes et al. (2014): stochastic inflow and covariance</w:t>
      </w:r>
    </w:p>
    <w:p>
      <w:pPr>
        <w:pStyle w:val="FirstParagraph"/>
      </w:pPr>
      <w:r>
        <w:t xml:space="preserve">Forbes et al. focus on</w:t>
      </w:r>
      <w:r>
        <w:t xml:space="preserve"> </w:t>
      </w:r>
      <w:r>
        <w:rPr>
          <w:b/>
          <w:bCs/>
        </w:rPr>
        <w:t xml:space="preserve">scatter at fixed mass</w:t>
      </w:r>
      <w:r>
        <w:t xml:space="preserve">, making the paper especially relevant here. Their gas equation is</w:t>
      </w:r>
    </w:p>
    <w:p>
      <w:pPr>
        <w:pStyle w:val="BodyText"/>
      </w:pPr>
      <m:oMathPara>
        <m:oMathParaPr>
          <m:jc m:val="center"/>
        </m:oMathParaPr>
        <m:oMath>
          <m:sSub>
            <m:e>
              <m:acc>
                <m:accPr>
                  <m:chr m:val="̇"/>
                </m:accPr>
                <m:e>
                  <m:r>
                    <m:t>M</m:t>
                  </m:r>
                </m:e>
              </m:acc>
            </m:e>
            <m:sub>
              <m:r>
                <m:rPr>
                  <m:sty m:val="p"/>
                </m:rPr>
                <m:t>g</m:t>
              </m:r>
            </m:sub>
          </m:sSub>
          <m:r>
            <m:rPr>
              <m:sty m:val="p"/>
            </m:rPr>
            <m:t>=</m:t>
          </m:r>
          <m:sSub>
            <m:e>
              <m:acc>
                <m:accPr>
                  <m:chr m:val="̇"/>
                </m:accPr>
                <m:e>
                  <m:r>
                    <m:t>M</m:t>
                  </m:r>
                </m:e>
              </m:acc>
            </m:e>
            <m:sub>
              <m:r>
                <m:rPr>
                  <m:sty m:val="p"/>
                </m:rPr>
                <m:t>e</m:t>
              </m:r>
              <m:r>
                <m:rPr>
                  <m:sty m:val="p"/>
                </m:rPr>
                <m:t>x</m:t>
              </m:r>
              <m:r>
                <m:rPr>
                  <m:sty m:val="p"/>
                </m:rPr>
                <m:t>t</m:t>
              </m:r>
            </m:sub>
          </m:sSub>
          <m:r>
            <m:rPr>
              <m:sty m:val="p"/>
            </m:rPr>
            <m:t>(</m:t>
          </m:r>
          <m:r>
            <m:t>t</m:t>
          </m:r>
          <m:r>
            <m:rPr>
              <m:sty m:val="p"/>
            </m:rPr>
            <m:t>)</m:t>
          </m:r>
          <m:r>
            <m:rPr>
              <m:sty m:val="p"/>
            </m:rPr>
            <m:t>−</m:t>
          </m:r>
          <m:f>
            <m:fPr>
              <m:type m:val="bar"/>
            </m:fPr>
            <m:num>
              <m:sSub>
                <m:e>
                  <m:r>
                    <m:t>M</m:t>
                  </m:r>
                </m:e>
                <m:sub>
                  <m:r>
                    <m:rPr>
                      <m:sty m:val="p"/>
                    </m:rPr>
                    <m:t>g</m:t>
                  </m:r>
                </m:sub>
              </m:sSub>
            </m:num>
            <m:den>
              <m:sSub>
                <m:e>
                  <m:r>
                    <m:t>t</m:t>
                  </m:r>
                </m:e>
                <m:sub>
                  <m:r>
                    <m:rPr>
                      <m:sty m:val="p"/>
                    </m:rPr>
                    <m:t>l</m:t>
                  </m:r>
                  <m:r>
                    <m:rPr>
                      <m:sty m:val="p"/>
                    </m:rPr>
                    <m:t>o</m:t>
                  </m:r>
                  <m:r>
                    <m:rPr>
                      <m:sty m:val="p"/>
                    </m:rPr>
                    <m:t>s</m:t>
                  </m:r>
                  <m:r>
                    <m:rPr>
                      <m:sty m:val="p"/>
                    </m:rPr>
                    <m:t>s</m:t>
                  </m:r>
                </m:sub>
              </m:sSub>
            </m:den>
          </m:f>
          <m:r>
            <m:rPr>
              <m:sty m:val="p"/>
            </m:rPr>
            <m:t>,</m:t>
          </m:r>
          <m:r>
            <m:t>  </m:t>
          </m:r>
          <m:sSub>
            <m:e>
              <m:acc>
                <m:accPr>
                  <m:chr m:val="̇"/>
                </m:accPr>
                <m:e>
                  <m:r>
                    <m:t>M</m:t>
                  </m:r>
                </m:e>
              </m:acc>
            </m:e>
            <m:sub>
              <m:r>
                <m:rPr>
                  <m:sty m:val="p"/>
                </m:rPr>
                <m:t>e</m:t>
              </m:r>
              <m:r>
                <m:rPr>
                  <m:sty m:val="p"/>
                </m:rPr>
                <m:t>x</m:t>
              </m:r>
              <m:r>
                <m:rPr>
                  <m:sty m:val="p"/>
                </m:rPr>
                <m:t>t</m:t>
              </m:r>
            </m:sub>
          </m:sSub>
          <m:r>
            <m:rPr>
              <m:sty m:val="p"/>
            </m:rPr>
            <m:t>=</m:t>
          </m:r>
          <m:r>
            <m:rPr>
              <m:sty m:val="p"/>
            </m:rPr>
            <m:t>exp</m:t>
          </m:r>
          <m:r>
            <m:rPr>
              <m:sty m:val="p"/>
            </m:rPr>
            <m:t>[</m:t>
          </m:r>
          <m:r>
            <m:t>μ</m:t>
          </m:r>
          <m:r>
            <m:rPr>
              <m:sty m:val="p"/>
            </m:rPr>
            <m:t>+</m:t>
          </m:r>
          <m:r>
            <m:t>σ</m:t>
          </m:r>
          <m:r>
            <m:t>x</m:t>
          </m:r>
          <m:r>
            <m:rPr>
              <m:sty m:val="p"/>
            </m:rPr>
            <m:t>(</m:t>
          </m:r>
          <m:r>
            <m:t>t</m:t>
          </m:r>
          <m:r>
            <m:rPr>
              <m:sty m:val="p"/>
            </m:rPr>
            <m:t>)</m:t>
          </m:r>
          <m:r>
            <m:rPr>
              <m:sty m:val="p"/>
            </m:rPr>
            <m:t>]</m:t>
          </m:r>
          <m:r>
            <m:rPr>
              <m:sty m:val="p"/>
            </m:rPr>
            <m:t>,</m:t>
          </m:r>
        </m:oMath>
      </m:oMathPara>
    </w:p>
    <w:p>
      <w:pPr>
        <w:pStyle w:val="FirstParagraph"/>
      </w:pPr>
      <w:r>
        <w:t xml:space="preserve">where a new Gaussian inflow deviate is drawn on a coherence time</w:t>
      </w:r>
      <w:r>
        <w:t xml:space="preserve"> </w:t>
      </w:r>
      <m:oMath>
        <m:sSub>
          <m:e>
            <m:r>
              <m:t>t</m:t>
            </m:r>
          </m:e>
          <m:sub>
            <m:r>
              <m:rPr>
                <m:sty m:val="p"/>
              </m:rPr>
              <m:t>c</m:t>
            </m:r>
            <m:r>
              <m:rPr>
                <m:sty m:val="p"/>
              </m:rPr>
              <m:t>o</m:t>
            </m:r>
            <m:r>
              <m:rPr>
                <m:sty m:val="p"/>
              </m:rPr>
              <m:t>h</m:t>
            </m:r>
            <m:r>
              <m:rPr>
                <m:sty m:val="p"/>
              </m:rPr>
              <m:t>e</m:t>
            </m:r>
            <m:r>
              <m:rPr>
                <m:sty m:val="p"/>
              </m:rPr>
              <m:t>r</m:t>
            </m:r>
            <m:r>
              <m:rPr>
                <m:sty m:val="p"/>
              </m:rPr>
              <m:t>e</m:t>
            </m:r>
            <m:r>
              <m:rPr>
                <m:sty m:val="p"/>
              </m:rPr>
              <m:t>n</m:t>
            </m:r>
            <m:r>
              <m:rPr>
                <m:sty m:val="p"/>
              </m:rPr>
              <m:t>c</m:t>
            </m:r>
            <m:r>
              <m:rPr>
                <m:sty m:val="p"/>
              </m:rPr>
              <m:t>e</m:t>
            </m:r>
          </m:sub>
        </m:sSub>
      </m:oMath>
      <w:r>
        <w:t xml:space="preserve">. Gas loss combines long-lived star formation and outflow,</w:t>
      </w:r>
    </w:p>
    <w:p>
      <w:pPr>
        <w:pStyle w:val="BodyText"/>
      </w:pPr>
      <m:oMathPara>
        <m:oMathParaPr>
          <m:jc m:val="center"/>
        </m:oMathParaPr>
        <m:oMath>
          <m:f>
            <m:fPr>
              <m:type m:val="bar"/>
            </m:fPr>
            <m:num>
              <m:sSub>
                <m:e>
                  <m:r>
                    <m:t>M</m:t>
                  </m:r>
                </m:e>
                <m:sub>
                  <m:r>
                    <m:rPr>
                      <m:sty m:val="p"/>
                    </m:rPr>
                    <m:t>g</m:t>
                  </m:r>
                </m:sub>
              </m:sSub>
            </m:num>
            <m:den>
              <m:sSub>
                <m:e>
                  <m:r>
                    <m:t>t</m:t>
                  </m:r>
                </m:e>
                <m:sub>
                  <m:r>
                    <m:rPr>
                      <m:sty m:val="p"/>
                    </m:rPr>
                    <m:t>l</m:t>
                  </m:r>
                  <m:r>
                    <m:rPr>
                      <m:sty m:val="p"/>
                    </m:rPr>
                    <m:t>o</m:t>
                  </m:r>
                  <m:r>
                    <m:rPr>
                      <m:sty m:val="p"/>
                    </m:rPr>
                    <m:t>s</m:t>
                  </m:r>
                  <m:r>
                    <m:rPr>
                      <m:sty m:val="p"/>
                    </m:rPr>
                    <m:t>s</m:t>
                  </m:r>
                </m:sub>
              </m:sSub>
            </m:den>
          </m:f>
          <m:r>
            <m:rPr>
              <m:sty m:val="p"/>
            </m:rPr>
            <m:t>=</m:t>
          </m:r>
          <m:r>
            <m:rPr>
              <m:sty m:val="p"/>
            </m:rPr>
            <m:t>(</m:t>
          </m:r>
          <m:sSub>
            <m:e>
              <m:r>
                <m:t>f</m:t>
              </m:r>
            </m:e>
            <m:sub>
              <m:r>
                <m:t>R</m:t>
              </m:r>
            </m:sub>
          </m:sSub>
          <m:r>
            <m:rPr>
              <m:sty m:val="p"/>
            </m:rPr>
            <m:t>+</m:t>
          </m:r>
          <m:r>
            <m:t>η</m:t>
          </m:r>
          <m:r>
            <m:rPr>
              <m:sty m:val="p"/>
            </m:rPr>
            <m:t>)</m:t>
          </m:r>
          <m:r>
            <m:rPr>
              <m:sty m:val="p"/>
            </m:rPr>
            <m:t>S</m:t>
          </m:r>
          <m:r>
            <m:rPr>
              <m:sty m:val="p"/>
            </m:rPr>
            <m:t>F</m:t>
          </m:r>
          <m:r>
            <m:rPr>
              <m:sty m:val="p"/>
            </m:rPr>
            <m:t>R</m:t>
          </m:r>
          <m:r>
            <m:rPr>
              <m:sty m:val="p"/>
            </m:rPr>
            <m:t>.</m:t>
          </m:r>
        </m:oMath>
      </m:oMathPara>
    </w:p>
    <w:p>
      <w:pPr>
        <w:pStyle w:val="FirstParagraph"/>
      </w:pPr>
      <w:r>
        <w:t xml:space="preserve">With</w:t>
      </w:r>
      <w:r>
        <w:t xml:space="preserve"> </w:t>
      </w:r>
      <m:oMath>
        <m:r>
          <m:rPr>
            <m:sty m:val="p"/>
          </m:rPr>
          <m:t>Ψ</m:t>
        </m:r>
        <m:r>
          <m:rPr>
            <m:sty m:val="p"/>
          </m:rPr>
          <m:t>=</m:t>
        </m:r>
        <m:r>
          <m:rPr>
            <m:sty m:val="p"/>
          </m:rPr>
          <m:t>(</m:t>
        </m:r>
        <m:sSub>
          <m:e>
            <m:r>
              <m:t>M</m:t>
            </m:r>
          </m:e>
          <m:sub>
            <m:r>
              <m:rPr>
                <m:sty m:val="p"/>
              </m:rPr>
              <m:t>g</m:t>
            </m:r>
          </m:sub>
        </m:sSub>
        <m:r>
          <m:rPr>
            <m:sty m:val="p"/>
          </m:rPr>
          <m:t>/</m:t>
        </m:r>
        <m:sSub>
          <m:e>
            <m:r>
              <m:t>t</m:t>
            </m:r>
          </m:e>
          <m:sub>
            <m:r>
              <m:rPr>
                <m:sty m:val="p"/>
              </m:rPr>
              <m:t>l</m:t>
            </m:r>
            <m:r>
              <m:rPr>
                <m:sty m:val="p"/>
              </m:rPr>
              <m:t>o</m:t>
            </m:r>
            <m:r>
              <m:rPr>
                <m:sty m:val="p"/>
              </m:rPr>
              <m:t>s</m:t>
            </m:r>
            <m:r>
              <m:rPr>
                <m:sty m:val="p"/>
              </m:rPr>
              <m:t>s</m:t>
            </m:r>
          </m:sub>
        </m:sSub>
        <m:r>
          <m:rPr>
            <m:sty m:val="p"/>
          </m:rPr>
          <m:t>)</m:t>
        </m:r>
        <m:sSup>
          <m:e>
            <m:r>
              <m:t>e</m:t>
            </m:r>
          </m:e>
          <m:sup>
            <m:r>
              <m:rPr>
                <m:sty m:val="p"/>
              </m:rPr>
              <m:t>−</m:t>
            </m:r>
            <m:r>
              <m:t>μ</m:t>
            </m:r>
          </m:sup>
        </m:sSup>
      </m:oMath>
      <w:r>
        <w:t xml:space="preserve"> </w:t>
      </w:r>
      <w:r>
        <w:t xml:space="preserve">and</w:t>
      </w:r>
      <w:r>
        <w:t xml:space="preserve"> </w:t>
      </w:r>
      <m:oMath>
        <m:r>
          <m:t>τ</m:t>
        </m:r>
        <m:r>
          <m:rPr>
            <m:sty m:val="p"/>
          </m:rPr>
          <m:t>=</m:t>
        </m:r>
        <m:r>
          <m:t>t</m:t>
        </m:r>
        <m:r>
          <m:rPr>
            <m:sty m:val="p"/>
          </m:rPr>
          <m:t>/</m:t>
        </m:r>
        <m:sSub>
          <m:e>
            <m:r>
              <m:t>t</m:t>
            </m:r>
          </m:e>
          <m:sub>
            <m:r>
              <m:rPr>
                <m:sty m:val="p"/>
              </m:rPr>
              <m:t>l</m:t>
            </m:r>
            <m:r>
              <m:rPr>
                <m:sty m:val="p"/>
              </m:rPr>
              <m:t>o</m:t>
            </m:r>
            <m:r>
              <m:rPr>
                <m:sty m:val="p"/>
              </m:rPr>
              <m:t>s</m:t>
            </m:r>
            <m:r>
              <m:rPr>
                <m:sty m:val="p"/>
              </m:rPr>
              <m:t>s</m:t>
            </m:r>
          </m:sub>
        </m:sSub>
      </m:oMath>
      <w:r>
        <w:t xml:space="preserve">, the gas response is</w:t>
      </w:r>
    </w:p>
    <w:p>
      <w:pPr>
        <w:pStyle w:val="BodyText"/>
      </w:pPr>
      <m:oMathPara>
        <m:oMathParaPr>
          <m:jc m:val="center"/>
        </m:oMathParaPr>
        <m:oMath>
          <m:f>
            <m:fPr>
              <m:type m:val="bar"/>
            </m:fPr>
            <m:num>
              <m:r>
                <m:rPr>
                  <m:sty m:val="p"/>
                </m:rPr>
                <m:t>d</m:t>
              </m:r>
              <m:r>
                <m:rPr>
                  <m:sty m:val="p"/>
                </m:rPr>
                <m:t>Ψ</m:t>
              </m:r>
            </m:num>
            <m:den>
              <m:r>
                <m:rPr>
                  <m:sty m:val="p"/>
                </m:rPr>
                <m:t>d</m:t>
              </m:r>
              <m:r>
                <m:t>τ</m:t>
              </m:r>
            </m:den>
          </m:f>
          <m:r>
            <m:rPr>
              <m:sty m:val="p"/>
            </m:rPr>
            <m:t>=</m:t>
          </m:r>
          <m:r>
            <m:rPr>
              <m:sty m:val="p"/>
            </m:rPr>
            <m:t>−</m:t>
          </m:r>
          <m:r>
            <m:rPr>
              <m:sty m:val="p"/>
            </m:rPr>
            <m:t>Ψ</m:t>
          </m:r>
          <m:r>
            <m:rPr>
              <m:sty m:val="p"/>
            </m:rPr>
            <m:t>+</m:t>
          </m:r>
          <m:sSup>
            <m:e>
              <m:r>
                <m:t>e</m:t>
              </m:r>
            </m:e>
            <m:sup>
              <m:r>
                <m:t>σ</m:t>
              </m:r>
              <m:r>
                <m:t>x</m:t>
              </m:r>
            </m:sup>
          </m:sSup>
          <m:r>
            <m:rPr>
              <m:sty m:val="p"/>
            </m:rPr>
            <m:t>.</m:t>
          </m:r>
        </m:oMath>
      </m:oMathPara>
    </w:p>
    <w:p>
      <w:pPr>
        <w:pStyle w:val="FirstParagraph"/>
      </w:pPr>
      <w:r>
        <w:t xml:space="preserve">They add a metal-continuity equation with inflow metallicity and an effective yield</w:t>
      </w:r>
      <w:r>
        <w:t xml:space="preserve"> </w:t>
      </w:r>
      <m:oMath>
        <m:r>
          <m:t>q</m:t>
        </m:r>
      </m:oMath>
      <w:r>
        <w:t xml:space="preserve">. After an upward inflow step, metallicity drops immediately through dilution while gas mass and SFR rise more slowly; after a downward step, continued stellar processing raises metallicity while SFR falls. The anti-correlation is strongest when</w:t>
      </w:r>
      <w:r>
        <w:t xml:space="preserve"> </w:t>
      </w:r>
      <m:oMath>
        <m:sSub>
          <m:e>
            <m:r>
              <m:t>t</m:t>
            </m:r>
          </m:e>
          <m:sub>
            <m:r>
              <m:rPr>
                <m:sty m:val="p"/>
              </m:rPr>
              <m:t>c</m:t>
            </m:r>
            <m:r>
              <m:rPr>
                <m:sty m:val="p"/>
              </m:rPr>
              <m:t>o</m:t>
            </m:r>
            <m:r>
              <m:rPr>
                <m:sty m:val="p"/>
              </m:rPr>
              <m:t>h</m:t>
            </m:r>
            <m:r>
              <m:rPr>
                <m:sty m:val="p"/>
              </m:rPr>
              <m:t>e</m:t>
            </m:r>
            <m:r>
              <m:rPr>
                <m:sty m:val="p"/>
              </m:rPr>
              <m:t>r</m:t>
            </m:r>
            <m:r>
              <m:rPr>
                <m:sty m:val="p"/>
              </m:rPr>
              <m:t>e</m:t>
            </m:r>
            <m:r>
              <m:rPr>
                <m:sty m:val="p"/>
              </m:rPr>
              <m:t>n</m:t>
            </m:r>
            <m:r>
              <m:rPr>
                <m:sty m:val="p"/>
              </m:rPr>
              <m:t>c</m:t>
            </m:r>
            <m:r>
              <m:rPr>
                <m:sty m:val="p"/>
              </m:rPr>
              <m:t>e</m:t>
            </m:r>
          </m:sub>
        </m:sSub>
        <m:r>
          <m:rPr>
            <m:sty m:val="p"/>
          </m:rPr>
          <m:t>/</m:t>
        </m:r>
        <m:sSub>
          <m:e>
            <m:r>
              <m:t>t</m:t>
            </m:r>
          </m:e>
          <m:sub>
            <m:r>
              <m:rPr>
                <m:sty m:val="p"/>
              </m:rPr>
              <m:t>l</m:t>
            </m:r>
            <m:r>
              <m:rPr>
                <m:sty m:val="p"/>
              </m:rPr>
              <m:t>o</m:t>
            </m:r>
            <m:r>
              <m:rPr>
                <m:sty m:val="p"/>
              </m:rPr>
              <m:t>s</m:t>
            </m:r>
            <m:r>
              <m:rPr>
                <m:sty m:val="p"/>
              </m:rPr>
              <m:t>s</m:t>
            </m:r>
          </m:sub>
        </m:sSub>
      </m:oMath>
      <w:r>
        <w:t xml:space="preserve"> </w:t>
      </w:r>
      <w:r>
        <w:t xml:space="preserve">is of order unity. The same two dimensionless parameters—accretion scatter</w:t>
      </w:r>
      <w:r>
        <w:t xml:space="preserve"> </w:t>
      </w:r>
      <m:oMath>
        <m:r>
          <m:t>σ</m:t>
        </m:r>
      </m:oMath>
      <w:r>
        <w:t xml:space="preserve"> </w:t>
      </w:r>
      <w:r>
        <w:t xml:space="preserve">and the coherence-to-loss-time ratio—control the scatter and covariance of multiple scaling relations. (</w:t>
      </w:r>
      <w:hyperlink r:id="rId33">
        <w:r>
          <w:rPr>
            <w:rStyle w:val="Hyperlink"/>
          </w:rPr>
          <w:t xml:space="preserve">Forbes et al. 2014</w:t>
        </w:r>
      </w:hyperlink>
      <w:r>
        <w:t xml:space="preserve">)</w:t>
      </w:r>
    </w:p>
    <w:p>
      <w:pPr>
        <w:pStyle w:val="BodyText"/>
      </w:pPr>
      <w:r>
        <w:rPr>
          <w:b/>
          <w:bCs/>
        </w:rPr>
        <w:t xml:space="preserve">Strengths.</w:t>
      </w:r>
      <w:r>
        <w:t xml:space="preserve"> </w:t>
      </w:r>
      <w:r>
        <w:t xml:space="preserve">The model predicts a covariance, not merely a mean surface; retains time dependence; and ties the FMR sign to an observable response-time hierarchy.</w:t>
      </w:r>
    </w:p>
    <w:p>
      <w:pPr>
        <w:pStyle w:val="BodyText"/>
      </w:pPr>
      <w:r>
        <w:rPr>
          <w:b/>
          <w:bCs/>
        </w:rPr>
        <w:t xml:space="preserve">Limitations.</w:t>
      </w:r>
      <w:r>
        <w:t xml:space="preserve"> </w:t>
      </w:r>
      <w:r>
        <w:t xml:space="preserve">Inflow is the only stochastic driver. Depletion time, mass loading, yield, and inflow metallicity are fixed within a mass bin. The published negative sign is therefore conditional on the model design, not a theorem that every regulator must be negative.</w:t>
      </w:r>
    </w:p>
    <w:bookmarkEnd w:id="34"/>
    <w:bookmarkStart w:id="36" w:name="Xbf15d99506543ad7e5a5cb1e3ca5b9c5c7b0924"/>
    <w:p>
      <w:pPr>
        <w:pStyle w:val="Heading2"/>
      </w:pPr>
      <w:r>
        <w:t xml:space="preserve">4.6 Pipino, Lilly &amp; Carollo (2014) and Peng &amp; Maiolino (2014): time dependence clarified</w:t>
      </w:r>
    </w:p>
    <w:p>
      <w:pPr>
        <w:pStyle w:val="FirstParagraph"/>
      </w:pPr>
      <w:r>
        <w:t xml:space="preserve">Pipino et al. derive exact and approximate metallicity–sSFR relations for regulator histories, test the Lilly approximation, and show that it remains accurate to roughly 0.1 dex over a wide sSFR range for their explored models. They also predict stellar metallicity to lag gas metallicity by roughly 0.1–0.2 dex. (</w:t>
      </w:r>
      <w:hyperlink r:id="rId31">
        <w:r>
          <w:rPr>
            <w:rStyle w:val="Hyperlink"/>
          </w:rPr>
          <w:t xml:space="preserve">Pipino et al. 2014</w:t>
        </w:r>
      </w:hyperlink>
      <w:r>
        <w:t xml:space="preserve">)</w:t>
      </w:r>
    </w:p>
    <w:p>
      <w:pPr>
        <w:pStyle w:val="BodyText"/>
      </w:pPr>
      <w:r>
        <w:t xml:space="preserve">Peng &amp; Maiolino develop a general time-dependent regulator without requiring instantaneous equilibrium and analyse relaxation times and trajectories. It is a foundation for interpreting FMR evolution rather than a fitted FMR surface in its own right. (</w:t>
      </w:r>
      <w:hyperlink r:id="rId35">
        <w:r>
          <w:rPr>
            <w:rStyle w:val="Hyperlink"/>
          </w:rPr>
          <w:t xml:space="preserve">Peng &amp; Maiolino 2014</w:t>
        </w:r>
      </w:hyperlink>
      <w:r>
        <w:t xml:space="preserve">)</w:t>
      </w:r>
    </w:p>
    <w:p>
      <w:pPr>
        <w:pStyle w:val="BodyText"/>
      </w:pPr>
      <w:r>
        <w:t xml:space="preserve">Together these papers show why “equilibrium” must be specified: gas-mass equilibrium, abundance equilibrium, statistical equilibrium, and slow evolution are different approximations.</w:t>
      </w:r>
    </w:p>
    <w:bookmarkEnd w:id="36"/>
    <w:bookmarkStart w:id="42" w:name="X7e9f00f42bfcae2fe048a881817e52a2b73e940"/>
    <w:p>
      <w:pPr>
        <w:pStyle w:val="Heading2"/>
      </w:pPr>
      <w:r>
        <w:t xml:space="preserve">4.7 Harwit &amp; Brisbin (2015), Hunt et al. (2016), and other compact extensions</w:t>
      </w:r>
    </w:p>
    <w:p>
      <w:pPr>
        <w:pStyle w:val="FirstParagraph"/>
      </w:pPr>
      <w:r>
        <w:t xml:space="preserve">Harwit &amp; Brisbin build an equilibrium accounting model in which infalling gas mixes with native gas and stellar yields constrain the enrichment. Applied to a large SDSS sample, it infers that external accretion supplies a substantial fraction of the gas required for star formation. Its value is a directly interpretable census; its limitations are equilibrium selection and sensitivity to yield, aperture, and abundance calibration. (</w:t>
      </w:r>
      <w:hyperlink r:id="rId37">
        <w:r>
          <w:rPr>
            <w:rStyle w:val="Hyperlink"/>
          </w:rPr>
          <w:t xml:space="preserve">Harwit &amp; Brisbin 2015</w:t>
        </w:r>
      </w:hyperlink>
      <w:r>
        <w:t xml:space="preserve">)</w:t>
      </w:r>
    </w:p>
    <w:p>
      <w:pPr>
        <w:pStyle w:val="BodyText"/>
      </w:pPr>
      <w:r>
        <w:t xml:space="preserve">Hunt et al. (2016a) provide an empirical “fundamental plane of metallicity,” approximately linear in</w:t>
      </w:r>
      <w:r>
        <w:t xml:space="preserve"> </w:t>
      </w:r>
      <m:oMath>
        <m:r>
          <m:rPr>
            <m:sty m:val="p"/>
          </m:rPr>
          <m:t>log</m:t>
        </m:r>
        <m:sSub>
          <m:e>
            <m:r>
              <m:t>M</m:t>
            </m:r>
          </m:e>
          <m:sub>
            <m:r>
              <m:rPr>
                <m:sty m:val="p"/>
              </m:rPr>
              <m:t>⋆</m:t>
            </m:r>
          </m:sub>
        </m:sSub>
      </m:oMath>
      <w:r>
        <w:t xml:space="preserve"> </w:t>
      </w:r>
      <w:r>
        <w:t xml:space="preserve">and</w:t>
      </w:r>
      <w:r>
        <w:t xml:space="preserve"> </w:t>
      </w:r>
      <m:oMath>
        <m:r>
          <m:rPr>
            <m:sty m:val="p"/>
          </m:rPr>
          <m:t>log</m:t>
        </m:r>
        <m:r>
          <m:rPr>
            <m:sty m:val="p"/>
          </m:rPr>
          <m:t>S</m:t>
        </m:r>
        <m:r>
          <m:rPr>
            <m:sty m:val="p"/>
          </m:rPr>
          <m:t>F</m:t>
        </m:r>
        <m:r>
          <m:rPr>
            <m:sty m:val="p"/>
          </m:rPr>
          <m:t>R</m:t>
        </m:r>
      </m:oMath>
      <w:r>
        <w:t xml:space="preserve"> </w:t>
      </w:r>
      <w:r>
        <w:t xml:space="preserve">for their heterogeneous MEGA compilation. Hunt et al. (2016b) then update the Dayal physical model, fitting inflow and outflow scalings and interpreting high-redshift offsets mainly through greater accretion and gas content. The two papers should not be conflated: one is a data reduction surface; the other is a chemical-evolution model. (</w:t>
      </w:r>
      <w:hyperlink r:id="rId38">
        <w:r>
          <w:rPr>
            <w:rStyle w:val="Hyperlink"/>
          </w:rPr>
          <w:t xml:space="preserve">Hunt et al. 2016a</w:t>
        </w:r>
      </w:hyperlink>
      <w:r>
        <w:t xml:space="preserve">)</w:t>
      </w:r>
      <w:r>
        <w:t xml:space="preserve"> </w:t>
      </w:r>
      <w:r>
        <w:t xml:space="preserve">(</w:t>
      </w:r>
      <w:hyperlink r:id="rId39">
        <w:r>
          <w:rPr>
            <w:rStyle w:val="Hyperlink"/>
          </w:rPr>
          <w:t xml:space="preserve">Hunt et al. 2016b</w:t>
        </w:r>
      </w:hyperlink>
      <w:r>
        <w:t xml:space="preserve">)</w:t>
      </w:r>
    </w:p>
    <w:p>
      <w:pPr>
        <w:pStyle w:val="BodyText"/>
      </w:pPr>
      <w:r>
        <w:t xml:space="preserve">Magrini et al. (2012) compare multi-phase chemical-evolution modes for metal-poor starbursts and scaling relations. Zahid et al. (2012) link empirically inferred enrichment histories, SFR histories, and oxygen outflows. These broaden the chemical-evolution context, but neither is as minimal or directly diagnostic of FMR residual covariance as Forbes et al. (</w:t>
      </w:r>
      <w:hyperlink r:id="rId40">
        <w:r>
          <w:rPr>
            <w:rStyle w:val="Hyperlink"/>
          </w:rPr>
          <w:t xml:space="preserve">Magrini et al. 2012</w:t>
        </w:r>
      </w:hyperlink>
      <w:r>
        <w:t xml:space="preserve">)</w:t>
      </w:r>
      <w:r>
        <w:t xml:space="preserve"> </w:t>
      </w:r>
      <w:r>
        <w:t xml:space="preserve">(</w:t>
      </w:r>
      <w:hyperlink r:id="rId41">
        <w:r>
          <w:rPr>
            <w:rStyle w:val="Hyperlink"/>
          </w:rPr>
          <w:t xml:space="preserve">Zahid et al. 2012</w:t>
        </w:r>
      </w:hyperlink>
      <w:r>
        <w:t xml:space="preserve">)</w:t>
      </w:r>
    </w:p>
    <w:bookmarkEnd w:id="42"/>
    <w:bookmarkStart w:id="44" w:name="X3548a073659bc079fc3a346f570cd10b69e0869"/>
    <w:p>
      <w:pPr>
        <w:pStyle w:val="Heading2"/>
      </w:pPr>
      <w:r>
        <w:t xml:space="preserve">4.8 Lin &amp; Zu (2023): a calibrated non-equilibrium chemical-evolution model</w:t>
      </w:r>
    </w:p>
    <w:p>
      <w:pPr>
        <w:pStyle w:val="FirstParagraph"/>
      </w:pPr>
      <w:r>
        <w:t xml:space="preserve">Lin &amp; Zu construct a non-equilibrium chemical-evolution model (NE-CEM) that follows an average star-formation history and a time-dependent mass-loading factor. For pristine inflow, their abundance evolution includes</w:t>
      </w:r>
    </w:p>
    <w:p>
      <w:pPr>
        <w:pStyle w:val="BodyText"/>
      </w:pPr>
      <m:oMathPara>
        <m:oMathParaPr>
          <m:jc m:val="center"/>
        </m:oMathParaPr>
        <m:oMath>
          <m:sSub>
            <m:e>
              <m:acc>
                <m:accPr>
                  <m:chr m:val="̇"/>
                </m:accPr>
                <m:e>
                  <m:r>
                    <m:t>Z</m:t>
                  </m:r>
                </m:e>
              </m:acc>
            </m:e>
            <m:sub>
              <m:r>
                <m:rPr>
                  <m:sty m:val="p"/>
                </m:rPr>
                <m:t>O</m:t>
              </m:r>
            </m:sub>
          </m:sSub>
          <m:r>
            <m:rPr>
              <m:sty m:val="p"/>
            </m:rPr>
            <m:t>=</m:t>
          </m:r>
          <m:f>
            <m:fPr>
              <m:type m:val="bar"/>
            </m:fPr>
            <m:num>
              <m:sSub>
                <m:e>
                  <m:acc>
                    <m:accPr>
                      <m:chr m:val="̇"/>
                    </m:accPr>
                    <m:e>
                      <m:r>
                        <m:t>M</m:t>
                      </m:r>
                    </m:e>
                  </m:acc>
                </m:e>
                <m:sub>
                  <m:r>
                    <m:rPr>
                      <m:sty m:val="p"/>
                    </m:rPr>
                    <m:t>O</m:t>
                  </m:r>
                </m:sub>
              </m:sSub>
            </m:num>
            <m:den>
              <m:sSub>
                <m:e>
                  <m:r>
                    <m:t>M</m:t>
                  </m:r>
                </m:e>
                <m:sub>
                  <m:r>
                    <m:rPr>
                      <m:sty m:val="p"/>
                    </m:rPr>
                    <m:t>g</m:t>
                  </m:r>
                </m:sub>
              </m:sSub>
            </m:den>
          </m:f>
          <m:r>
            <m:rPr>
              <m:sty m:val="p"/>
            </m:rPr>
            <m:t>−</m:t>
          </m:r>
          <m:r>
            <m:t>r</m:t>
          </m:r>
          <m:r>
            <m:t>a</m:t>
          </m:r>
          <m:r>
            <m:t>c</m:t>
          </m:r>
          <m:sSub>
            <m:e>
              <m:acc>
                <m:accPr>
                  <m:chr m:val="̇"/>
                </m:accPr>
                <m:e>
                  <m:r>
                    <m:t>M</m:t>
                  </m:r>
                </m:e>
              </m:acc>
            </m:e>
            <m:sub>
              <m:r>
                <m:rPr>
                  <m:sty m:val="p"/>
                </m:rPr>
                <m:t>g</m:t>
              </m:r>
            </m:sub>
          </m:sSub>
          <m:sSub>
            <m:e>
              <m:r>
                <m:t>M</m:t>
              </m:r>
            </m:e>
            <m:sub>
              <m:r>
                <m:rPr>
                  <m:sty m:val="p"/>
                </m:rPr>
                <m:t>g</m:t>
              </m:r>
            </m:sub>
          </m:sSub>
          <m:sSub>
            <m:e>
              <m:r>
                <m:t>Z</m:t>
              </m:r>
            </m:e>
            <m:sub>
              <m:r>
                <m:rPr>
                  <m:sty m:val="p"/>
                </m:rPr>
                <m:t>O</m:t>
              </m:r>
            </m:sub>
          </m:sSub>
          <m:r>
            <m:rPr>
              <m:sty m:val="p"/>
            </m:rPr>
            <m:t>.</m:t>
          </m:r>
        </m:oMath>
      </m:oMathPara>
    </w:p>
    <w:p>
      <w:pPr>
        <w:pStyle w:val="FirstParagraph"/>
      </w:pPr>
      <w:r>
        <w:t xml:space="preserve">The functional dependence of</w:t>
      </w:r>
      <w:r>
        <w:t xml:space="preserve"> </w:t>
      </w:r>
      <m:oMath>
        <m:r>
          <m:t>η</m:t>
        </m:r>
        <m:r>
          <m:rPr>
            <m:sty m:val="p"/>
          </m:rPr>
          <m:t>(</m:t>
        </m:r>
        <m:sSub>
          <m:e>
            <m:r>
              <m:t>M</m:t>
            </m:r>
          </m:e>
          <m:sub>
            <m:r>
              <m:rPr>
                <m:sty m:val="p"/>
              </m:rPr>
              <m:t>⋆</m:t>
            </m:r>
          </m:sub>
        </m:sSub>
        <m:r>
          <m:rPr>
            <m:sty m:val="p"/>
          </m:rPr>
          <m:t>,</m:t>
        </m:r>
        <m:r>
          <m:rPr>
            <m:sty m:val="p"/>
          </m:rPr>
          <m:t>s</m:t>
        </m:r>
        <m:r>
          <m:rPr>
            <m:sty m:val="p"/>
          </m:rPr>
          <m:t>S</m:t>
        </m:r>
        <m:r>
          <m:rPr>
            <m:sty m:val="p"/>
          </m:rPr>
          <m:t>F</m:t>
        </m:r>
        <m:r>
          <m:rPr>
            <m:sty m:val="p"/>
          </m:rPr>
          <m:t>R</m:t>
        </m:r>
        <m:r>
          <m:rPr>
            <m:sty m:val="p"/>
          </m:rPr>
          <m:t>)</m:t>
        </m:r>
      </m:oMath>
      <w:r>
        <w:t xml:space="preserve"> </w:t>
      </w:r>
      <w:r>
        <w:t xml:space="preserve">is informed by EAGLE and then constrained with SDSS. The model reproduces the local metallicity–mass–SFR relation and interprets its evolution as coherent non-equilibrium enrichment along galaxy growth tracks. (</w:t>
      </w:r>
      <w:hyperlink r:id="rId43">
        <w:r>
          <w:rPr>
            <w:rStyle w:val="Hyperlink"/>
          </w:rPr>
          <w:t xml:space="preserve">Lin &amp; Zu 2023</w:t>
        </w:r>
      </w:hyperlink>
      <w:r>
        <w:t xml:space="preserve">)</w:t>
      </w:r>
    </w:p>
    <w:p>
      <w:pPr>
        <w:pStyle w:val="BodyText"/>
      </w:pPr>
      <w:r>
        <w:t xml:space="preserve">This is richer than a one-parameter bathtub and directly useful for outflow inference. The trade-off is identifiability: mean SF histories, the EAGLE-motivated form, yield choices, and the inferred gas history all contribute. It does not by itself isolate whether short-timescale positive residuals come from SFE, recycled inflow, or a population-selection effect.</w:t>
      </w:r>
    </w:p>
    <w:bookmarkEnd w:id="44"/>
    <w:bookmarkStart w:id="47" w:name="X753138a604bc8b8794a59b1c300d27a34095e5d"/>
    <w:p>
      <w:pPr>
        <w:pStyle w:val="Heading2"/>
      </w:pPr>
      <w:r>
        <w:t xml:space="preserve">4.9 Wang et al. (2026): inflow-driven FMR and the gFMR</w:t>
      </w:r>
    </w:p>
    <w:p>
      <w:pPr>
        <w:pStyle w:val="FirstParagraph"/>
      </w:pPr>
      <w:r>
        <w:t xml:space="preserve">Wang et al. present the newest and most explicit analytical treatment in this search. It is currently an arXiv v1 preprint submitted 5 August 2026, so its claims should be treated as pre-peer-review. Their ideal model adopts pristine inflow and constant</w:t>
      </w:r>
      <w:r>
        <w:t xml:space="preserve"> </w:t>
      </w:r>
      <m:oMath>
        <m:r>
          <m:rPr>
            <m:sty m:val="p"/>
          </m:rPr>
          <m:t>Φ</m:t>
        </m:r>
      </m:oMath>
      <w:r>
        <w:t xml:space="preserve">,</w:t>
      </w:r>
      <w:r>
        <w:t xml:space="preserve"> </w:t>
      </w:r>
      <m:oMath>
        <m:r>
          <m:t>ϵ</m:t>
        </m:r>
      </m:oMath>
      <w:r>
        <w:t xml:space="preserve">, and</w:t>
      </w:r>
      <w:r>
        <w:t xml:space="preserve"> </w:t>
      </w:r>
      <m:oMath>
        <m:r>
          <m:t>η</m:t>
        </m:r>
      </m:oMath>
      <w:r>
        <w:t xml:space="preserve">:</w:t>
      </w:r>
    </w:p>
    <w:p>
      <w:pPr>
        <w:pStyle w:val="BodyText"/>
      </w:pPr>
      <w:r>
        <w:t xml:space="preserve">An adjacent single-author paper, Wang (2026), introduced the same non-equilibrium inflow-driven regime while studying the</w:t>
      </w:r>
      <w:r>
        <w:t xml:space="preserve"> </w:t>
      </w:r>
      <w:r>
        <w:rPr>
          <w:b/>
          <w:bCs/>
        </w:rPr>
        <w:t xml:space="preserve">galaxy size–stellar-metallicity relation</w:t>
      </w:r>
      <w:r>
        <w:t xml:space="preserve">. Its regulator shows why SFE can affect stellar metallicity before long-term equilibrium and motivates some of the later FMR algebra, but it is not itself an FMR/rFMR/gFMR paper. It is included here to prevent the two 2026 Wang works from being conflated. (</w:t>
      </w:r>
      <w:hyperlink r:id="rId45">
        <w:r>
          <w:rPr>
            <w:rStyle w:val="Hyperlink"/>
          </w:rPr>
          <w:t xml:space="preserve">Wang 2026</w:t>
        </w:r>
      </w:hyperlink>
      <w:r>
        <w:t xml:space="preserve">)</w:t>
      </w:r>
    </w:p>
    <w:p>
      <w:pPr>
        <w:pStyle w:val="BodyText"/>
      </w:pPr>
      <m:oMathPara>
        <m:oMathParaPr>
          <m:jc m:val="center"/>
        </m:oMathParaPr>
        <m:oMath>
          <m:sSub>
            <m:e>
              <m:acc>
                <m:accPr>
                  <m:chr m:val="̇"/>
                </m:accPr>
                <m:e>
                  <m:r>
                    <m:t>M</m:t>
                  </m:r>
                </m:e>
              </m:acc>
            </m:e>
            <m:sub>
              <m:r>
                <m:rPr>
                  <m:sty m:val="p"/>
                </m:rPr>
                <m:t>g</m:t>
              </m:r>
            </m:sub>
          </m:sSub>
          <m:r>
            <m:rPr>
              <m:sty m:val="p"/>
            </m:rPr>
            <m:t>=</m:t>
          </m:r>
          <m:r>
            <m:rPr>
              <m:sty m:val="p"/>
            </m:rPr>
            <m:t>Φ</m:t>
          </m:r>
          <m:r>
            <m:rPr>
              <m:sty m:val="p"/>
            </m:rPr>
            <m:t>−</m:t>
          </m:r>
          <m:r>
            <m:rPr>
              <m:sty m:val="p"/>
            </m:rPr>
            <m:t>(</m:t>
          </m:r>
          <m:r>
            <m:t>1</m:t>
          </m:r>
          <m:r>
            <m:rPr>
              <m:sty m:val="p"/>
            </m:rPr>
            <m:t>−</m:t>
          </m:r>
          <m:r>
            <m:t>R</m:t>
          </m:r>
          <m:r>
            <m:rPr>
              <m:sty m:val="p"/>
            </m:rPr>
            <m:t>+</m:t>
          </m:r>
          <m:r>
            <m:t>η</m:t>
          </m:r>
          <m:r>
            <m:rPr>
              <m:sty m:val="p"/>
            </m:rPr>
            <m:t>)</m:t>
          </m:r>
          <m:r>
            <m:t>ϵ</m:t>
          </m:r>
          <m:sSub>
            <m:e>
              <m:r>
                <m:t>M</m:t>
              </m:r>
            </m:e>
            <m:sub>
              <m:r>
                <m:rPr>
                  <m:sty m:val="p"/>
                </m:rPr>
                <m:t>g</m:t>
              </m:r>
            </m:sub>
          </m:sSub>
          <m:r>
            <m:rPr>
              <m:sty m:val="p"/>
            </m:rPr>
            <m:t>,</m:t>
          </m:r>
        </m:oMath>
      </m:oMathPara>
    </w:p>
    <w:p>
      <w:pPr>
        <w:pStyle w:val="FirstParagraph"/>
      </w:pPr>
      <m:oMathPara>
        <m:oMathParaPr>
          <m:jc m:val="center"/>
        </m:oMathParaPr>
        <m:oMath>
          <m:f>
            <m:fPr>
              <m:type m:val="bar"/>
            </m:fPr>
            <m:num>
              <m:r>
                <m:rPr>
                  <m:sty m:val="p"/>
                </m:rPr>
                <m:t>d</m:t>
              </m:r>
              <m:r>
                <m:rPr>
                  <m:sty m:val="p"/>
                </m:rPr>
                <m:t>(</m:t>
              </m:r>
              <m:sSub>
                <m:e>
                  <m:r>
                    <m:t>M</m:t>
                  </m:r>
                </m:e>
                <m:sub>
                  <m:r>
                    <m:rPr>
                      <m:sty m:val="p"/>
                    </m:rPr>
                    <m:t>g</m:t>
                  </m:r>
                </m:sub>
              </m:sSub>
              <m:sSub>
                <m:e>
                  <m:r>
                    <m:t>Z</m:t>
                  </m:r>
                </m:e>
                <m:sub>
                  <m:r>
                    <m:rPr>
                      <m:sty m:val="p"/>
                    </m:rPr>
                    <m:t>g</m:t>
                  </m:r>
                </m:sub>
              </m:sSub>
              <m:r>
                <m:rPr>
                  <m:sty m:val="p"/>
                </m:rPr>
                <m:t>)</m:t>
              </m:r>
            </m:num>
            <m:den>
              <m:r>
                <m:rPr>
                  <m:sty m:val="p"/>
                </m:rPr>
                <m:t>d</m:t>
              </m:r>
              <m:r>
                <m:t>t</m:t>
              </m:r>
            </m:den>
          </m:f>
          <m:r>
            <m:rPr>
              <m:sty m:val="p"/>
            </m:rPr>
            <m:t>=</m:t>
          </m:r>
          <m:r>
            <m:t>y</m:t>
          </m:r>
          <m:r>
            <m:t>ϵ</m:t>
          </m:r>
          <m:sSub>
            <m:e>
              <m:r>
                <m:t>M</m:t>
              </m:r>
            </m:e>
            <m:sub>
              <m:r>
                <m:rPr>
                  <m:sty m:val="p"/>
                </m:rPr>
                <m:t>g</m:t>
              </m:r>
            </m:sub>
          </m:sSub>
          <m:r>
            <m:rPr>
              <m:sty m:val="p"/>
            </m:rPr>
            <m:t>−</m:t>
          </m:r>
          <m:sSub>
            <m:e>
              <m:r>
                <m:t>Z</m:t>
              </m:r>
            </m:e>
            <m:sub>
              <m:r>
                <m:rPr>
                  <m:sty m:val="p"/>
                </m:rPr>
                <m:t>g</m:t>
              </m:r>
            </m:sub>
          </m:sSub>
          <m:r>
            <m:rPr>
              <m:sty m:val="p"/>
            </m:rPr>
            <m:t>(</m:t>
          </m:r>
          <m:r>
            <m:t>1</m:t>
          </m:r>
          <m:r>
            <m:rPr>
              <m:sty m:val="p"/>
            </m:rPr>
            <m:t>−</m:t>
          </m:r>
          <m:r>
            <m:t>R</m:t>
          </m:r>
          <m:r>
            <m:rPr>
              <m:sty m:val="p"/>
            </m:rPr>
            <m:t>+</m:t>
          </m:r>
          <m:r>
            <m:t>η</m:t>
          </m:r>
          <m:r>
            <m:rPr>
              <m:sty m:val="p"/>
            </m:rPr>
            <m:t>)</m:t>
          </m:r>
          <m:r>
            <m:t>ϵ</m:t>
          </m:r>
          <m:sSub>
            <m:e>
              <m:r>
                <m:t>M</m:t>
              </m:r>
            </m:e>
            <m:sub>
              <m:r>
                <m:rPr>
                  <m:sty m:val="p"/>
                </m:rPr>
                <m:t>g</m:t>
              </m:r>
            </m:sub>
          </m:sSub>
          <m:r>
            <m:rPr>
              <m:sty m:val="p"/>
            </m:rPr>
            <m:t>.</m:t>
          </m:r>
        </m:oMath>
      </m:oMathPara>
    </w:p>
    <w:p>
      <w:pPr>
        <w:pStyle w:val="FirstParagraph"/>
      </w:pPr>
      <w:r>
        <w:t xml:space="preserve">For</w:t>
      </w:r>
      <w:r>
        <w:t xml:space="preserve"> </w:t>
      </w:r>
      <m:oMath>
        <m:sSub>
          <m:e>
            <m:r>
              <m:t>τ</m:t>
            </m:r>
          </m:e>
          <m:sub>
            <m:r>
              <m:rPr>
                <m:sty m:val="p"/>
              </m:rPr>
              <m:t>e</m:t>
            </m:r>
            <m:r>
              <m:rPr>
                <m:sty m:val="p"/>
              </m:rPr>
              <m:t>q</m:t>
            </m:r>
          </m:sub>
        </m:sSub>
        <m:r>
          <m:rPr>
            <m:sty m:val="p"/>
          </m:rPr>
          <m:t>=</m:t>
        </m:r>
        <m:r>
          <m:rPr>
            <m:sty m:val="p"/>
          </m:rPr>
          <m:t>[</m:t>
        </m:r>
        <m:r>
          <m:rPr>
            <m:sty m:val="p"/>
          </m:rPr>
          <m:t>(</m:t>
        </m:r>
        <m:r>
          <m:t>1</m:t>
        </m:r>
        <m:r>
          <m:rPr>
            <m:sty m:val="p"/>
          </m:rPr>
          <m:t>−</m:t>
        </m:r>
        <m:r>
          <m:t>R</m:t>
        </m:r>
        <m:r>
          <m:rPr>
            <m:sty m:val="p"/>
          </m:rPr>
          <m:t>+</m:t>
        </m:r>
        <m:r>
          <m:t>η</m:t>
        </m:r>
        <m:r>
          <m:rPr>
            <m:sty m:val="p"/>
          </m:rPr>
          <m:t>)</m:t>
        </m:r>
        <m:r>
          <m:t>ϵ</m:t>
        </m:r>
        <m:sSup>
          <m:e>
            <m:r>
              <m:rPr>
                <m:sty m:val="p"/>
              </m:rPr>
              <m:t>]</m:t>
            </m:r>
          </m:e>
          <m:sup>
            <m:r>
              <m:rPr>
                <m:sty m:val="p"/>
              </m:rPr>
              <m:t>−</m:t>
            </m:r>
            <m:r>
              <m:t>1</m:t>
            </m:r>
          </m:sup>
        </m:sSup>
      </m:oMath>
      <w:r>
        <w:t xml:space="preserve">, they derive</w:t>
      </w:r>
    </w:p>
    <w:p>
      <w:pPr>
        <w:pStyle w:val="BodyText"/>
      </w:pPr>
      <m:oMathPara>
        <m:oMathParaPr>
          <m:jc m:val="center"/>
        </m:oMathParaPr>
        <m:oMath>
          <m:sSub>
            <m:e>
              <m:r>
                <m:t>M</m:t>
              </m:r>
            </m:e>
            <m:sub>
              <m:r>
                <m:rPr>
                  <m:sty m:val="p"/>
                </m:rPr>
                <m:t>g</m:t>
              </m:r>
            </m:sub>
          </m:sSub>
          <m:r>
            <m:rPr>
              <m:sty m:val="p"/>
            </m:rPr>
            <m:t>=</m:t>
          </m:r>
          <m:r>
            <m:rPr>
              <m:sty m:val="p"/>
            </m:rPr>
            <m:t>Φ</m:t>
          </m:r>
          <m:sSub>
            <m:e>
              <m:r>
                <m:t>τ</m:t>
              </m:r>
            </m:e>
            <m:sub>
              <m:r>
                <m:rPr>
                  <m:sty m:val="p"/>
                </m:rPr>
                <m:t>e</m:t>
              </m:r>
              <m:r>
                <m:rPr>
                  <m:sty m:val="p"/>
                </m:rPr>
                <m:t>q</m:t>
              </m:r>
            </m:sub>
          </m:sSub>
          <m:r>
            <m:rPr>
              <m:sty m:val="p"/>
            </m:rPr>
            <m:t>(</m:t>
          </m:r>
          <m:r>
            <m:t>1</m:t>
          </m:r>
          <m:r>
            <m:rPr>
              <m:sty m:val="p"/>
            </m:rPr>
            <m:t>−</m:t>
          </m:r>
          <m:sSup>
            <m:e>
              <m:r>
                <m:t>e</m:t>
              </m:r>
            </m:e>
            <m:sup>
              <m:r>
                <m:rPr>
                  <m:sty m:val="p"/>
                </m:rPr>
                <m:t>−</m:t>
              </m:r>
              <m:r>
                <m:t>t</m:t>
              </m:r>
              <m:r>
                <m:rPr>
                  <m:sty m:val="p"/>
                </m:rPr>
                <m:t>/</m:t>
              </m:r>
              <m:sSub>
                <m:e>
                  <m:r>
                    <m:t>τ</m:t>
                  </m:r>
                </m:e>
                <m:sub>
                  <m:r>
                    <m:rPr>
                      <m:sty m:val="p"/>
                    </m:rPr>
                    <m:t>e</m:t>
                  </m:r>
                  <m:r>
                    <m:rPr>
                      <m:sty m:val="p"/>
                    </m:rPr>
                    <m:t>q</m:t>
                  </m:r>
                </m:sub>
              </m:sSub>
            </m:sup>
          </m:sSup>
          <m:r>
            <m:rPr>
              <m:sty m:val="p"/>
            </m:rPr>
            <m:t>)</m:t>
          </m:r>
          <m:r>
            <m:rPr>
              <m:sty m:val="p"/>
            </m:rPr>
            <m:t>,</m:t>
          </m:r>
        </m:oMath>
      </m:oMathPara>
    </w:p>
    <w:p>
      <w:pPr>
        <w:pStyle w:val="FirstParagraph"/>
      </w:pPr>
      <m:oMathPara>
        <m:oMathParaPr>
          <m:jc m:val="center"/>
        </m:oMathParaPr>
        <m:oMath>
          <m:sSub>
            <m:e>
              <m:r>
                <m:t>Z</m:t>
              </m:r>
            </m:e>
            <m:sub>
              <m:r>
                <m:rPr>
                  <m:sty m:val="p"/>
                </m:rPr>
                <m:t>g</m:t>
              </m:r>
            </m:sub>
          </m:sSub>
          <m:r>
            <m:rPr>
              <m:sty m:val="p"/>
            </m:rPr>
            <m:t>=</m:t>
          </m:r>
          <m:r>
            <m:t>y</m:t>
          </m:r>
          <m:r>
            <m:t>ϵ</m:t>
          </m:r>
          <m:d>
            <m:dPr>
              <m:begChr m:val="["/>
              <m:sepChr m:val=""/>
              <m:endChr m:val="]"/>
              <m:grow/>
            </m:dPr>
            <m:e>
              <m:sSub>
                <m:e>
                  <m:r>
                    <m:t>τ</m:t>
                  </m:r>
                </m:e>
                <m:sub>
                  <m:r>
                    <m:rPr>
                      <m:sty m:val="p"/>
                    </m:rPr>
                    <m:t>e</m:t>
                  </m:r>
                  <m:r>
                    <m:rPr>
                      <m:sty m:val="p"/>
                    </m:rPr>
                    <m:t>q</m:t>
                  </m:r>
                </m:sub>
              </m:sSub>
              <m:r>
                <m:rPr>
                  <m:sty m:val="p"/>
                </m:rPr>
                <m:t>−</m:t>
              </m:r>
              <m:f>
                <m:fPr>
                  <m:type m:val="bar"/>
                </m:fPr>
                <m:num>
                  <m:r>
                    <m:t>t</m:t>
                  </m:r>
                </m:num>
                <m:den>
                  <m:sSup>
                    <m:e>
                      <m:r>
                        <m:t>e</m:t>
                      </m:r>
                    </m:e>
                    <m:sup>
                      <m:r>
                        <m:t>t</m:t>
                      </m:r>
                      <m:r>
                        <m:rPr>
                          <m:sty m:val="p"/>
                        </m:rPr>
                        <m:t>/</m:t>
                      </m:r>
                      <m:sSub>
                        <m:e>
                          <m:r>
                            <m:t>τ</m:t>
                          </m:r>
                        </m:e>
                        <m:sub>
                          <m:r>
                            <m:rPr>
                              <m:sty m:val="p"/>
                            </m:rPr>
                            <m:t>e</m:t>
                          </m:r>
                          <m:r>
                            <m:rPr>
                              <m:sty m:val="p"/>
                            </m:rPr>
                            <m:t>q</m:t>
                          </m:r>
                        </m:sub>
                      </m:sSub>
                    </m:sup>
                  </m:sSup>
                  <m:r>
                    <m:rPr>
                      <m:sty m:val="p"/>
                    </m:rPr>
                    <m:t>−</m:t>
                  </m:r>
                  <m:r>
                    <m:t>1</m:t>
                  </m:r>
                </m:den>
              </m:f>
            </m:e>
          </m:d>
          <m:r>
            <m:rPr>
              <m:sty m:val="p"/>
            </m:rPr>
            <m:t>,</m:t>
          </m:r>
        </m:oMath>
      </m:oMathPara>
    </w:p>
    <w:p>
      <w:pPr>
        <w:pStyle w:val="FirstParagraph"/>
      </w:pPr>
      <m:oMathPara>
        <m:oMathParaPr>
          <m:jc m:val="center"/>
        </m:oMathParaPr>
        <m:oMath>
          <m:sSub>
            <m:e>
              <m:r>
                <m:t>M</m:t>
              </m:r>
            </m:e>
            <m:sub>
              <m:r>
                <m:rPr>
                  <m:sty m:val="p"/>
                </m:rPr>
                <m:t>⋆</m:t>
              </m:r>
            </m:sub>
          </m:sSub>
          <m:r>
            <m:rPr>
              <m:sty m:val="p"/>
            </m:rPr>
            <m:t>=</m:t>
          </m:r>
          <m:r>
            <m:rPr>
              <m:sty m:val="p"/>
            </m:rPr>
            <m:t>(</m:t>
          </m:r>
          <m:r>
            <m:t>1</m:t>
          </m:r>
          <m:r>
            <m:rPr>
              <m:sty m:val="p"/>
            </m:rPr>
            <m:t>−</m:t>
          </m:r>
          <m:r>
            <m:t>R</m:t>
          </m:r>
          <m:r>
            <m:rPr>
              <m:sty m:val="p"/>
            </m:rPr>
            <m:t>)</m:t>
          </m:r>
          <m:r>
            <m:t>ϵ</m:t>
          </m:r>
          <m:sSub>
            <m:e>
              <m:r>
                <m:t>τ</m:t>
              </m:r>
            </m:e>
            <m:sub>
              <m:r>
                <m:rPr>
                  <m:sty m:val="p"/>
                </m:rPr>
                <m:t>e</m:t>
              </m:r>
              <m:r>
                <m:rPr>
                  <m:sty m:val="p"/>
                </m:rPr>
                <m:t>q</m:t>
              </m:r>
            </m:sub>
          </m:sSub>
          <m:r>
            <m:rPr>
              <m:sty m:val="p"/>
            </m:rPr>
            <m:t>Φ</m:t>
          </m:r>
          <m:d>
            <m:dPr>
              <m:begChr m:val="["/>
              <m:sepChr m:val=""/>
              <m:endChr m:val="]"/>
              <m:grow/>
            </m:dPr>
            <m:e>
              <m:r>
                <m:t>t</m:t>
              </m:r>
              <m:r>
                <m:rPr>
                  <m:sty m:val="p"/>
                </m:rPr>
                <m:t>−</m:t>
              </m:r>
              <m:sSub>
                <m:e>
                  <m:r>
                    <m:t>τ</m:t>
                  </m:r>
                </m:e>
                <m:sub>
                  <m:r>
                    <m:rPr>
                      <m:sty m:val="p"/>
                    </m:rPr>
                    <m:t>e</m:t>
                  </m:r>
                  <m:r>
                    <m:rPr>
                      <m:sty m:val="p"/>
                    </m:rPr>
                    <m:t>q</m:t>
                  </m:r>
                </m:sub>
              </m:sSub>
              <m:r>
                <m:rPr>
                  <m:sty m:val="p"/>
                </m:rPr>
                <m:t>(</m:t>
              </m:r>
              <m:r>
                <m:t>1</m:t>
              </m:r>
              <m:r>
                <m:rPr>
                  <m:sty m:val="p"/>
                </m:rPr>
                <m:t>−</m:t>
              </m:r>
              <m:sSup>
                <m:e>
                  <m:r>
                    <m:t>e</m:t>
                  </m:r>
                </m:e>
                <m:sup>
                  <m:r>
                    <m:rPr>
                      <m:sty m:val="p"/>
                    </m:rPr>
                    <m:t>−</m:t>
                  </m:r>
                  <m:r>
                    <m:t>t</m:t>
                  </m:r>
                  <m:r>
                    <m:rPr>
                      <m:sty m:val="p"/>
                    </m:rPr>
                    <m:t>/</m:t>
                  </m:r>
                  <m:sSub>
                    <m:e>
                      <m:r>
                        <m:t>τ</m:t>
                      </m:r>
                    </m:e>
                    <m:sub>
                      <m:r>
                        <m:rPr>
                          <m:sty m:val="p"/>
                        </m:rPr>
                        <m:t>e</m:t>
                      </m:r>
                      <m:r>
                        <m:rPr>
                          <m:sty m:val="p"/>
                        </m:rPr>
                        <m:t>q</m:t>
                      </m:r>
                    </m:sub>
                  </m:sSub>
                </m:sup>
              </m:sSup>
              <m:r>
                <m:rPr>
                  <m:sty m:val="p"/>
                </m:rPr>
                <m:t>)</m:t>
              </m:r>
            </m:e>
          </m:d>
          <m:r>
            <m:rPr>
              <m:sty m:val="p"/>
            </m:rPr>
            <m:t>.</m:t>
          </m:r>
        </m:oMath>
      </m:oMathPara>
    </w:p>
    <w:p>
      <w:pPr>
        <w:pStyle w:val="FirstParagraph"/>
      </w:pPr>
      <w:r>
        <w:t xml:space="preserve">In the early inflow-driven limit,</w:t>
      </w:r>
      <w:r>
        <w:t xml:space="preserve"> </w:t>
      </w:r>
      <m:oMath>
        <m:sSub>
          <m:e>
            <m:r>
              <m:t>M</m:t>
            </m:r>
          </m:e>
          <m:sub>
            <m:r>
              <m:rPr>
                <m:sty m:val="p"/>
              </m:rPr>
              <m:t>g</m:t>
            </m:r>
          </m:sub>
        </m:sSub>
        <m:r>
          <m:rPr>
            <m:sty m:val="p"/>
          </m:rPr>
          <m:t>≃</m:t>
        </m:r>
        <m:r>
          <m:rPr>
            <m:sty m:val="p"/>
          </m:rPr>
          <m:t>Φ</m:t>
        </m:r>
        <m:r>
          <m:t>t</m:t>
        </m:r>
      </m:oMath>
      <w:r>
        <w:t xml:space="preserve">,</w:t>
      </w:r>
      <w:r>
        <w:t xml:space="preserve"> </w:t>
      </w:r>
      <m:oMath>
        <m:sSub>
          <m:e>
            <m:r>
              <m:t>Z</m:t>
            </m:r>
          </m:e>
          <m:sub>
            <m:r>
              <m:rPr>
                <m:sty m:val="p"/>
              </m:rPr>
              <m:t>g</m:t>
            </m:r>
          </m:sub>
        </m:sSub>
        <m:r>
          <m:rPr>
            <m:sty m:val="p"/>
          </m:rPr>
          <m:t>≃</m:t>
        </m:r>
        <m:r>
          <m:t>y</m:t>
        </m:r>
        <m:r>
          <m:t>ϵ</m:t>
        </m:r>
        <m:r>
          <m:t>t</m:t>
        </m:r>
        <m:r>
          <m:rPr>
            <m:sty m:val="p"/>
          </m:rPr>
          <m:t>/</m:t>
        </m:r>
        <m:r>
          <m:t>2</m:t>
        </m:r>
      </m:oMath>
      <w:r>
        <w:t xml:space="preserve">, and</w:t>
      </w:r>
      <w:r>
        <w:t xml:space="preserve"> </w:t>
      </w:r>
      <m:oMath>
        <m:sSub>
          <m:e>
            <m:r>
              <m:t>M</m:t>
            </m:r>
          </m:e>
          <m:sub>
            <m:r>
              <m:rPr>
                <m:sty m:val="p"/>
              </m:rPr>
              <m:t>⋆</m:t>
            </m:r>
          </m:sub>
        </m:sSub>
        <m:r>
          <m:rPr>
            <m:sty m:val="p"/>
          </m:rPr>
          <m:t>≃</m:t>
        </m:r>
        <m:r>
          <m:rPr>
            <m:sty m:val="p"/>
          </m:rPr>
          <m:t>(</m:t>
        </m:r>
        <m:r>
          <m:t>1</m:t>
        </m:r>
        <m:r>
          <m:rPr>
            <m:sty m:val="p"/>
          </m:rPr>
          <m:t>−</m:t>
        </m:r>
        <m:r>
          <m:t>R</m:t>
        </m:r>
        <m:r>
          <m:rPr>
            <m:sty m:val="p"/>
          </m:rPr>
          <m:t>)</m:t>
        </m:r>
        <m:r>
          <m:rPr>
            <m:sty m:val="p"/>
          </m:rPr>
          <m:t>Φ</m:t>
        </m:r>
        <m:r>
          <m:t>ϵ</m:t>
        </m:r>
        <m:sSup>
          <m:e>
            <m:r>
              <m:t>t</m:t>
            </m:r>
          </m:e>
          <m:sup>
            <m:r>
              <m:t>2</m:t>
            </m:r>
          </m:sup>
        </m:sSup>
        <m:r>
          <m:rPr>
            <m:sty m:val="p"/>
          </m:rPr>
          <m:t>/</m:t>
        </m:r>
        <m:r>
          <m:t>2</m:t>
        </m:r>
      </m:oMath>
      <w:r>
        <w:t xml:space="preserve">, giving the particularly transparent gFMR</w:t>
      </w:r>
    </w:p>
    <w:p>
      <w:pPr>
        <w:pStyle w:val="BodyText"/>
      </w:pPr>
      <m:oMathPara>
        <m:oMathParaPr>
          <m:jc m:val="center"/>
        </m:oMathParaPr>
        <m:oMath>
          <m:sSub>
            <m:e>
              <m:r>
                <m:t>Z</m:t>
              </m:r>
            </m:e>
            <m:sub>
              <m:r>
                <m:rPr>
                  <m:sty m:val="p"/>
                </m:rPr>
                <m:t>g</m:t>
              </m:r>
            </m:sub>
          </m:sSub>
          <m:r>
            <m:rPr>
              <m:sty m:val="p"/>
            </m:rPr>
            <m:t>=</m:t>
          </m:r>
          <m:f>
            <m:fPr>
              <m:type m:val="bar"/>
            </m:fPr>
            <m:num>
              <m:r>
                <m:t>y</m:t>
              </m:r>
            </m:num>
            <m:den>
              <m:r>
                <m:t>1</m:t>
              </m:r>
              <m:r>
                <m:rPr>
                  <m:sty m:val="p"/>
                </m:rPr>
                <m:t>−</m:t>
              </m:r>
              <m:r>
                <m:t>R</m:t>
              </m:r>
            </m:den>
          </m:f>
          <m:f>
            <m:fPr>
              <m:type m:val="bar"/>
            </m:fPr>
            <m:num>
              <m:sSub>
                <m:e>
                  <m:r>
                    <m:t>M</m:t>
                  </m:r>
                </m:e>
                <m:sub>
                  <m:r>
                    <m:rPr>
                      <m:sty m:val="p"/>
                    </m:rPr>
                    <m:t>⋆</m:t>
                  </m:r>
                </m:sub>
              </m:sSub>
            </m:num>
            <m:den>
              <m:sSub>
                <m:e>
                  <m:r>
                    <m:t>M</m:t>
                  </m:r>
                </m:e>
                <m:sub>
                  <m:r>
                    <m:rPr>
                      <m:sty m:val="p"/>
                    </m:rPr>
                    <m:t>g</m:t>
                  </m:r>
                </m:sub>
              </m:sSub>
            </m:den>
          </m:f>
          <m:r>
            <m:rPr>
              <m:sty m:val="p"/>
            </m:rPr>
            <m:t>.</m:t>
          </m:r>
        </m:oMath>
      </m:oMathPara>
    </w:p>
    <w:p>
      <w:pPr>
        <w:pStyle w:val="FirstParagraph"/>
      </w:pPr>
      <w:r>
        <w:t xml:space="preserve">More generally they derive correction functions of</w:t>
      </w:r>
      <w:r>
        <w:t xml:space="preserve"> </w:t>
      </w:r>
      <m:oMath>
        <m:r>
          <m:t>x</m:t>
        </m:r>
        <m:r>
          <m:rPr>
            <m:sty m:val="p"/>
          </m:rPr>
          <m:t>=</m:t>
        </m:r>
        <m:r>
          <m:t>t</m:t>
        </m:r>
        <m:r>
          <m:rPr>
            <m:sty m:val="p"/>
          </m:rPr>
          <m:t>/</m:t>
        </m:r>
        <m:sSub>
          <m:e>
            <m:r>
              <m:t>τ</m:t>
            </m:r>
          </m:e>
          <m:sub>
            <m:r>
              <m:rPr>
                <m:sty m:val="p"/>
              </m:rPr>
              <m:t>e</m:t>
            </m:r>
            <m:r>
              <m:rPr>
                <m:sty m:val="p"/>
              </m:rPr>
              <m:t>q</m:t>
            </m:r>
          </m:sub>
        </m:sSub>
      </m:oMath>
      <w:r>
        <w:t xml:space="preserve"> </w:t>
      </w:r>
      <w:r>
        <w:t xml:space="preserve">that connect</w:t>
      </w:r>
      <w:r>
        <w:t xml:space="preserve"> </w:t>
      </w:r>
      <m:oMath>
        <m:sSub>
          <m:e>
            <m:r>
              <m:t>Z</m:t>
            </m:r>
          </m:e>
          <m:sub>
            <m:r>
              <m:rPr>
                <m:sty m:val="p"/>
              </m:rPr>
              <m:t>g</m:t>
            </m:r>
          </m:sub>
        </m:sSub>
      </m:oMath>
      <w:r>
        <w:t xml:space="preserve">,</w:t>
      </w:r>
      <w:r>
        <w:t xml:space="preserve"> </w:t>
      </w:r>
      <m:oMath>
        <m:sSub>
          <m:e>
            <m:r>
              <m:t>M</m:t>
            </m:r>
          </m:e>
          <m:sub>
            <m:r>
              <m:rPr>
                <m:sty m:val="p"/>
              </m:rPr>
              <m:t>g</m:t>
            </m:r>
          </m:sub>
        </m:sSub>
        <m:r>
          <m:rPr>
            <m:sty m:val="p"/>
          </m:rPr>
          <m:t>/</m:t>
        </m:r>
        <m:sSub>
          <m:e>
            <m:r>
              <m:t>M</m:t>
            </m:r>
          </m:e>
          <m:sub>
            <m:r>
              <m:rPr>
                <m:sty m:val="p"/>
              </m:rPr>
              <m:t>⋆</m:t>
            </m:r>
          </m:sub>
        </m:sSub>
      </m:oMath>
      <w:r>
        <w:t xml:space="preserve">, and</w:t>
      </w:r>
      <w:r>
        <w:t xml:space="preserve"> </w:t>
      </w:r>
      <m:oMath>
        <m:r>
          <m:t>η</m:t>
        </m:r>
      </m:oMath>
      <w:r>
        <w:t xml:space="preserve">. Their cosmological model is calibrated to the mass–metallicity relation, main sequence, and stellar-to-halo mass relation, then predicts an FMR. To map gas fraction into SFR they allow an empirical efficiency law</w:t>
      </w:r>
      <w:r>
        <w:t xml:space="preserve"> </w:t>
      </w:r>
      <m:oMath>
        <m:r>
          <m:t>ϵ</m:t>
        </m:r>
        <m:r>
          <m:rPr>
            <m:sty m:val="p"/>
          </m:rPr>
          <m:t>∝</m:t>
        </m:r>
        <m:sSubSup>
          <m:e>
            <m:r>
              <m:t>M</m:t>
            </m:r>
          </m:e>
          <m:sub>
            <m:r>
              <m:rPr>
                <m:sty m:val="p"/>
              </m:rPr>
              <m:t>⋆</m:t>
            </m:r>
          </m:sub>
          <m:sup>
            <m:r>
              <m:t>a</m:t>
            </m:r>
          </m:sup>
        </m:sSubSup>
        <m:sSup>
          <m:e>
            <m:r>
              <m:rPr>
                <m:sty m:val="p"/>
              </m:rPr>
              <m:t>S</m:t>
            </m:r>
            <m:r>
              <m:rPr>
                <m:sty m:val="p"/>
              </m:rPr>
              <m:t>F</m:t>
            </m:r>
            <m:r>
              <m:rPr>
                <m:sty m:val="p"/>
              </m:rPr>
              <m:t>R</m:t>
            </m:r>
          </m:e>
          <m:sup>
            <m:r>
              <m:t>b</m:t>
            </m:r>
          </m:sup>
        </m:sSup>
      </m:oMath>
      <w:r>
        <w:t xml:space="preserve">, yielding a projected coordinate</w:t>
      </w:r>
      <w:r>
        <w:t xml:space="preserve"> </w:t>
      </w:r>
      <m:oMath>
        <m:r>
          <m:rPr>
            <m:sty m:val="p"/>
          </m:rPr>
          <m:t>log</m:t>
        </m:r>
        <m:sSub>
          <m:e>
            <m:r>
              <m:t>M</m:t>
            </m:r>
          </m:e>
          <m:sub>
            <m:r>
              <m:rPr>
                <m:sty m:val="p"/>
              </m:rPr>
              <m:t>⋆</m:t>
            </m:r>
          </m:sub>
        </m:sSub>
        <m:r>
          <m:rPr>
            <m:sty m:val="p"/>
          </m:rPr>
          <m:t>−</m:t>
        </m:r>
        <m:r>
          <m:t>α</m:t>
        </m:r>
        <m:r>
          <m:rPr>
            <m:sty m:val="p"/>
          </m:rPr>
          <m:t>log</m:t>
        </m:r>
        <m:r>
          <m:rPr>
            <m:sty m:val="p"/>
          </m:rPr>
          <m:t>S</m:t>
        </m:r>
        <m:r>
          <m:rPr>
            <m:sty m:val="p"/>
          </m:rPr>
          <m:t>F</m:t>
        </m:r>
        <m:r>
          <m:rPr>
            <m:sty m:val="p"/>
          </m:rPr>
          <m:t>R</m:t>
        </m:r>
      </m:oMath>
      <w:r>
        <w:t xml:space="preserve"> </w:t>
      </w:r>
      <w:r>
        <w:t xml:space="preserve">with</w:t>
      </w:r>
      <w:r>
        <w:t xml:space="preserve"> </w:t>
      </w:r>
      <m:oMath>
        <m:r>
          <m:t>α</m:t>
        </m:r>
        <m:r>
          <m:rPr>
            <m:sty m:val="p"/>
          </m:rPr>
          <m:t>=</m:t>
        </m:r>
        <m:r>
          <m:rPr>
            <m:sty m:val="p"/>
          </m:rPr>
          <m:t>(</m:t>
        </m:r>
        <m:r>
          <m:t>1</m:t>
        </m:r>
        <m:r>
          <m:rPr>
            <m:sty m:val="p"/>
          </m:rPr>
          <m:t>−</m:t>
        </m:r>
        <m:r>
          <m:t>b</m:t>
        </m:r>
        <m:r>
          <m:rPr>
            <m:sty m:val="p"/>
          </m:rPr>
          <m:t>)</m:t>
        </m:r>
        <m:r>
          <m:rPr>
            <m:sty m:val="p"/>
          </m:rPr>
          <m:t>/</m:t>
        </m:r>
        <m:r>
          <m:rPr>
            <m:sty m:val="p"/>
          </m:rPr>
          <m:t>(</m:t>
        </m:r>
        <m:r>
          <m:t>1</m:t>
        </m:r>
        <m:r>
          <m:rPr>
            <m:sty m:val="p"/>
          </m:rPr>
          <m:t>+</m:t>
        </m:r>
        <m:r>
          <m:t>a</m:t>
        </m:r>
        <m:r>
          <m:rPr>
            <m:sty m:val="p"/>
          </m:rPr>
          <m:t>)</m:t>
        </m:r>
      </m:oMath>
      <w:r>
        <w:t xml:space="preserve"> </w:t>
      </w:r>
      <w:r>
        <w:t xml:space="preserve">and a calibrated value near 0.55. (</w:t>
      </w:r>
      <w:hyperlink r:id="rId46">
        <w:r>
          <w:rPr>
            <w:rStyle w:val="Hyperlink"/>
          </w:rPr>
          <w:t xml:space="preserve">Wang et al. 2026</w:t>
        </w:r>
      </w:hyperlink>
      <w:r>
        <w:t xml:space="preserve">)</w:t>
      </w:r>
    </w:p>
    <w:p>
      <w:pPr>
        <w:pStyle w:val="BodyText"/>
      </w:pPr>
      <w:r>
        <w:rPr>
          <w:b/>
          <w:bCs/>
        </w:rPr>
        <w:t xml:space="preserve">Strengths.</w:t>
      </w:r>
      <w:r>
        <w:t xml:space="preserve"> </w:t>
      </w:r>
      <w:r>
        <w:t xml:space="preserve">It cleanly separates the more fundamental gas-fraction relation from the SFR projection; gives closed forms beyond the earliest limit; and embeds them in a cosmological calibration.</w:t>
      </w:r>
    </w:p>
    <w:p>
      <w:pPr>
        <w:pStyle w:val="BodyText"/>
      </w:pPr>
      <w:r>
        <w:rPr>
          <w:b/>
          <w:bCs/>
        </w:rPr>
        <w:t xml:space="preserve">Limitations relevant to this report.</w:t>
      </w:r>
      <w:r>
        <w:t xml:space="preserve"> </w:t>
      </w:r>
      <w:r>
        <w:t xml:space="preserve">The ideal closed solution fixes efficiency and cannot generate a positive SFR–metallicity residual at fixed mass. The broader population model includes a mean efficiency mapping but deliberately does not model efficiency scatter at fixed mass. Recycling, enriched inflow, and explicitly correlated short-timescale drivers are omitted. Stochastic inflow can generate individual anti-correlated excursions, but a population-level, redshift-invariant FMR requires additional calibrated structure. These limitations are acknowledged in the preprint and define the most natural extension.</w:t>
      </w:r>
    </w:p>
    <w:bookmarkEnd w:id="47"/>
    <w:bookmarkEnd w:id="48"/>
    <w:bookmarkStart w:id="55" w:name="X732cd21da702f32d682b8475fe4679f6652e64b"/>
    <w:p>
      <w:pPr>
        <w:pStyle w:val="Heading1"/>
      </w:pPr>
      <w:r>
        <w:t xml:space="preserve">5. The gFMR: gas content as the more direct coordinate</w:t>
      </w:r>
    </w:p>
    <w:p>
      <w:pPr>
        <w:pStyle w:val="FirstParagraph"/>
      </w:pPr>
      <w:r>
        <w:t xml:space="preserve">The physical argument for a gas-based relation predates the label gFMR. Closed-box and leaky-box models have always related abundance to gas fraction; the newer question is whether a tight</w:t>
      </w:r>
      <w:r>
        <w:t xml:space="preserve"> </w:t>
      </w:r>
      <m:oMath>
        <m:r>
          <m:t>Z</m:t>
        </m:r>
        <m:r>
          <m:rPr>
            <m:sty m:val="p"/>
          </m:rPr>
          <m:t>(</m:t>
        </m:r>
        <m:sSub>
          <m:e>
            <m:r>
              <m:t>M</m:t>
            </m:r>
          </m:e>
          <m:sub>
            <m:r>
              <m:rPr>
                <m:sty m:val="p"/>
              </m:rPr>
              <m:t>⋆</m:t>
            </m:r>
          </m:sub>
        </m:sSub>
        <m:r>
          <m:rPr>
            <m:sty m:val="p"/>
          </m:rPr>
          <m:t>,</m:t>
        </m:r>
        <m:sSub>
          <m:e>
            <m:r>
              <m:t>M</m:t>
            </m:r>
          </m:e>
          <m:sub>
            <m:r>
              <m:rPr>
                <m:sty m:val="p"/>
              </m:rPr>
              <m:t>g</m:t>
            </m:r>
          </m:sub>
        </m:sSub>
        <m:r>
          <m:rPr>
            <m:sty m:val="p"/>
          </m:rPr>
          <m:t>)</m:t>
        </m:r>
      </m:oMath>
      <w:r>
        <w:t xml:space="preserve"> </w:t>
      </w:r>
      <w:r>
        <w:t xml:space="preserve">surface is more fundamental than</w:t>
      </w:r>
      <w:r>
        <w:t xml:space="preserve"> </w:t>
      </w:r>
      <m:oMath>
        <m:r>
          <m:t>Z</m:t>
        </m:r>
        <m:r>
          <m:rPr>
            <m:sty m:val="p"/>
          </m:rPr>
          <m:t>(</m:t>
        </m:r>
        <m:sSub>
          <m:e>
            <m:r>
              <m:t>M</m:t>
            </m:r>
          </m:e>
          <m:sub>
            <m:r>
              <m:rPr>
                <m:sty m:val="p"/>
              </m:rPr>
              <m:t>⋆</m:t>
            </m:r>
          </m:sub>
        </m:sSub>
        <m:r>
          <m:rPr>
            <m:sty m:val="p"/>
          </m:rPr>
          <m:t>,</m:t>
        </m:r>
        <m:r>
          <m:rPr>
            <m:sty m:val="p"/>
          </m:rPr>
          <m:t>S</m:t>
        </m:r>
        <m:r>
          <m:rPr>
            <m:sty m:val="p"/>
          </m:rPr>
          <m:t>F</m:t>
        </m:r>
        <m:r>
          <m:rPr>
            <m:sty m:val="p"/>
          </m:rPr>
          <m:t>R</m:t>
        </m:r>
        <m:r>
          <m:rPr>
            <m:sty m:val="p"/>
          </m:rPr>
          <m:t>)</m:t>
        </m:r>
      </m:oMath>
      <w:r>
        <w:t xml:space="preserve">.</w:t>
      </w:r>
    </w:p>
    <w:bookmarkStart w:id="51" w:name="empirical-gas-fmr-precursors"/>
    <w:p>
      <w:pPr>
        <w:pStyle w:val="Heading2"/>
      </w:pPr>
      <w:r>
        <w:t xml:space="preserve">5.1 Empirical gas-FMR precursors</w:t>
      </w:r>
    </w:p>
    <w:p>
      <w:pPr>
        <w:pStyle w:val="FirstParagraph"/>
      </w:pPr>
      <w:r>
        <w:t xml:space="preserve">Bothwell et al. (2013) reported that HI mass is a strong third parameter of the mass–metallicity relation and argued that the apparent SFR dependence may be secondary to the gas reservoir. Bothwell et al. (2016) extended this logic to molecular gas. These are empirical conditional relations, not closed dynamical solutions; gas-selection limits and conversion factors matter. (</w:t>
      </w:r>
      <w:hyperlink r:id="rId49">
        <w:r>
          <w:rPr>
            <w:rStyle w:val="Hyperlink"/>
          </w:rPr>
          <w:t xml:space="preserve">Bothwell et al. 2013</w:t>
        </w:r>
      </w:hyperlink>
      <w:r>
        <w:t xml:space="preserve">)</w:t>
      </w:r>
      <w:r>
        <w:t xml:space="preserve"> </w:t>
      </w:r>
      <w:r>
        <w:t xml:space="preserve">(</w:t>
      </w:r>
      <w:hyperlink r:id="rId50">
        <w:r>
          <w:rPr>
            <w:rStyle w:val="Hyperlink"/>
          </w:rPr>
          <w:t xml:space="preserve">Bothwell et al. 2016</w:t>
        </w:r>
      </w:hyperlink>
      <w:r>
        <w:t xml:space="preserve">)</w:t>
      </w:r>
    </w:p>
    <w:p>
      <w:pPr>
        <w:pStyle w:val="BodyText"/>
      </w:pPr>
      <w:r>
        <w:t xml:space="preserve">Their causal interpretation is nevertheless compelling: gas mass is a state variable in the continuity equations, whereas SFR is a rate inferred from that state through an efficiency law. Replacing gas by SFR inevitably imports depletion-time scatter.</w:t>
      </w:r>
    </w:p>
    <w:bookmarkEnd w:id="51"/>
    <w:bookmarkStart w:id="53" w:name="X7f91d54740b62a4ffd6ecb8485903a79e79ac03"/>
    <w:p>
      <w:pPr>
        <w:pStyle w:val="Heading2"/>
      </w:pPr>
      <w:r>
        <w:t xml:space="preserve">5.2 Ascasibar et al. (2015): stellar fraction and metallicity</w:t>
      </w:r>
    </w:p>
    <w:p>
      <w:pPr>
        <w:pStyle w:val="FirstParagraph"/>
      </w:pPr>
      <w:r>
        <w:t xml:space="preserve">Ascasibar et al. derive a general relation between metal abundance and the stellar-to-gas ratio, applicable globally and on kpc scales. In their notation the abundance-like variable</w:t>
      </w:r>
      <w:r>
        <w:t xml:space="preserve"> </w:t>
      </w:r>
      <m:oMath>
        <m:r>
          <m:t>χ</m:t>
        </m:r>
      </m:oMath>
      <w:r>
        <w:t xml:space="preserve"> </w:t>
      </w:r>
      <w:r>
        <w:t xml:space="preserve">has the rational form</w:t>
      </w:r>
    </w:p>
    <w:p>
      <w:pPr>
        <w:pStyle w:val="BodyText"/>
      </w:pPr>
      <m:oMathPara>
        <m:oMathParaPr>
          <m:jc m:val="center"/>
        </m:oMathParaPr>
        <m:oMath>
          <m:r>
            <m:t>χ</m:t>
          </m:r>
          <m:r>
            <m:rPr>
              <m:sty m:val="p"/>
            </m:rPr>
            <m:t>=</m:t>
          </m:r>
          <m:f>
            <m:fPr>
              <m:type m:val="bar"/>
            </m:fPr>
            <m:num>
              <m:r>
                <m:rPr>
                  <m:sty m:val="p"/>
                </m:rPr>
                <m:t>(</m:t>
              </m:r>
              <m:r>
                <m:t>1</m:t>
              </m:r>
              <m:r>
                <m:rPr>
                  <m:sty m:val="p"/>
                </m:rPr>
                <m:t>−</m:t>
              </m:r>
              <m:sSub>
                <m:e>
                  <m:acc>
                    <m:accPr>
                      <m:chr m:val="‾"/>
                    </m:accPr>
                    <m:e>
                      <m:r>
                        <m:t>ϵ</m:t>
                      </m:r>
                    </m:e>
                  </m:acc>
                </m:e>
                <m:sub>
                  <m:r>
                    <m:t>w</m:t>
                  </m:r>
                </m:sub>
              </m:sSub>
              <m:r>
                <m:rPr>
                  <m:sty m:val="p"/>
                </m:rPr>
                <m:t>)</m:t>
              </m:r>
              <m:sSub>
                <m:e>
                  <m:acc>
                    <m:accPr>
                      <m:chr m:val="‾"/>
                    </m:accPr>
                    <m:e>
                      <m:r>
                        <m:t>χ</m:t>
                      </m:r>
                    </m:e>
                  </m:acc>
                </m:e>
                <m:sub>
                  <m:r>
                    <m:rPr>
                      <m:sty m:val="p"/>
                    </m:rPr>
                    <m:t>S</m:t>
                  </m:r>
                  <m:r>
                    <m:rPr>
                      <m:sty m:val="p"/>
                    </m:rPr>
                    <m:t>N</m:t>
                  </m:r>
                </m:sub>
              </m:sSub>
              <m:d>
                <m:dPr>
                  <m:begChr m:val="["/>
                  <m:sepChr m:val=""/>
                  <m:endChr m:val="]"/>
                  <m:grow/>
                </m:dPr>
                <m:e>
                  <m:f>
                    <m:fPr>
                      <m:type m:val="bar"/>
                    </m:fPr>
                    <m:num>
                      <m:r>
                        <m:t>R</m:t>
                      </m:r>
                    </m:num>
                    <m:den>
                      <m:r>
                        <m:t>1</m:t>
                      </m:r>
                      <m:r>
                        <m:rPr>
                          <m:sty m:val="p"/>
                        </m:rPr>
                        <m:t>−</m:t>
                      </m:r>
                      <m:r>
                        <m:t>R</m:t>
                      </m:r>
                    </m:den>
                  </m:f>
                  <m:f>
                    <m:fPr>
                      <m:type m:val="bar"/>
                    </m:fPr>
                    <m:num>
                      <m:sSub>
                        <m:e>
                          <m:r>
                            <m:t>M</m:t>
                          </m:r>
                        </m:e>
                        <m:sub>
                          <m:r>
                            <m:rPr>
                              <m:sty m:val="p"/>
                            </m:rPr>
                            <m:t>⋆</m:t>
                          </m:r>
                        </m:sub>
                      </m:sSub>
                    </m:num>
                    <m:den>
                      <m:sSub>
                        <m:e>
                          <m:r>
                            <m:t>M</m:t>
                          </m:r>
                        </m:e>
                        <m:sub>
                          <m:r>
                            <m:rPr>
                              <m:sty m:val="p"/>
                            </m:rPr>
                            <m:t>g</m:t>
                          </m:r>
                        </m:sub>
                      </m:sSub>
                    </m:den>
                  </m:f>
                </m:e>
              </m:d>
            </m:num>
            <m:den>
              <m:r>
                <m:t>1</m:t>
              </m:r>
              <m:r>
                <m:rPr>
                  <m:sty m:val="p"/>
                </m:rPr>
                <m:t>+</m:t>
              </m:r>
              <m:r>
                <m:rPr>
                  <m:sty m:val="p"/>
                </m:rPr>
                <m:t>Υ</m:t>
              </m:r>
              <m:d>
                <m:dPr>
                  <m:begChr m:val="["/>
                  <m:sepChr m:val=""/>
                  <m:endChr m:val="]"/>
                  <m:grow/>
                </m:dPr>
                <m:e>
                  <m:f>
                    <m:fPr>
                      <m:type m:val="bar"/>
                    </m:fPr>
                    <m:num>
                      <m:r>
                        <m:t>R</m:t>
                      </m:r>
                    </m:num>
                    <m:den>
                      <m:r>
                        <m:t>1</m:t>
                      </m:r>
                      <m:r>
                        <m:rPr>
                          <m:sty m:val="p"/>
                        </m:rPr>
                        <m:t>−</m:t>
                      </m:r>
                      <m:r>
                        <m:t>R</m:t>
                      </m:r>
                    </m:den>
                  </m:f>
                  <m:f>
                    <m:fPr>
                      <m:type m:val="bar"/>
                    </m:fPr>
                    <m:num>
                      <m:sSub>
                        <m:e>
                          <m:r>
                            <m:t>M</m:t>
                          </m:r>
                        </m:e>
                        <m:sub>
                          <m:r>
                            <m:rPr>
                              <m:sty m:val="p"/>
                            </m:rPr>
                            <m:t>⋆</m:t>
                          </m:r>
                        </m:sub>
                      </m:sSub>
                    </m:num>
                    <m:den>
                      <m:sSub>
                        <m:e>
                          <m:r>
                            <m:t>M</m:t>
                          </m:r>
                        </m:e>
                        <m:sub>
                          <m:r>
                            <m:rPr>
                              <m:sty m:val="p"/>
                            </m:rPr>
                            <m:t>g</m:t>
                          </m:r>
                        </m:sub>
                      </m:sSub>
                    </m:den>
                  </m:f>
                </m:e>
              </m:d>
            </m:den>
          </m:f>
          <m:r>
            <m:rPr>
              <m:sty m:val="p"/>
            </m:rPr>
            <m:t>.</m:t>
          </m:r>
        </m:oMath>
      </m:oMathPara>
    </w:p>
    <w:p>
      <w:pPr>
        <w:pStyle w:val="FirstParagraph"/>
      </w:pPr>
      <w:r>
        <w:t xml:space="preserve">It is linear in</w:t>
      </w:r>
      <w:r>
        <w:t xml:space="preserve"> </w:t>
      </w:r>
      <m:oMath>
        <m:sSub>
          <m:e>
            <m:r>
              <m:t>M</m:t>
            </m:r>
          </m:e>
          <m:sub>
            <m:r>
              <m:rPr>
                <m:sty m:val="p"/>
              </m:rPr>
              <m:t>⋆</m:t>
            </m:r>
          </m:sub>
        </m:sSub>
        <m:r>
          <m:rPr>
            <m:sty m:val="p"/>
          </m:rPr>
          <m:t>/</m:t>
        </m:r>
        <m:sSub>
          <m:e>
            <m:r>
              <m:t>M</m:t>
            </m:r>
          </m:e>
          <m:sub>
            <m:r>
              <m:rPr>
                <m:sty m:val="p"/>
              </m:rPr>
              <m:t>g</m:t>
            </m:r>
          </m:sub>
        </m:sSub>
      </m:oMath>
      <w:r>
        <w:t xml:space="preserve"> </w:t>
      </w:r>
      <w:r>
        <w:t xml:space="preserve">in the gas-rich limit and saturates in the gas-poor limit. The relation is argued to be relatively insensitive to the detailed infall and star-formation history and is tested with integrated galaxies and resolved regions in NGC 628 and NGC 3184. (</w:t>
      </w:r>
      <w:hyperlink r:id="rId52">
        <w:r>
          <w:rPr>
            <w:rStyle w:val="Hyperlink"/>
          </w:rPr>
          <w:t xml:space="preserve">Ascasibar et al. 2015</w:t>
        </w:r>
      </w:hyperlink>
      <w:r>
        <w:t xml:space="preserve">)</w:t>
      </w:r>
    </w:p>
    <w:p>
      <w:pPr>
        <w:pStyle w:val="BodyText"/>
      </w:pPr>
      <w:r>
        <w:t xml:space="preserve">This is a direct analytical precursor to the Wang gFMR. Its strengths are the transparent limiting behaviour and global/local applicability. Its parameters combine yields, stellar mass return, and metal loss, so calibration degeneracies remain. It contains no explicit SFR; an FMR sign appears only after imposing a star-formation law.</w:t>
      </w:r>
    </w:p>
    <w:bookmarkEnd w:id="53"/>
    <w:bookmarkStart w:id="54" w:name="wang-et-al.-2026-why-the-gfmr-is-cleaner"/>
    <w:p>
      <w:pPr>
        <w:pStyle w:val="Heading2"/>
      </w:pPr>
      <w:r>
        <w:t xml:space="preserve">5.3 Wang et al. (2026): why the gFMR is cleaner</w:t>
      </w:r>
    </w:p>
    <w:p>
      <w:pPr>
        <w:pStyle w:val="FirstParagraph"/>
      </w:pPr>
      <w:r>
        <w:t xml:space="preserve">The Wang inflow-limit result,</w:t>
      </w:r>
    </w:p>
    <w:p>
      <w:pPr>
        <w:pStyle w:val="BodyText"/>
      </w:pPr>
      <m:oMathPara>
        <m:oMathParaPr>
          <m:jc m:val="center"/>
        </m:oMathParaPr>
        <m:oMath>
          <m:sSub>
            <m:e>
              <m:r>
                <m:t>Z</m:t>
              </m:r>
            </m:e>
            <m:sub>
              <m:r>
                <m:rPr>
                  <m:sty m:val="p"/>
                </m:rPr>
                <m:t>g</m:t>
              </m:r>
            </m:sub>
          </m:sSub>
          <m:r>
            <m:rPr>
              <m:sty m:val="p"/>
            </m:rPr>
            <m:t>=</m:t>
          </m:r>
          <m:f>
            <m:fPr>
              <m:type m:val="bar"/>
            </m:fPr>
            <m:num>
              <m:r>
                <m:t>y</m:t>
              </m:r>
            </m:num>
            <m:den>
              <m:r>
                <m:t>1</m:t>
              </m:r>
              <m:r>
                <m:rPr>
                  <m:sty m:val="p"/>
                </m:rPr>
                <m:t>−</m:t>
              </m:r>
              <m:r>
                <m:t>R</m:t>
              </m:r>
            </m:den>
          </m:f>
          <m:f>
            <m:fPr>
              <m:type m:val="bar"/>
            </m:fPr>
            <m:num>
              <m:sSub>
                <m:e>
                  <m:r>
                    <m:t>M</m:t>
                  </m:r>
                </m:e>
                <m:sub>
                  <m:r>
                    <m:rPr>
                      <m:sty m:val="p"/>
                    </m:rPr>
                    <m:t>⋆</m:t>
                  </m:r>
                </m:sub>
              </m:sSub>
            </m:num>
            <m:den>
              <m:sSub>
                <m:e>
                  <m:r>
                    <m:t>M</m:t>
                  </m:r>
                </m:e>
                <m:sub>
                  <m:r>
                    <m:rPr>
                      <m:sty m:val="p"/>
                    </m:rPr>
                    <m:t>g</m:t>
                  </m:r>
                </m:sub>
              </m:sSub>
            </m:den>
          </m:f>
          <m:r>
            <m:rPr>
              <m:sty m:val="p"/>
            </m:rPr>
            <m:t>,</m:t>
          </m:r>
        </m:oMath>
      </m:oMathPara>
    </w:p>
    <w:p>
      <w:pPr>
        <w:pStyle w:val="FirstParagraph"/>
      </w:pPr>
      <w:r>
        <w:t xml:space="preserve">is the simplest analytical statement found in this search. It says that gas metallicity measures integrated star formation per unit current gas, before equilibrium corrections. The full solution adds two dimensionless functions of</w:t>
      </w:r>
      <w:r>
        <w:t xml:space="preserve"> </w:t>
      </w:r>
      <m:oMath>
        <m:r>
          <m:t>t</m:t>
        </m:r>
        <m:r>
          <m:rPr>
            <m:sty m:val="p"/>
          </m:rPr>
          <m:t>/</m:t>
        </m:r>
        <m:sSub>
          <m:e>
            <m:r>
              <m:t>τ</m:t>
            </m:r>
          </m:e>
          <m:sub>
            <m:r>
              <m:rPr>
                <m:sty m:val="p"/>
              </m:rPr>
              <m:t>e</m:t>
            </m:r>
            <m:r>
              <m:rPr>
                <m:sty m:val="p"/>
              </m:rPr>
              <m:t>q</m:t>
            </m:r>
          </m:sub>
        </m:sSub>
      </m:oMath>
      <w:r>
        <w:t xml:space="preserve"> </w:t>
      </w:r>
      <w:r>
        <w:t xml:space="preserve">and the loading factor. Their model finds the gFMR tighter and more directly physical than the standard FMR, while the observed FMR is a projection through</w:t>
      </w:r>
      <w:r>
        <w:t xml:space="preserve"> </w:t>
      </w:r>
      <m:oMath>
        <m:r>
          <m:t>ϵ</m:t>
        </m:r>
        <m:r>
          <m:rPr>
            <m:sty m:val="p"/>
          </m:rPr>
          <m:t>(</m:t>
        </m:r>
        <m:sSub>
          <m:e>
            <m:r>
              <m:t>M</m:t>
            </m:r>
          </m:e>
          <m:sub>
            <m:r>
              <m:rPr>
                <m:sty m:val="p"/>
              </m:rPr>
              <m:t>⋆</m:t>
            </m:r>
          </m:sub>
        </m:sSub>
        <m:r>
          <m:rPr>
            <m:sty m:val="p"/>
          </m:rPr>
          <m:t>,</m:t>
        </m:r>
        <m:r>
          <m:rPr>
            <m:sty m:val="p"/>
          </m:rPr>
          <m:t>S</m:t>
        </m:r>
        <m:r>
          <m:rPr>
            <m:sty m:val="p"/>
          </m:rPr>
          <m:t>F</m:t>
        </m:r>
        <m:r>
          <m:rPr>
            <m:sty m:val="p"/>
          </m:rPr>
          <m:t>R</m:t>
        </m:r>
        <m:r>
          <m:rPr>
            <m:sty m:val="p"/>
          </m:rPr>
          <m:t>)</m:t>
        </m:r>
      </m:oMath>
      <w:r>
        <w:t xml:space="preserve">. (</w:t>
      </w:r>
      <w:hyperlink r:id="rId12">
        <w:r>
          <w:rPr>
            <w:rStyle w:val="Hyperlink"/>
          </w:rPr>
          <w:t xml:space="preserve">Wang et al. 2026</w:t>
        </w:r>
      </w:hyperlink>
      <w:r>
        <w:t xml:space="preserve">)</w:t>
      </w:r>
    </w:p>
    <w:p>
      <w:pPr>
        <w:pStyle w:val="BodyText"/>
      </w:pPr>
      <w:r>
        <w:t xml:space="preserve">This hierarchy has an immediate test: at fixed stellar mass, metallicity should anti-correlate more fundamentally with gas mass than with SFR. If depletion-time variations drive a positive SFR–</w:t>
      </w:r>
      <m:oMath>
        <m:r>
          <m:t>Z</m:t>
        </m:r>
      </m:oMath>
      <w:r>
        <w:t xml:space="preserve"> </w:t>
      </w:r>
      <w:r>
        <w:t xml:space="preserve">branch, the gas-mass residual can remain negative even while the SFR residual turns positive. Wang &amp; Lilly (2021) explicitly identify this difference between gas and SFR responses under efficiency forcing. (</w:t>
      </w:r>
      <w:hyperlink r:id="rId13">
        <w:r>
          <w:rPr>
            <w:rStyle w:val="Hyperlink"/>
          </w:rPr>
          <w:t xml:space="preserve">Wang &amp; Lilly 2021</w:t>
        </w:r>
      </w:hyperlink>
      <w:r>
        <w:t xml:space="preserve">)</w:t>
      </w:r>
    </w:p>
    <w:bookmarkEnd w:id="54"/>
    <w:bookmarkEnd w:id="55"/>
    <w:bookmarkStart w:id="66" w:name="resolved-and-local-analytical-models"/>
    <w:p>
      <w:pPr>
        <w:pStyle w:val="Heading1"/>
      </w:pPr>
      <w:r>
        <w:t xml:space="preserve">6. Resolved and local analytical models</w:t>
      </w:r>
    </w:p>
    <w:bookmarkStart w:id="57" w:name="Xa154b10e23078602384543b2694f8dbe63162bf"/>
    <w:p>
      <w:pPr>
        <w:pStyle w:val="Heading2"/>
      </w:pPr>
      <w:r>
        <w:t xml:space="preserve">6.1 Carton et al. (2015): annular equilibrium regulator</w:t>
      </w:r>
    </w:p>
    <w:p>
      <w:pPr>
        <w:pStyle w:val="FirstParagraph"/>
      </w:pPr>
      <w:r>
        <w:t xml:space="preserve">Carton et al. apply a Lilly-like regulator independently to radial annuli. With</w:t>
      </w:r>
      <w:r>
        <w:t xml:space="preserve"> </w:t>
      </w:r>
      <m:oMath>
        <m:sSub>
          <m:e>
            <m:r>
              <m:t>r</m:t>
            </m:r>
          </m:e>
          <m:sub>
            <m:r>
              <m:rPr>
                <m:sty m:val="p"/>
              </m:rPr>
              <m:t>g</m:t>
            </m:r>
            <m:r>
              <m:rPr>
                <m:sty m:val="p"/>
              </m:rPr>
              <m:t>a</m:t>
            </m:r>
            <m:r>
              <m:rPr>
                <m:sty m:val="p"/>
              </m:rPr>
              <m:t>s</m:t>
            </m:r>
          </m:sub>
        </m:sSub>
        <m:r>
          <m:rPr>
            <m:sty m:val="p"/>
          </m:rPr>
          <m:t>=</m:t>
        </m:r>
        <m:sSub>
          <m:e>
            <m:r>
              <m:t>M</m:t>
            </m:r>
          </m:e>
          <m:sub>
            <m:r>
              <m:rPr>
                <m:sty m:val="p"/>
              </m:rPr>
              <m:t>g</m:t>
            </m:r>
            <m:r>
              <m:rPr>
                <m:sty m:val="p"/>
              </m:rPr>
              <m:t>a</m:t>
            </m:r>
            <m:r>
              <m:rPr>
                <m:sty m:val="p"/>
              </m:rPr>
              <m:t>s</m:t>
            </m:r>
          </m:sub>
        </m:sSub>
        <m:r>
          <m:rPr>
            <m:sty m:val="p"/>
          </m:rPr>
          <m:t>/</m:t>
        </m:r>
        <m:sSub>
          <m:e>
            <m:r>
              <m:t>M</m:t>
            </m:r>
          </m:e>
          <m:sub>
            <m:r>
              <m:rPr>
                <m:sty m:val="p"/>
              </m:rPr>
              <m:t>⋆</m:t>
            </m:r>
          </m:sub>
        </m:sSub>
        <m:r>
          <m:rPr>
            <m:sty m:val="p"/>
          </m:rPr>
          <m:t>=</m:t>
        </m:r>
        <m:sSup>
          <m:e>
            <m:r>
              <m:t>ϵ</m:t>
            </m:r>
          </m:e>
          <m:sup>
            <m:r>
              <m:rPr>
                <m:sty m:val="p"/>
              </m:rPr>
              <m:t>−</m:t>
            </m:r>
            <m:r>
              <m:t>1</m:t>
            </m:r>
          </m:sup>
        </m:sSup>
        <m:r>
          <m:rPr>
            <m:sty m:val="p"/>
          </m:rPr>
          <m:t>s</m:t>
        </m:r>
        <m:r>
          <m:rPr>
            <m:sty m:val="p"/>
          </m:rPr>
          <m:t>S</m:t>
        </m:r>
        <m:r>
          <m:rPr>
            <m:sty m:val="p"/>
          </m:rPr>
          <m:t>F</m:t>
        </m:r>
        <m:r>
          <m:rPr>
            <m:sty m:val="p"/>
          </m:rPr>
          <m:t>R</m:t>
        </m:r>
      </m:oMath>
      <w:r>
        <w:t xml:space="preserve">, their gas continuity gives an inferred inflow</w:t>
      </w:r>
    </w:p>
    <w:p>
      <w:pPr>
        <w:pStyle w:val="BodyText"/>
      </w:pPr>
      <m:oMathPara>
        <m:oMathParaPr>
          <m:jc m:val="center"/>
        </m:oMathParaPr>
        <m:oMath>
          <m:sSub>
            <m:e>
              <m:acc>
                <m:accPr>
                  <m:chr m:val="̇"/>
                </m:accPr>
                <m:e>
                  <m:r>
                    <m:t>M</m:t>
                  </m:r>
                </m:e>
              </m:acc>
            </m:e>
            <m:sub>
              <m:r>
                <m:rPr>
                  <m:sty m:val="p"/>
                </m:rPr>
                <m:t>i</m:t>
              </m:r>
              <m:r>
                <m:rPr>
                  <m:sty m:val="p"/>
                </m:rPr>
                <m:t>n</m:t>
              </m:r>
            </m:sub>
          </m:sSub>
          <m:r>
            <m:rPr>
              <m:sty m:val="p"/>
            </m:rPr>
            <m:t>=</m:t>
          </m:r>
          <m:d>
            <m:dPr>
              <m:begChr m:val="["/>
              <m:sepChr m:val=""/>
              <m:endChr m:val="]"/>
              <m:grow/>
            </m:dPr>
            <m:e>
              <m:r>
                <m:rPr>
                  <m:sty m:val="p"/>
                </m:rPr>
                <m:t>(</m:t>
              </m:r>
              <m:r>
                <m:t>1</m:t>
              </m:r>
              <m:r>
                <m:rPr>
                  <m:sty m:val="p"/>
                </m:rPr>
                <m:t>−</m:t>
              </m:r>
              <m:r>
                <m:t>R</m:t>
              </m:r>
              <m:r>
                <m:rPr>
                  <m:sty m:val="p"/>
                </m:rPr>
                <m:t>)</m:t>
              </m:r>
              <m:r>
                <m:rPr>
                  <m:sty m:val="p"/>
                </m:rPr>
                <m:t>(</m:t>
              </m:r>
              <m:r>
                <m:t>1</m:t>
              </m:r>
              <m:r>
                <m:rPr>
                  <m:sty m:val="p"/>
                </m:rPr>
                <m:t>+</m:t>
              </m:r>
              <m:sSub>
                <m:e>
                  <m:r>
                    <m:t>r</m:t>
                  </m:r>
                </m:e>
                <m:sub>
                  <m:r>
                    <m:rPr>
                      <m:sty m:val="p"/>
                    </m:rPr>
                    <m:t>g</m:t>
                  </m:r>
                  <m:r>
                    <m:rPr>
                      <m:sty m:val="p"/>
                    </m:rPr>
                    <m:t>a</m:t>
                  </m:r>
                  <m:r>
                    <m:rPr>
                      <m:sty m:val="p"/>
                    </m:rPr>
                    <m:t>s</m:t>
                  </m:r>
                </m:sub>
              </m:sSub>
              <m:r>
                <m:rPr>
                  <m:sty m:val="p"/>
                </m:rPr>
                <m:t>)</m:t>
              </m:r>
              <m:r>
                <m:rPr>
                  <m:sty m:val="p"/>
                </m:rPr>
                <m:t>+</m:t>
              </m:r>
              <m:r>
                <m:t>λ</m:t>
              </m:r>
              <m:r>
                <m:rPr>
                  <m:sty m:val="p"/>
                </m:rPr>
                <m:t>+</m:t>
              </m:r>
              <m:sSup>
                <m:e>
                  <m:r>
                    <m:t>ϵ</m:t>
                  </m:r>
                </m:e>
                <m:sup>
                  <m:r>
                    <m:rPr>
                      <m:sty m:val="p"/>
                    </m:rPr>
                    <m:t>−</m:t>
                  </m:r>
                  <m:r>
                    <m:t>1</m:t>
                  </m:r>
                </m:sup>
              </m:sSup>
              <m:f>
                <m:fPr>
                  <m:type m:val="bar"/>
                </m:fPr>
                <m:num>
                  <m:r>
                    <m:rPr>
                      <m:sty m:val="p"/>
                    </m:rPr>
                    <m:t>d</m:t>
                  </m:r>
                  <m:r>
                    <m:rPr>
                      <m:sty m:val="p"/>
                    </m:rPr>
                    <m:t>ln</m:t>
                  </m:r>
                  <m:sSub>
                    <m:e>
                      <m:r>
                        <m:t>r</m:t>
                      </m:r>
                    </m:e>
                    <m:sub>
                      <m:r>
                        <m:rPr>
                          <m:sty m:val="p"/>
                        </m:rPr>
                        <m:t>g</m:t>
                      </m:r>
                      <m:r>
                        <m:rPr>
                          <m:sty m:val="p"/>
                        </m:rPr>
                        <m:t>a</m:t>
                      </m:r>
                      <m:r>
                        <m:rPr>
                          <m:sty m:val="p"/>
                        </m:rPr>
                        <m:t>s</m:t>
                      </m:r>
                    </m:sub>
                  </m:sSub>
                </m:num>
                <m:den>
                  <m:r>
                    <m:rPr>
                      <m:sty m:val="p"/>
                    </m:rPr>
                    <m:t>d</m:t>
                  </m:r>
                  <m:r>
                    <m:t>t</m:t>
                  </m:r>
                </m:den>
              </m:f>
            </m:e>
          </m:d>
          <m:r>
            <m:rPr>
              <m:sty m:val="p"/>
            </m:rPr>
            <m:t>S</m:t>
          </m:r>
          <m:r>
            <m:rPr>
              <m:sty m:val="p"/>
            </m:rPr>
            <m:t>F</m:t>
          </m:r>
          <m:r>
            <m:rPr>
              <m:sty m:val="p"/>
            </m:rPr>
            <m:t>R</m:t>
          </m:r>
          <m:r>
            <m:rPr>
              <m:sty m:val="p"/>
            </m:rPr>
            <m:t>,</m:t>
          </m:r>
        </m:oMath>
      </m:oMathPara>
    </w:p>
    <w:p>
      <w:pPr>
        <w:pStyle w:val="FirstParagraph"/>
      </w:pPr>
      <w:r>
        <w:t xml:space="preserve">and the local equilibrium abundance is</w:t>
      </w:r>
    </w:p>
    <w:p>
      <w:pPr>
        <w:pStyle w:val="BodyText"/>
      </w:pPr>
      <m:oMathPara>
        <m:oMathParaPr>
          <m:jc m:val="center"/>
        </m:oMathParaPr>
        <m:oMath>
          <m:sSub>
            <m:e>
              <m:r>
                <m:t>Z</m:t>
              </m:r>
            </m:e>
            <m:sub>
              <m:r>
                <m:rPr>
                  <m:sty m:val="p"/>
                </m:rPr>
                <m:t>e</m:t>
              </m:r>
              <m:r>
                <m:rPr>
                  <m:sty m:val="p"/>
                </m:rPr>
                <m:t>q</m:t>
              </m:r>
            </m:sub>
          </m:sSub>
          <m:r>
            <m:rPr>
              <m:sty m:val="p"/>
            </m:rPr>
            <m:t>=</m:t>
          </m:r>
          <m:sSub>
            <m:e>
              <m:r>
                <m:t>Z</m:t>
              </m:r>
            </m:e>
            <m:sub>
              <m:r>
                <m:t>0</m:t>
              </m:r>
            </m:sub>
          </m:sSub>
          <m:r>
            <m:rPr>
              <m:sty m:val="p"/>
            </m:rPr>
            <m:t>+</m:t>
          </m:r>
          <m:f>
            <m:fPr>
              <m:type m:val="bar"/>
            </m:fPr>
            <m:num>
              <m:r>
                <m:t>y</m:t>
              </m:r>
            </m:num>
            <m:den>
              <m:r>
                <m:t>1</m:t>
              </m:r>
              <m:r>
                <m:rPr>
                  <m:sty m:val="p"/>
                </m:rPr>
                <m:t>+</m:t>
              </m:r>
              <m:sSub>
                <m:e>
                  <m:r>
                    <m:t>r</m:t>
                  </m:r>
                </m:e>
                <m:sub>
                  <m:r>
                    <m:rPr>
                      <m:sty m:val="p"/>
                    </m:rPr>
                    <m:t>g</m:t>
                  </m:r>
                  <m:r>
                    <m:rPr>
                      <m:sty m:val="p"/>
                    </m:rPr>
                    <m:t>a</m:t>
                  </m:r>
                  <m:r>
                    <m:rPr>
                      <m:sty m:val="p"/>
                    </m:rPr>
                    <m:t>s</m:t>
                  </m:r>
                </m:sub>
              </m:sSub>
              <m:r>
                <m:rPr>
                  <m:sty m:val="p"/>
                </m:rPr>
                <m:t>+</m:t>
              </m:r>
              <m:r>
                <m:rPr>
                  <m:sty m:val="p"/>
                </m:rPr>
                <m:t>(</m:t>
              </m:r>
              <m:r>
                <m:t>1</m:t>
              </m:r>
              <m:r>
                <m:rPr>
                  <m:sty m:val="p"/>
                </m:rPr>
                <m:t>−</m:t>
              </m:r>
              <m:r>
                <m:t>R</m:t>
              </m:r>
              <m:sSup>
                <m:e>
                  <m:r>
                    <m:rPr>
                      <m:sty m:val="p"/>
                    </m:rPr>
                    <m:t>)</m:t>
                  </m:r>
                </m:e>
                <m:sup>
                  <m:r>
                    <m:rPr>
                      <m:sty m:val="p"/>
                    </m:rPr>
                    <m:t>−</m:t>
                  </m:r>
                  <m:r>
                    <m:t>1</m:t>
                  </m:r>
                </m:sup>
              </m:sSup>
              <m:d>
                <m:dPr>
                  <m:begChr m:val="("/>
                  <m:sepChr m:val=""/>
                  <m:endChr m:val=")"/>
                  <m:grow/>
                </m:dPr>
                <m:e>
                  <m:r>
                    <m:t>λ</m:t>
                  </m:r>
                  <m:r>
                    <m:rPr>
                      <m:sty m:val="p"/>
                    </m:rPr>
                    <m:t>+</m:t>
                  </m:r>
                  <m:sSup>
                    <m:e>
                      <m:r>
                        <m:t>ϵ</m:t>
                      </m:r>
                    </m:e>
                    <m:sup>
                      <m:r>
                        <m:rPr>
                          <m:sty m:val="p"/>
                        </m:rPr>
                        <m:t>−</m:t>
                      </m:r>
                      <m:r>
                        <m:t>1</m:t>
                      </m:r>
                    </m:sup>
                  </m:sSup>
                  <m:r>
                    <m:rPr>
                      <m:sty m:val="p"/>
                    </m:rPr>
                    <m:t>d</m:t>
                  </m:r>
                  <m:r>
                    <m:rPr>
                      <m:sty m:val="p"/>
                    </m:rPr>
                    <m:t>ln</m:t>
                  </m:r>
                  <m:sSub>
                    <m:e>
                      <m:r>
                        <m:t>r</m:t>
                      </m:r>
                    </m:e>
                    <m:sub>
                      <m:r>
                        <m:rPr>
                          <m:sty m:val="p"/>
                        </m:rPr>
                        <m:t>g</m:t>
                      </m:r>
                      <m:r>
                        <m:rPr>
                          <m:sty m:val="p"/>
                        </m:rPr>
                        <m:t>a</m:t>
                      </m:r>
                      <m:r>
                        <m:rPr>
                          <m:sty m:val="p"/>
                        </m:rPr>
                        <m:t>s</m:t>
                      </m:r>
                    </m:sub>
                  </m:sSub>
                  <m:r>
                    <m:rPr>
                      <m:sty m:val="p"/>
                    </m:rPr>
                    <m:t>/</m:t>
                  </m:r>
                  <m:r>
                    <m:rPr>
                      <m:sty m:val="p"/>
                    </m:rPr>
                    <m:t>d</m:t>
                  </m:r>
                  <m:r>
                    <m:t>t</m:t>
                  </m:r>
                </m:e>
              </m:d>
            </m:den>
          </m:f>
          <m:r>
            <m:rPr>
              <m:sty m:val="p"/>
            </m:rPr>
            <m:t>.</m:t>
          </m:r>
        </m:oMath>
      </m:oMathPara>
    </w:p>
    <w:p>
      <w:pPr>
        <w:pStyle w:val="FirstParagraph"/>
      </w:pPr>
      <w:r>
        <w:t xml:space="preserve">They fit metallicity profiles of 50 Bluedisk galaxies and show that the radial gas-to-stellar ratio is central to the gradient. (</w:t>
      </w:r>
      <w:hyperlink r:id="rId56">
        <w:r>
          <w:rPr>
            <w:rStyle w:val="Hyperlink"/>
          </w:rPr>
          <w:t xml:space="preserve">Carton et al. 2015</w:t>
        </w:r>
      </w:hyperlink>
      <w:r>
        <w:t xml:space="preserve">)</w:t>
      </w:r>
    </w:p>
    <w:p>
      <w:pPr>
        <w:pStyle w:val="BodyText"/>
      </w:pPr>
      <w:r>
        <w:t xml:space="preserve">The model is analytical and resolved, but it is better described as a</w:t>
      </w:r>
      <w:r>
        <w:t xml:space="preserve"> </w:t>
      </w:r>
      <w:r>
        <w:rPr>
          <w:b/>
          <w:bCs/>
        </w:rPr>
        <w:t xml:space="preserve">local metallicity-profile regulator</w:t>
      </w:r>
      <w:r>
        <w:t xml:space="preserve"> </w:t>
      </w:r>
      <w:r>
        <w:t xml:space="preserve">than a complete rFMR residual model. It assumes annular equilibrium, zero radial exchange between annuli in the basic form, and a prescribed efficiency; yield, inflow metallicity, and loading are highly degenerate. Because</w:t>
      </w:r>
      <w:r>
        <w:t xml:space="preserve"> </w:t>
      </w:r>
      <m:oMath>
        <m:sSub>
          <m:e>
            <m:r>
              <m:t>r</m:t>
            </m:r>
          </m:e>
          <m:sub>
            <m:r>
              <m:rPr>
                <m:sty m:val="p"/>
              </m:rPr>
              <m:t>g</m:t>
            </m:r>
            <m:r>
              <m:rPr>
                <m:sty m:val="p"/>
              </m:rPr>
              <m:t>a</m:t>
            </m:r>
            <m:r>
              <m:rPr>
                <m:sty m:val="p"/>
              </m:rPr>
              <m:t>s</m:t>
            </m:r>
          </m:sub>
        </m:sSub>
        <m:r>
          <m:rPr>
            <m:sty m:val="p"/>
          </m:rPr>
          <m:t>=</m:t>
        </m:r>
        <m:sSup>
          <m:e>
            <m:r>
              <m:t>ϵ</m:t>
            </m:r>
          </m:e>
          <m:sup>
            <m:r>
              <m:rPr>
                <m:sty m:val="p"/>
              </m:rPr>
              <m:t>−</m:t>
            </m:r>
            <m:r>
              <m:t>1</m:t>
            </m:r>
          </m:sup>
        </m:sSup>
        <m:r>
          <m:rPr>
            <m:sty m:val="p"/>
          </m:rPr>
          <m:t>s</m:t>
        </m:r>
        <m:r>
          <m:rPr>
            <m:sty m:val="p"/>
          </m:rPr>
          <m:t>S</m:t>
        </m:r>
        <m:r>
          <m:rPr>
            <m:sty m:val="p"/>
          </m:rPr>
          <m:t>F</m:t>
        </m:r>
        <m:r>
          <m:rPr>
            <m:sty m:val="p"/>
          </m:rPr>
          <m:t>R</m:t>
        </m:r>
      </m:oMath>
      <w:r>
        <w:t xml:space="preserve">, interpreting an sSFR residual as gas supply or as efficiency requires independent gas data.</w:t>
      </w:r>
    </w:p>
    <w:bookmarkEnd w:id="57"/>
    <w:bookmarkStart w:id="59" w:name="Xfc57652314340032a11d209d998225b10cfe051"/>
    <w:p>
      <w:pPr>
        <w:pStyle w:val="Heading2"/>
      </w:pPr>
      <w:r>
        <w:t xml:space="preserve">6.2 Sánchez Almeida &amp; Sánchez-Menguiano (2019): local-to-global mapping</w:t>
      </w:r>
    </w:p>
    <w:p>
      <w:pPr>
        <w:pStyle w:val="FirstParagraph"/>
      </w:pPr>
      <w:r>
        <w:t xml:space="preserve">This paper starts from a local residual law</w:t>
      </w:r>
    </w:p>
    <w:p>
      <w:pPr>
        <w:pStyle w:val="BodyText"/>
      </w:pPr>
      <m:oMathPara>
        <m:oMathParaPr>
          <m:jc m:val="center"/>
        </m:oMathParaPr>
        <m:oMath>
          <m:r>
            <m:rPr>
              <m:sty m:val="p"/>
            </m:rPr>
            <m:t>Δ</m:t>
          </m:r>
          <m:r>
            <m:rPr>
              <m:sty m:val="p"/>
            </m:rPr>
            <m:t>log</m:t>
          </m:r>
          <m:sSub>
            <m:e>
              <m:r>
                <m:t>Z</m:t>
              </m:r>
            </m:e>
            <m:sub>
              <m:r>
                <m:rPr>
                  <m:sty m:val="p"/>
                </m:rPr>
                <m:t>g</m:t>
              </m:r>
            </m:sub>
          </m:sSub>
          <m:r>
            <m:rPr>
              <m:sty m:val="p"/>
            </m:rPr>
            <m:t>=</m:t>
          </m:r>
          <m:r>
            <m:t>m</m:t>
          </m:r>
          <m:r>
            <m:t> </m:t>
          </m:r>
          <m:r>
            <m:rPr>
              <m:sty m:val="p"/>
            </m:rPr>
            <m:t>Δ</m:t>
          </m:r>
          <m:r>
            <m:rPr>
              <m:sty m:val="p"/>
            </m:rPr>
            <m:t>log</m:t>
          </m:r>
          <m:sSub>
            <m:e>
              <m:r>
                <m:rPr>
                  <m:sty m:val="p"/>
                </m:rPr>
                <m:t>Σ</m:t>
              </m:r>
            </m:e>
            <m:sub>
              <m:r>
                <m:rPr>
                  <m:sty m:val="p"/>
                </m:rPr>
                <m:t>S</m:t>
              </m:r>
              <m:r>
                <m:rPr>
                  <m:sty m:val="p"/>
                </m:rPr>
                <m:t>F</m:t>
              </m:r>
              <m:r>
                <m:rPr>
                  <m:sty m:val="p"/>
                </m:rPr>
                <m:t>R</m:t>
              </m:r>
            </m:sub>
          </m:sSub>
        </m:oMath>
      </m:oMathPara>
    </w:p>
    <w:p>
      <w:pPr>
        <w:pStyle w:val="FirstParagraph"/>
      </w:pPr>
      <w:r>
        <w:t xml:space="preserve">at fixed local stellar surface density. Under small perturbations, an approximately linear star-formation law, and negligible covariance between local SFR residuals and the large-scale metallicity field, the spatial integral preserves the slope:</w:t>
      </w:r>
    </w:p>
    <w:p>
      <w:pPr>
        <w:pStyle w:val="BodyText"/>
      </w:pPr>
      <m:oMathPara>
        <m:oMathParaPr>
          <m:jc m:val="center"/>
        </m:oMathParaPr>
        <m:oMath>
          <m:r>
            <m:rPr>
              <m:sty m:val="p"/>
            </m:rPr>
            <m:t>Δ</m:t>
          </m:r>
          <m:r>
            <m:rPr>
              <m:sty m:val="p"/>
            </m:rPr>
            <m:t>log</m:t>
          </m:r>
          <m:r>
            <m:rPr>
              <m:sty m:val="p"/>
            </m:rPr>
            <m:t>⟨</m:t>
          </m:r>
          <m:sSub>
            <m:e>
              <m:r>
                <m:t>Z</m:t>
              </m:r>
            </m:e>
            <m:sub>
              <m:r>
                <m:rPr>
                  <m:sty m:val="p"/>
                </m:rPr>
                <m:t>g</m:t>
              </m:r>
            </m:sub>
          </m:sSub>
          <m:r>
            <m:rPr>
              <m:sty m:val="p"/>
            </m:rPr>
            <m:t>⟩</m:t>
          </m:r>
          <m:r>
            <m:rPr>
              <m:sty m:val="p"/>
            </m:rPr>
            <m:t>≃</m:t>
          </m:r>
          <m:r>
            <m:t>m</m:t>
          </m:r>
          <m:r>
            <m:t> </m:t>
          </m:r>
          <m:r>
            <m:rPr>
              <m:sty m:val="p"/>
            </m:rPr>
            <m:t>Δ</m:t>
          </m:r>
          <m:r>
            <m:rPr>
              <m:sty m:val="p"/>
            </m:rPr>
            <m:t>log</m:t>
          </m:r>
          <m:r>
            <m:rPr>
              <m:sty m:val="p"/>
            </m:rPr>
            <m:t>⟨</m:t>
          </m:r>
          <m:r>
            <m:rPr>
              <m:sty m:val="p"/>
            </m:rPr>
            <m:t>S</m:t>
          </m:r>
          <m:r>
            <m:rPr>
              <m:sty m:val="p"/>
            </m:rPr>
            <m:t>F</m:t>
          </m:r>
          <m:r>
            <m:rPr>
              <m:sty m:val="p"/>
            </m:rPr>
            <m:t>R</m:t>
          </m:r>
          <m:r>
            <m:rPr>
              <m:sty m:val="p"/>
            </m:rPr>
            <m:t>⟩</m:t>
          </m:r>
          <m:r>
            <m:rPr>
              <m:sty m:val="p"/>
            </m:rPr>
            <m:t>.</m:t>
          </m:r>
        </m:oMath>
      </m:oMathPara>
    </w:p>
    <w:p>
      <w:pPr>
        <w:pStyle w:val="FirstParagraph"/>
      </w:pPr>
      <w:r>
        <w:t xml:space="preserve">They test the correspondence with 736 MaNGA galaxies. (</w:t>
      </w:r>
      <w:hyperlink r:id="rId58">
        <w:r>
          <w:rPr>
            <w:rStyle w:val="Hyperlink"/>
          </w:rPr>
          <w:t xml:space="preserve">Sánchez Almeida &amp; Sánchez-Menguiano 2019</w:t>
        </w:r>
      </w:hyperlink>
      <w:r>
        <w:t xml:space="preserve">)</w:t>
      </w:r>
    </w:p>
    <w:p>
      <w:pPr>
        <w:pStyle w:val="BodyText"/>
      </w:pPr>
      <w:r>
        <w:t xml:space="preserve">This is an important analytical bridge, but it does not derive</w:t>
      </w:r>
      <w:r>
        <w:t xml:space="preserve"> </w:t>
      </w:r>
      <m:oMath>
        <m:r>
          <m:t>m</m:t>
        </m:r>
      </m:oMath>
      <w:r>
        <w:t xml:space="preserve"> </w:t>
      </w:r>
      <w:r>
        <w:t xml:space="preserve">from physical conservation laws. Its assumptions can fail when radial gradients, DIG, selection masks, nonlinear star-formation laws, or coherent galaxy-wide events covary with the local residuals. The paper also notes that local slopes can become weakly positive at high mass, a warning against imposing one universal sign.</w:t>
      </w:r>
    </w:p>
    <w:bookmarkEnd w:id="59"/>
    <w:bookmarkStart w:id="60" w:name="X452adec71fbba89e2b6c715d4874474e6ae4d52"/>
    <w:p>
      <w:pPr>
        <w:pStyle w:val="Heading2"/>
      </w:pPr>
      <w:r>
        <w:t xml:space="preserve">6.3 Wang &amp; Lilly (2021): the decisive driver experiment</w:t>
      </w:r>
    </w:p>
    <w:p>
      <w:pPr>
        <w:pStyle w:val="FirstParagraph"/>
      </w:pPr>
      <w:r>
        <w:t xml:space="preserve">Wang &amp; Lilly use the same gas and metal continuity system but force it sinusoidally in two different ways.</w:t>
      </w:r>
    </w:p>
    <w:p>
      <w:pPr>
        <w:pStyle w:val="Compact"/>
        <w:numPr>
          <w:ilvl w:val="0"/>
          <w:numId w:val="1006"/>
        </w:numPr>
      </w:pPr>
      <w:r>
        <w:t xml:space="preserve">With</w:t>
      </w:r>
      <w:r>
        <w:t xml:space="preserve"> </w:t>
      </w:r>
      <w:r>
        <w:rPr>
          <w:b/>
          <w:bCs/>
        </w:rPr>
        <w:t xml:space="preserve">time-variable inflow and fixed SFE</w:t>
      </w:r>
      <w:r>
        <w:t xml:space="preserve">, SFR rises after added gas while metallicity is diluted. The metallicity–SFR residual is negative.</w:t>
      </w:r>
    </w:p>
    <w:p>
      <w:pPr>
        <w:pStyle w:val="Compact"/>
        <w:numPr>
          <w:ilvl w:val="0"/>
          <w:numId w:val="1006"/>
        </w:numPr>
      </w:pPr>
      <w:r>
        <w:t xml:space="preserve">With</w:t>
      </w:r>
      <w:r>
        <w:t xml:space="preserve"> </w:t>
      </w:r>
      <w:r>
        <w:rPr>
          <w:b/>
          <w:bCs/>
        </w:rPr>
        <w:t xml:space="preserve">time-variable SFE and fixed inflow</w:t>
      </w:r>
      <w:r>
        <w:t xml:space="preserve">, SFR responds immediately to</w:t>
      </w:r>
      <w:r>
        <w:t xml:space="preserve"> </w:t>
      </w:r>
      <m:oMath>
        <m:r>
          <m:t>ϵ</m:t>
        </m:r>
      </m:oMath>
      <w:r>
        <w:t xml:space="preserve"> </w:t>
      </w:r>
      <w:r>
        <w:t xml:space="preserve">and enrichment raises metallicity. The residual is strongly positive over the relevant forcing range, although phase loops and step-like forcing can complicate a single fitted slope.</w:t>
      </w:r>
    </w:p>
    <w:p>
      <w:pPr>
        <w:pStyle w:val="FirstParagraph"/>
      </w:pPr>
      <w:r>
        <w:t xml:space="preserve">For a sinusoidal efficiency driver, their linear solution gives a metallicity-to-SFR response-amplitude ratio of the form</w:t>
      </w:r>
    </w:p>
    <w:p>
      <w:pPr>
        <w:pStyle w:val="BodyText"/>
      </w:pPr>
      <m:oMathPara>
        <m:oMathParaPr>
          <m:jc m:val="center"/>
        </m:oMathParaPr>
        <m:oMath>
          <m:f>
            <m:fPr>
              <m:type m:val="bar"/>
            </m:fPr>
            <m:num>
              <m:r>
                <m:t>σ</m:t>
              </m:r>
              <m:r>
                <m:rPr>
                  <m:sty m:val="p"/>
                </m:rPr>
                <m:t>(</m:t>
              </m:r>
              <m:r>
                <m:rPr>
                  <m:sty m:val="p"/>
                </m:rPr>
                <m:t>log</m:t>
              </m:r>
              <m:r>
                <m:t>Z</m:t>
              </m:r>
              <m:r>
                <m:rPr>
                  <m:sty m:val="p"/>
                </m:rPr>
                <m:t>)</m:t>
              </m:r>
            </m:num>
            <m:den>
              <m:r>
                <m:t>σ</m:t>
              </m:r>
              <m:r>
                <m:rPr>
                  <m:sty m:val="p"/>
                </m:rPr>
                <m:t>(</m:t>
              </m:r>
              <m:r>
                <m:rPr>
                  <m:sty m:val="p"/>
                </m:rPr>
                <m:t>log</m:t>
              </m:r>
              <m:r>
                <m:rPr>
                  <m:sty m:val="p"/>
                </m:rPr>
                <m:t>S</m:t>
              </m:r>
              <m:r>
                <m:rPr>
                  <m:sty m:val="p"/>
                </m:rPr>
                <m:t>F</m:t>
              </m:r>
              <m:r>
                <m:rPr>
                  <m:sty m:val="p"/>
                </m:rPr>
                <m:t>R</m:t>
              </m:r>
              <m:r>
                <m:rPr>
                  <m:sty m:val="p"/>
                </m:rPr>
                <m:t>)</m:t>
              </m:r>
            </m:den>
          </m:f>
          <m:r>
            <m:rPr>
              <m:sty m:val="p"/>
            </m:rPr>
            <m:t>≃</m:t>
          </m:r>
          <m:f>
            <m:fPr>
              <m:type m:val="bar"/>
            </m:fPr>
            <m:num>
              <m:r>
                <m:t>1</m:t>
              </m:r>
            </m:num>
            <m:den>
              <m:rad>
                <m:radPr>
                  <m:degHide m:val="on"/>
                </m:radPr>
                <m:deg/>
                <m:e>
                  <m:r>
                    <m:t>1</m:t>
                  </m:r>
                  <m:r>
                    <m:rPr>
                      <m:sty m:val="p"/>
                    </m:rPr>
                    <m:t>+</m:t>
                  </m:r>
                  <m:sSup>
                    <m:e>
                      <m:r>
                        <m:t>ξ</m:t>
                      </m:r>
                    </m:e>
                    <m:sup>
                      <m:r>
                        <m:t>2</m:t>
                      </m:r>
                    </m:sup>
                  </m:sSup>
                </m:e>
              </m:rad>
            </m:den>
          </m:f>
          <m:sSup>
            <m:e>
              <m:d>
                <m:dPr>
                  <m:begChr m:val="("/>
                  <m:sepChr m:val=""/>
                  <m:endChr m:val=")"/>
                  <m:grow/>
                </m:dPr>
                <m:e>
                  <m:r>
                    <m:t>1</m:t>
                  </m:r>
                  <m:r>
                    <m:rPr>
                      <m:sty m:val="p"/>
                    </m:rPr>
                    <m:t>+</m:t>
                  </m:r>
                  <m:f>
                    <m:fPr>
                      <m:type m:val="bar"/>
                    </m:fPr>
                    <m:num>
                      <m:sSub>
                        <m:e>
                          <m:r>
                            <m:t>Z</m:t>
                          </m:r>
                        </m:e>
                        <m:sub>
                          <m:r>
                            <m:t>0</m:t>
                          </m:r>
                        </m:sub>
                      </m:sSub>
                    </m:num>
                    <m:den>
                      <m:sSub>
                        <m:e>
                          <m:r>
                            <m:t>y</m:t>
                          </m:r>
                        </m:e>
                        <m:sub>
                          <m:r>
                            <m:rPr>
                              <m:sty m:val="p"/>
                            </m:rPr>
                            <m:t>e</m:t>
                          </m:r>
                          <m:r>
                            <m:rPr>
                              <m:sty m:val="p"/>
                            </m:rPr>
                            <m:t>f</m:t>
                          </m:r>
                          <m:r>
                            <m:rPr>
                              <m:sty m:val="p"/>
                            </m:rPr>
                            <m:t>f</m:t>
                          </m:r>
                        </m:sub>
                      </m:sSub>
                    </m:den>
                  </m:f>
                </m:e>
              </m:d>
            </m:e>
            <m:sup>
              <m:r>
                <m:rPr>
                  <m:sty m:val="p"/>
                </m:rPr>
                <m:t>−</m:t>
              </m:r>
              <m:r>
                <m:t>1</m:t>
              </m:r>
            </m:sup>
          </m:sSup>
          <m:r>
            <m:rPr>
              <m:sty m:val="p"/>
            </m:rPr>
            <m:t>,</m:t>
          </m:r>
        </m:oMath>
      </m:oMathPara>
    </w:p>
    <w:p>
      <w:pPr>
        <w:pStyle w:val="FirstParagraph"/>
      </w:pPr>
      <w:r>
        <w:t xml:space="preserve">where</w:t>
      </w:r>
      <w:r>
        <w:t xml:space="preserve"> </w:t>
      </w:r>
      <m:oMath>
        <m:r>
          <m:t>ξ</m:t>
        </m:r>
        <m:r>
          <m:rPr>
            <m:sty m:val="p"/>
          </m:rPr>
          <m:t>=</m:t>
        </m:r>
        <m:r>
          <m:t>2</m:t>
        </m:r>
        <m:r>
          <m:t>π</m:t>
        </m:r>
        <m:sSub>
          <m:e>
            <m:r>
              <m:t>τ</m:t>
            </m:r>
          </m:e>
          <m:sub>
            <m:r>
              <m:rPr>
                <m:sty m:val="p"/>
              </m:rPr>
              <m:t>d</m:t>
            </m:r>
            <m:r>
              <m:rPr>
                <m:sty m:val="p"/>
              </m:rPr>
              <m:t>e</m:t>
            </m:r>
            <m:r>
              <m:rPr>
                <m:sty m:val="p"/>
              </m:rPr>
              <m:t>p</m:t>
            </m:r>
            <m:r>
              <m:rPr>
                <m:sty m:val="p"/>
              </m:rPr>
              <m:t>,</m:t>
            </m:r>
            <m:r>
              <m:rPr>
                <m:sty m:val="p"/>
              </m:rPr>
              <m:t>e</m:t>
            </m:r>
            <m:r>
              <m:rPr>
                <m:sty m:val="p"/>
              </m:rPr>
              <m:t>f</m:t>
            </m:r>
            <m:r>
              <m:rPr>
                <m:sty m:val="p"/>
              </m:rPr>
              <m:t>f</m:t>
            </m:r>
          </m:sub>
        </m:sSub>
        <m:r>
          <m:rPr>
            <m:sty m:val="p"/>
          </m:rPr>
          <m:t>/</m:t>
        </m:r>
        <m:sSub>
          <m:e>
            <m:r>
              <m:t>T</m:t>
            </m:r>
          </m:e>
          <m:sub>
            <m:r>
              <m:t>p</m:t>
            </m:r>
          </m:sub>
        </m:sSub>
      </m:oMath>
      <w:r>
        <w:t xml:space="preserve"> </w:t>
      </w:r>
      <w:r>
        <w:t xml:space="preserve">compares the regulator response time with the forcing period. Rapid forcing is filtered out; slow coherent efficiency variations generate a larger positive abundance response. (</w:t>
      </w:r>
      <w:hyperlink r:id="rId13">
        <w:r>
          <w:rPr>
            <w:rStyle w:val="Hyperlink"/>
          </w:rPr>
          <w:t xml:space="preserve">Wang &amp; Lilly 2021</w:t>
        </w:r>
      </w:hyperlink>
      <w:r>
        <w:t xml:space="preserve">)</w:t>
      </w:r>
    </w:p>
    <w:p>
      <w:pPr>
        <w:pStyle w:val="BodyText"/>
      </w:pPr>
      <w:r>
        <w:t xml:space="preserve">This is the clearest prior analytical answer to the requested positive-correlation problem. The interpretation depends on treating spatial scatter as an ensemble of regions at different phases or drivers. On very small scales, ionisation-source age, metal mixing delay, and SFR-tracer averaging times become part of the transfer function.</w:t>
      </w:r>
    </w:p>
    <w:bookmarkEnd w:id="60"/>
    <w:bookmarkStart w:id="62" w:name="Xc2cabe035cc59ec0909729f887edec408b0eb13"/>
    <w:p>
      <w:pPr>
        <w:pStyle w:val="Heading2"/>
      </w:pPr>
      <w:r>
        <w:t xml:space="preserve">6.4 Baker et al. (2023): an empirical rFMR surface</w:t>
      </w:r>
    </w:p>
    <w:p>
      <w:pPr>
        <w:pStyle w:val="FirstParagraph"/>
      </w:pPr>
      <w:r>
        <w:t xml:space="preserve">Baker et al. fit a resolved saturating relation,</w:t>
      </w:r>
    </w:p>
    <w:p>
      <w:pPr>
        <w:pStyle w:val="BodyText"/>
      </w:pPr>
      <m:oMathPara>
        <m:oMathParaPr>
          <m:jc m:val="center"/>
        </m:oMathParaPr>
        <m:oMath>
          <m:r>
            <m:t>12</m:t>
          </m:r>
          <m:r>
            <m:rPr>
              <m:sty m:val="p"/>
            </m:rPr>
            <m:t>+</m:t>
          </m:r>
          <m:r>
            <m:rPr>
              <m:sty m:val="p"/>
            </m:rPr>
            <m:t>log</m:t>
          </m:r>
          <m:r>
            <m:rPr>
              <m:sty m:val="p"/>
            </m:rPr>
            <m:t>(</m:t>
          </m:r>
          <m:r>
            <m:rPr>
              <m:sty m:val="p"/>
            </m:rPr>
            <m:t>O</m:t>
          </m:r>
          <m:r>
            <m:rPr>
              <m:sty m:val="p"/>
            </m:rPr>
            <m:t>/</m:t>
          </m:r>
          <m:r>
            <m:rPr>
              <m:sty m:val="p"/>
            </m:rPr>
            <m:t>H</m:t>
          </m:r>
          <m:r>
            <m:rPr>
              <m:sty m:val="p"/>
            </m:rPr>
            <m:t>)</m:t>
          </m:r>
          <m:r>
            <m:rPr>
              <m:sty m:val="p"/>
            </m:rPr>
            <m:t>=</m:t>
          </m:r>
          <m:sSub>
            <m:e>
              <m:r>
                <m:t>Z</m:t>
              </m:r>
            </m:e>
            <m:sub>
              <m:r>
                <m:t>0</m:t>
              </m:r>
            </m:sub>
          </m:sSub>
          <m:r>
            <m:rPr>
              <m:sty m:val="p"/>
            </m:rPr>
            <m:t>−</m:t>
          </m:r>
          <m:f>
            <m:fPr>
              <m:type m:val="bar"/>
            </m:fPr>
            <m:num>
              <m:r>
                <m:t>γ</m:t>
              </m:r>
            </m:num>
            <m:den>
              <m:r>
                <m:t>ϕ</m:t>
              </m:r>
            </m:den>
          </m:f>
          <m:r>
            <m:rPr>
              <m:sty m:val="p"/>
            </m:rPr>
            <m:t>log</m:t>
          </m:r>
          <m:d>
            <m:dPr>
              <m:begChr m:val="["/>
              <m:sepChr m:val=""/>
              <m:endChr m:val="]"/>
              <m:grow/>
            </m:dPr>
            <m:e>
              <m:r>
                <m:t>1</m:t>
              </m:r>
              <m:r>
                <m:rPr>
                  <m:sty m:val="p"/>
                </m:rPr>
                <m:t>+</m:t>
              </m:r>
              <m:sSup>
                <m:e>
                  <m:d>
                    <m:dPr>
                      <m:begChr m:val="("/>
                      <m:sepChr m:val=""/>
                      <m:endChr m:val=")"/>
                      <m:grow/>
                    </m:dPr>
                    <m:e>
                      <m:f>
                        <m:fPr>
                          <m:type m:val="bar"/>
                        </m:fPr>
                        <m:num>
                          <m:sSub>
                            <m:e>
                              <m:r>
                                <m:rPr>
                                  <m:sty m:val="p"/>
                                </m:rPr>
                                <m:t>Σ</m:t>
                              </m:r>
                            </m:e>
                            <m:sub>
                              <m:r>
                                <m:rPr>
                                  <m:sty m:val="p"/>
                                </m:rPr>
                                <m:t>⋆</m:t>
                              </m:r>
                            </m:sub>
                          </m:sSub>
                        </m:num>
                        <m:den>
                          <m:sSub>
                            <m:e>
                              <m:r>
                                <m:t>M</m:t>
                              </m:r>
                            </m:e>
                            <m:sub>
                              <m:r>
                                <m:t>0</m:t>
                              </m:r>
                            </m:sub>
                          </m:sSub>
                          <m:r>
                            <m:rPr>
                              <m:sty m:val="p"/>
                            </m:rPr>
                            <m:t>(</m:t>
                          </m:r>
                          <m:sSub>
                            <m:e>
                              <m:r>
                                <m:rPr>
                                  <m:sty m:val="p"/>
                                </m:rPr>
                                <m:t>Σ</m:t>
                              </m:r>
                            </m:e>
                            <m:sub>
                              <m:r>
                                <m:rPr>
                                  <m:sty m:val="p"/>
                                </m:rPr>
                                <m:t>S</m:t>
                              </m:r>
                              <m:r>
                                <m:rPr>
                                  <m:sty m:val="p"/>
                                </m:rPr>
                                <m:t>F</m:t>
                              </m:r>
                              <m:r>
                                <m:rPr>
                                  <m:sty m:val="p"/>
                                </m:rPr>
                                <m:t>R</m:t>
                              </m:r>
                            </m:sub>
                          </m:sSub>
                          <m:r>
                            <m:rPr>
                              <m:sty m:val="p"/>
                            </m:rPr>
                            <m:t>)</m:t>
                          </m:r>
                        </m:den>
                      </m:f>
                    </m:e>
                  </m:d>
                </m:e>
                <m:sup>
                  <m:r>
                    <m:rPr>
                      <m:sty m:val="p"/>
                    </m:rPr>
                    <m:t>−</m:t>
                  </m:r>
                  <m:r>
                    <m:t>ϕ</m:t>
                  </m:r>
                </m:sup>
              </m:sSup>
            </m:e>
          </m:d>
          <m:r>
            <m:rPr>
              <m:sty m:val="p"/>
            </m:rPr>
            <m:t>,</m:t>
          </m:r>
        </m:oMath>
      </m:oMathPara>
    </w:p>
    <w:p>
      <w:pPr>
        <w:pStyle w:val="FirstParagraph"/>
      </w:pPr>
      <w:r>
        <w:t xml:space="preserve">with</w:t>
      </w:r>
      <w:r>
        <w:t xml:space="preserve"> </w:t>
      </w:r>
      <m:oMath>
        <m:r>
          <m:rPr>
            <m:sty m:val="p"/>
          </m:rPr>
          <m:t>log</m:t>
        </m:r>
        <m:sSub>
          <m:e>
            <m:r>
              <m:t>M</m:t>
            </m:r>
          </m:e>
          <m:sub>
            <m:r>
              <m:t>0</m:t>
            </m:r>
          </m:sub>
        </m:sSub>
        <m:r>
          <m:rPr>
            <m:sty m:val="p"/>
          </m:rPr>
          <m:t>=</m:t>
        </m:r>
        <m:sSub>
          <m:e>
            <m:r>
              <m:t>m</m:t>
            </m:r>
          </m:e>
          <m:sub>
            <m:r>
              <m:t>0</m:t>
            </m:r>
          </m:sub>
        </m:sSub>
        <m:r>
          <m:rPr>
            <m:sty m:val="p"/>
          </m:rPr>
          <m:t>+</m:t>
        </m:r>
        <m:sSub>
          <m:e>
            <m:r>
              <m:t>m</m:t>
            </m:r>
          </m:e>
          <m:sub>
            <m:r>
              <m:t>1</m:t>
            </m:r>
          </m:sub>
        </m:sSub>
        <m:r>
          <m:rPr>
            <m:sty m:val="p"/>
          </m:rPr>
          <m:t>log</m:t>
        </m:r>
        <m:sSub>
          <m:e>
            <m:r>
              <m:rPr>
                <m:sty m:val="p"/>
              </m:rPr>
              <m:t>Σ</m:t>
            </m:r>
          </m:e>
          <m:sub>
            <m:r>
              <m:rPr>
                <m:sty m:val="p"/>
              </m:rPr>
              <m:t>S</m:t>
            </m:r>
            <m:r>
              <m:rPr>
                <m:sty m:val="p"/>
              </m:rPr>
              <m:t>F</m:t>
            </m:r>
            <m:r>
              <m:rPr>
                <m:sty m:val="p"/>
              </m:rPr>
              <m:t>R</m:t>
            </m:r>
          </m:sub>
        </m:sSub>
      </m:oMath>
      <w:r>
        <w:t xml:space="preserve">. They also use</w:t>
      </w:r>
      <w:r>
        <w:t xml:space="preserve"> </w:t>
      </w:r>
      <m:oMath>
        <m:sSub>
          <m:e>
            <m:r>
              <m:t>μ</m:t>
            </m:r>
          </m:e>
          <m:sub>
            <m:r>
              <m:t>α</m:t>
            </m:r>
          </m:sub>
        </m:sSub>
        <m:r>
          <m:rPr>
            <m:sty m:val="p"/>
          </m:rPr>
          <m:t>=</m:t>
        </m:r>
        <m:r>
          <m:rPr>
            <m:sty m:val="p"/>
          </m:rPr>
          <m:t>log</m:t>
        </m:r>
        <m:sSub>
          <m:e>
            <m:r>
              <m:rPr>
                <m:sty m:val="p"/>
              </m:rPr>
              <m:t>Σ</m:t>
            </m:r>
          </m:e>
          <m:sub>
            <m:r>
              <m:rPr>
                <m:sty m:val="p"/>
              </m:rPr>
              <m:t>⋆</m:t>
            </m:r>
          </m:sub>
        </m:sSub>
        <m:r>
          <m:rPr>
            <m:sty m:val="p"/>
          </m:rPr>
          <m:t>−</m:t>
        </m:r>
        <m:r>
          <m:t>α</m:t>
        </m:r>
        <m:r>
          <m:rPr>
            <m:sty m:val="p"/>
          </m:rPr>
          <m:t>log</m:t>
        </m:r>
        <m:sSub>
          <m:e>
            <m:r>
              <m:rPr>
                <m:sty m:val="p"/>
              </m:rPr>
              <m:t>Σ</m:t>
            </m:r>
          </m:e>
          <m:sub>
            <m:r>
              <m:rPr>
                <m:sty m:val="p"/>
              </m:rPr>
              <m:t>S</m:t>
            </m:r>
            <m:r>
              <m:rPr>
                <m:sty m:val="p"/>
              </m:rPr>
              <m:t>F</m:t>
            </m:r>
            <m:r>
              <m:rPr>
                <m:sty m:val="p"/>
              </m:rPr>
              <m:t>R</m:t>
            </m:r>
          </m:sub>
        </m:sSub>
      </m:oMath>
      <w:r>
        <w:t xml:space="preserve"> </w:t>
      </w:r>
      <w:r>
        <w:t xml:space="preserve">and find</w:t>
      </w:r>
      <w:r>
        <w:t xml:space="preserve"> </w:t>
      </w:r>
      <m:oMath>
        <m:r>
          <m:t>α</m:t>
        </m:r>
        <m:r>
          <m:rPr>
            <m:sty m:val="p"/>
          </m:rPr>
          <m:t>≃</m:t>
        </m:r>
        <m:r>
          <m:t>0.54</m:t>
        </m:r>
      </m:oMath>
      <w:r>
        <w:t xml:space="preserve"> </w:t>
      </w:r>
      <w:r>
        <w:t xml:space="preserve">and a combined scatter near 0.060 dex. Partial correlations and random forests identify</w:t>
      </w:r>
      <w:r>
        <w:t xml:space="preserve"> </w:t>
      </w:r>
      <m:oMath>
        <m:sSub>
          <m:e>
            <m:r>
              <m:rPr>
                <m:sty m:val="p"/>
              </m:rPr>
              <m:t>Σ</m:t>
            </m:r>
          </m:e>
          <m:sub>
            <m:r>
              <m:rPr>
                <m:sty m:val="p"/>
              </m:rPr>
              <m:t>⋆</m:t>
            </m:r>
          </m:sub>
        </m:sSub>
      </m:oMath>
      <w:r>
        <w:t xml:space="preserve"> </w:t>
      </w:r>
      <w:r>
        <w:t xml:space="preserve">as the dominant local predictor and</w:t>
      </w:r>
      <w:r>
        <w:t xml:space="preserve"> </w:t>
      </w:r>
      <m:oMath>
        <m:sSub>
          <m:e>
            <m:r>
              <m:rPr>
                <m:sty m:val="p"/>
              </m:rPr>
              <m:t>Σ</m:t>
            </m:r>
          </m:e>
          <m:sub>
            <m:r>
              <m:rPr>
                <m:sty m:val="p"/>
              </m:rPr>
              <m:t>S</m:t>
            </m:r>
            <m:r>
              <m:rPr>
                <m:sty m:val="p"/>
              </m:rPr>
              <m:t>F</m:t>
            </m:r>
            <m:r>
              <m:rPr>
                <m:sty m:val="p"/>
              </m:rPr>
              <m:t>R</m:t>
            </m:r>
          </m:sub>
        </m:sSub>
      </m:oMath>
      <w:r>
        <w:t xml:space="preserve"> </w:t>
      </w:r>
      <w:r>
        <w:t xml:space="preserve">as a secondary anti-correlated predictor; a global</w:t>
      </w:r>
      <w:r>
        <w:t xml:space="preserve"> </w:t>
      </w:r>
      <m:oMath>
        <m:sSub>
          <m:e>
            <m:r>
              <m:t>M</m:t>
            </m:r>
          </m:e>
          <m:sub>
            <m:r>
              <m:rPr>
                <m:sty m:val="p"/>
              </m:rPr>
              <m:t>⋆</m:t>
            </m:r>
          </m:sub>
        </m:sSub>
      </m:oMath>
      <w:r>
        <w:t xml:space="preserve"> </w:t>
      </w:r>
      <w:r>
        <w:t xml:space="preserve">dependence remains. (</w:t>
      </w:r>
      <w:hyperlink r:id="rId61">
        <w:r>
          <w:rPr>
            <w:rStyle w:val="Hyperlink"/>
          </w:rPr>
          <w:t xml:space="preserve">Baker et al. 2023</w:t>
        </w:r>
      </w:hyperlink>
      <w:r>
        <w:t xml:space="preserve">)</w:t>
      </w:r>
    </w:p>
    <w:p>
      <w:pPr>
        <w:pStyle w:val="BodyText"/>
      </w:pPr>
      <w:r>
        <w:t xml:space="preserve">This is a strong empirical benchmark, not a causal regulator. Its coefficients are sample- and calibrator-dependent, and a global-mass term means that spaxels are not exchangeable independent local systems. Extrapolating its negative average slope into the high-</w:t>
      </w:r>
      <m:oMath>
        <m:sSub>
          <m:e>
            <m:r>
              <m:rPr>
                <m:sty m:val="p"/>
              </m:rPr>
              <m:t>Σ</m:t>
            </m:r>
          </m:e>
          <m:sub>
            <m:r>
              <m:rPr>
                <m:sty m:val="p"/>
              </m:rPr>
              <m:t>⋆</m:t>
            </m:r>
          </m:sub>
        </m:sSub>
      </m:oMath>
      <w:r>
        <w:t xml:space="preserve"> </w:t>
      </w:r>
      <w:r>
        <w:t xml:space="preserve">MAUVE regime would therefore beg the question.</w:t>
      </w:r>
    </w:p>
    <w:bookmarkEnd w:id="62"/>
    <w:bookmarkStart w:id="64" w:name="X9d565ceeefea42bf528ac7f64f1f5f7400a4e54"/>
    <w:p>
      <w:pPr>
        <w:pStyle w:val="Heading2"/>
      </w:pPr>
      <w:r>
        <w:t xml:space="preserve">6.5 Sharda et al. (2021): radial transport as missing physics</w:t>
      </w:r>
    </w:p>
    <w:p>
      <w:pPr>
        <w:pStyle w:val="FirstParagraph"/>
      </w:pPr>
      <w:r>
        <w:t xml:space="preserve">Sharda et al. construct an analytical metallicity-distribution model for galactic discs that includes cosmological accretion, metal production, metal-enriched outflow, radial advection, and turbulent diffusion. It explains mass-dependent metallicity gradients and provides a more complete spatial conservation equation than independent annuli. (</w:t>
      </w:r>
      <w:hyperlink r:id="rId63">
        <w:r>
          <w:rPr>
            <w:rStyle w:val="Hyperlink"/>
          </w:rPr>
          <w:t xml:space="preserve">Sharda et al. 2021</w:t>
        </w:r>
      </w:hyperlink>
      <w:r>
        <w:t xml:space="preserve">)</w:t>
      </w:r>
    </w:p>
    <w:p>
      <w:pPr>
        <w:pStyle w:val="BodyText"/>
      </w:pPr>
      <w:r>
        <w:t xml:space="preserve">It is not a direct rFMR formula, but it matters because radial transport can decorrelate local SFR and local enrichment. A one-patch positive relation can be weakened or reversed if enriched material is advected or mixed over a scale larger than the SFR aperture. Thus Carton-like local equilibrium and Wang–Lilly local forcing bracket two limits; Sharda supplies the spatial coupling omitted by both.</w:t>
      </w:r>
    </w:p>
    <w:bookmarkEnd w:id="64"/>
    <w:bookmarkStart w:id="65" w:name="Xe2342e5a08a48b0a41f9a20e27477626b58bd37"/>
    <w:p>
      <w:pPr>
        <w:pStyle w:val="Heading2"/>
      </w:pPr>
      <w:r>
        <w:t xml:space="preserve">6.6 Huang et al. (2026): a mass-dependent resolved sign inversion</w:t>
      </w:r>
    </w:p>
    <w:p>
      <w:pPr>
        <w:pStyle w:val="FirstParagraph"/>
      </w:pPr>
      <w:r>
        <w:t xml:space="preserve">The MAUVE–MUSE analysis reports a positive</w:t>
      </w:r>
      <w:r>
        <w:t xml:space="preserve"> </w:t>
      </w:r>
      <m:oMath>
        <m:sSub>
          <m:e>
            <m:r>
              <m:t>Z</m:t>
            </m:r>
          </m:e>
          <m:sub>
            <m:r>
              <m:rPr>
                <m:sty m:val="p"/>
              </m:rPr>
              <m:t>g</m:t>
            </m:r>
          </m:sub>
        </m:sSub>
      </m:oMath>
      <w:r>
        <w:t xml:space="preserve">–</w:t>
      </w:r>
      <m:oMath>
        <m:sSub>
          <m:e>
            <m:r>
              <m:rPr>
                <m:sty m:val="p"/>
              </m:rPr>
              <m:t>Σ</m:t>
            </m:r>
          </m:e>
          <m:sub>
            <m:r>
              <m:rPr>
                <m:sty m:val="p"/>
              </m:rPr>
              <m:t>S</m:t>
            </m:r>
            <m:r>
              <m:rPr>
                <m:sty m:val="p"/>
              </m:rPr>
              <m:t>F</m:t>
            </m:r>
            <m:r>
              <m:rPr>
                <m:sty m:val="p"/>
              </m:rPr>
              <m:t>R</m:t>
            </m:r>
          </m:sub>
        </m:sSub>
      </m:oMath>
      <w:r>
        <w:t xml:space="preserve"> </w:t>
      </w:r>
      <w:r>
        <w:t xml:space="preserve">residual at high</w:t>
      </w:r>
      <w:r>
        <w:t xml:space="preserve"> </w:t>
      </w:r>
      <m:oMath>
        <m:sSub>
          <m:e>
            <m:r>
              <m:rPr>
                <m:sty m:val="p"/>
              </m:rPr>
              <m:t>Σ</m:t>
            </m:r>
          </m:e>
          <m:sub>
            <m:r>
              <m:rPr>
                <m:sty m:val="p"/>
              </m:rPr>
              <m:t>⋆</m:t>
            </m:r>
          </m:sub>
        </m:sSub>
      </m:oMath>
      <w:r>
        <w:t xml:space="preserve"> </w:t>
      </w:r>
      <w:r>
        <w:t xml:space="preserve">and a negative one at low</w:t>
      </w:r>
      <w:r>
        <w:t xml:space="preserve"> </w:t>
      </w:r>
      <m:oMath>
        <m:sSub>
          <m:e>
            <m:r>
              <m:rPr>
                <m:sty m:val="p"/>
              </m:rPr>
              <m:t>Σ</m:t>
            </m:r>
          </m:e>
          <m:sub>
            <m:r>
              <m:rPr>
                <m:sty m:val="p"/>
              </m:rPr>
              <m:t>⋆</m:t>
            </m:r>
          </m:sub>
        </m:sSub>
      </m:oMath>
      <w:r>
        <w:t xml:space="preserve">, with an inversion around</w:t>
      </w:r>
      <w:r>
        <w:t xml:space="preserve"> </w:t>
      </w:r>
      <m:oMath>
        <m:r>
          <m:rPr>
            <m:sty m:val="p"/>
          </m:rPr>
          <m:t>log</m:t>
        </m:r>
        <m:sSub>
          <m:e>
            <m:r>
              <m:rPr>
                <m:sty m:val="p"/>
              </m:rPr>
              <m:t>Σ</m:t>
            </m:r>
          </m:e>
          <m:sub>
            <m:r>
              <m:rPr>
                <m:sty m:val="p"/>
              </m:rPr>
              <m:t>⋆</m:t>
            </m:r>
          </m:sub>
        </m:sSub>
        <m:r>
          <m:rPr>
            <m:sty m:val="p"/>
          </m:rPr>
          <m:t>∼</m:t>
        </m:r>
        <m:r>
          <m:t>7.5</m:t>
        </m:r>
      </m:oMath>
      <w:r>
        <w:t xml:space="preserve">–8.0 in the adopted units and an important dependence on abundance indicator. It derives the surface-density regulator</w:t>
      </w:r>
    </w:p>
    <w:p>
      <w:pPr>
        <w:pStyle w:val="BodyText"/>
      </w:pPr>
      <m:oMathPara>
        <m:oMathParaPr>
          <m:jc m:val="center"/>
        </m:oMathParaPr>
        <m:oMath>
          <m:f>
            <m:fPr>
              <m:type m:val="bar"/>
            </m:fPr>
            <m:num>
              <m:r>
                <m:rPr>
                  <m:sty m:val="p"/>
                </m:rPr>
                <m:t>d</m:t>
              </m:r>
              <m:r>
                <m:t>Z</m:t>
              </m:r>
            </m:num>
            <m:den>
              <m:r>
                <m:rPr>
                  <m:sty m:val="p"/>
                </m:rPr>
                <m:t>d</m:t>
              </m:r>
              <m:r>
                <m:t>t</m:t>
              </m:r>
            </m:den>
          </m:f>
          <m:r>
            <m:rPr>
              <m:sty m:val="p"/>
            </m:rPr>
            <m:t>=</m:t>
          </m:r>
          <m:f>
            <m:fPr>
              <m:type m:val="bar"/>
            </m:fPr>
            <m:num>
              <m:r>
                <m:t>1</m:t>
              </m:r>
            </m:num>
            <m:den>
              <m:sSub>
                <m:e>
                  <m:r>
                    <m:rPr>
                      <m:sty m:val="p"/>
                    </m:rPr>
                    <m:t>Σ</m:t>
                  </m:r>
                </m:e>
                <m:sub>
                  <m:r>
                    <m:rPr>
                      <m:sty m:val="p"/>
                    </m:rPr>
                    <m:t>g</m:t>
                  </m:r>
                </m:sub>
              </m:sSub>
            </m:den>
          </m:f>
          <m:d>
            <m:dPr>
              <m:begChr m:val="["/>
              <m:sepChr m:val=""/>
              <m:endChr m:val="]"/>
              <m:grow/>
            </m:dPr>
            <m:e>
              <m:r>
                <m:t>y</m:t>
              </m:r>
              <m:r>
                <m:rPr>
                  <m:sty m:val="p"/>
                </m:rPr>
                <m:t>(</m:t>
              </m:r>
              <m:r>
                <m:t>1</m:t>
              </m:r>
              <m:r>
                <m:rPr>
                  <m:sty m:val="p"/>
                </m:rPr>
                <m:t>−</m:t>
              </m:r>
              <m:r>
                <m:t>R</m:t>
              </m:r>
              <m:r>
                <m:rPr>
                  <m:sty m:val="p"/>
                </m:rPr>
                <m:t>)</m:t>
              </m:r>
              <m:sSub>
                <m:e>
                  <m:r>
                    <m:rPr>
                      <m:sty m:val="p"/>
                    </m:rPr>
                    <m:t>Σ</m:t>
                  </m:r>
                </m:e>
                <m:sub>
                  <m:r>
                    <m:rPr>
                      <m:sty m:val="p"/>
                    </m:rPr>
                    <m:t>S</m:t>
                  </m:r>
                  <m:r>
                    <m:rPr>
                      <m:sty m:val="p"/>
                    </m:rPr>
                    <m:t>F</m:t>
                  </m:r>
                  <m:r>
                    <m:rPr>
                      <m:sty m:val="p"/>
                    </m:rPr>
                    <m:t>R</m:t>
                  </m:r>
                </m:sub>
              </m:sSub>
              <m:r>
                <m:rPr>
                  <m:sty m:val="p"/>
                </m:rPr>
                <m:t>+</m:t>
              </m:r>
              <m:r>
                <m:rPr>
                  <m:sty m:val="p"/>
                </m:rPr>
                <m:t>(</m:t>
              </m:r>
              <m:sSub>
                <m:e>
                  <m:r>
                    <m:t>Z</m:t>
                  </m:r>
                </m:e>
                <m:sub>
                  <m:r>
                    <m:rPr>
                      <m:sty m:val="p"/>
                    </m:rPr>
                    <m:t>Φ</m:t>
                  </m:r>
                </m:sub>
              </m:sSub>
              <m:r>
                <m:rPr>
                  <m:sty m:val="p"/>
                </m:rPr>
                <m:t>−</m:t>
              </m:r>
              <m:r>
                <m:t>Z</m:t>
              </m:r>
              <m:r>
                <m:rPr>
                  <m:sty m:val="p"/>
                </m:rPr>
                <m:t>)</m:t>
              </m:r>
              <m:sSub>
                <m:e>
                  <m:r>
                    <m:rPr>
                      <m:sty m:val="p"/>
                    </m:rPr>
                    <m:t>Σ</m:t>
                  </m:r>
                </m:e>
                <m:sub>
                  <m:r>
                    <m:rPr>
                      <m:sty m:val="p"/>
                    </m:rPr>
                    <m:t>Φ</m:t>
                  </m:r>
                </m:sub>
              </m:sSub>
            </m:e>
          </m:d>
          <m:r>
            <m:rPr>
              <m:sty m:val="p"/>
            </m:rPr>
            <m:t>,</m:t>
          </m:r>
        </m:oMath>
      </m:oMathPara>
    </w:p>
    <w:p>
      <w:pPr>
        <w:pStyle w:val="FirstParagraph"/>
      </w:pPr>
      <w:r>
        <w:t xml:space="preserve">or</w:t>
      </w:r>
    </w:p>
    <w:p>
      <w:pPr>
        <w:pStyle w:val="BodyText"/>
      </w:pPr>
      <m:oMathPara>
        <m:oMathParaPr>
          <m:jc m:val="center"/>
        </m:oMathParaPr>
        <m:oMath>
          <m:f>
            <m:fPr>
              <m:type m:val="bar"/>
            </m:fPr>
            <m:num>
              <m:r>
                <m:rPr>
                  <m:sty m:val="p"/>
                </m:rPr>
                <m:t>d</m:t>
              </m:r>
              <m:r>
                <m:t>Z</m:t>
              </m:r>
            </m:num>
            <m:den>
              <m:r>
                <m:rPr>
                  <m:sty m:val="p"/>
                </m:rPr>
                <m:t>d</m:t>
              </m:r>
              <m:r>
                <m:t>t</m:t>
              </m:r>
            </m:den>
          </m:f>
          <m:r>
            <m:rPr>
              <m:sty m:val="p"/>
            </m:rPr>
            <m:t>=</m:t>
          </m:r>
          <m:f>
            <m:fPr>
              <m:type m:val="bar"/>
            </m:fPr>
            <m:num>
              <m:sSup>
                <m:e>
                  <m:r>
                    <m:t>Z</m:t>
                  </m:r>
                </m:e>
                <m:sup>
                  <m:r>
                    <m:rPr>
                      <m:sty m:val="p"/>
                    </m:rPr>
                    <m:t>†</m:t>
                  </m:r>
                </m:sup>
              </m:sSup>
              <m:r>
                <m:rPr>
                  <m:sty m:val="p"/>
                </m:rPr>
                <m:t>−</m:t>
              </m:r>
              <m:r>
                <m:t>Z</m:t>
              </m:r>
            </m:num>
            <m:den>
              <m:sSub>
                <m:e>
                  <m:r>
                    <m:t>τ</m:t>
                  </m:r>
                </m:e>
                <m:sub>
                  <m:r>
                    <m:rPr>
                      <m:sty m:val="p"/>
                    </m:rPr>
                    <m:t>Φ</m:t>
                  </m:r>
                </m:sub>
              </m:sSub>
            </m:den>
          </m:f>
          <m:r>
            <m:rPr>
              <m:sty m:val="p"/>
            </m:rPr>
            <m:t>,</m:t>
          </m:r>
          <m:r>
            <m:t>  </m:t>
          </m:r>
          <m:sSup>
            <m:e>
              <m:r>
                <m:t>Z</m:t>
              </m:r>
            </m:e>
            <m:sup>
              <m:r>
                <m:rPr>
                  <m:sty m:val="p"/>
                </m:rPr>
                <m:t>†</m:t>
              </m:r>
            </m:sup>
          </m:sSup>
          <m:r>
            <m:rPr>
              <m:sty m:val="p"/>
            </m:rPr>
            <m:t>=</m:t>
          </m:r>
          <m:sSub>
            <m:e>
              <m:r>
                <m:t>Z</m:t>
              </m:r>
            </m:e>
            <m:sub>
              <m:r>
                <m:rPr>
                  <m:sty m:val="p"/>
                </m:rPr>
                <m:t>Φ</m:t>
              </m:r>
            </m:sub>
          </m:sSub>
          <m:r>
            <m:rPr>
              <m:sty m:val="p"/>
            </m:rPr>
            <m:t>+</m:t>
          </m:r>
          <m:r>
            <m:t>y</m:t>
          </m:r>
          <m:r>
            <m:rPr>
              <m:sty m:val="p"/>
            </m:rPr>
            <m:t>(</m:t>
          </m:r>
          <m:r>
            <m:t>1</m:t>
          </m:r>
          <m:r>
            <m:rPr>
              <m:sty m:val="p"/>
            </m:rPr>
            <m:t>−</m:t>
          </m:r>
          <m:r>
            <m:t>R</m:t>
          </m:r>
          <m:r>
            <m:rPr>
              <m:sty m:val="p"/>
            </m:rPr>
            <m:t>)</m:t>
          </m:r>
          <m:f>
            <m:fPr>
              <m:type m:val="bar"/>
            </m:fPr>
            <m:num>
              <m:sSub>
                <m:e>
                  <m:r>
                    <m:rPr>
                      <m:sty m:val="p"/>
                    </m:rPr>
                    <m:t>Σ</m:t>
                  </m:r>
                </m:e>
                <m:sub>
                  <m:r>
                    <m:rPr>
                      <m:sty m:val="p"/>
                    </m:rPr>
                    <m:t>S</m:t>
                  </m:r>
                  <m:r>
                    <m:rPr>
                      <m:sty m:val="p"/>
                    </m:rPr>
                    <m:t>F</m:t>
                  </m:r>
                  <m:r>
                    <m:rPr>
                      <m:sty m:val="p"/>
                    </m:rPr>
                    <m:t>R</m:t>
                  </m:r>
                </m:sub>
              </m:sSub>
            </m:num>
            <m:den>
              <m:sSub>
                <m:e>
                  <m:r>
                    <m:rPr>
                      <m:sty m:val="p"/>
                    </m:rPr>
                    <m:t>Σ</m:t>
                  </m:r>
                </m:e>
                <m:sub>
                  <m:r>
                    <m:rPr>
                      <m:sty m:val="p"/>
                    </m:rPr>
                    <m:t>Φ</m:t>
                  </m:r>
                </m:sub>
              </m:sSub>
            </m:den>
          </m:f>
          <m:r>
            <m:rPr>
              <m:sty m:val="p"/>
            </m:rPr>
            <m:t>.</m:t>
          </m:r>
        </m:oMath>
      </m:oMathPara>
    </w:p>
    <w:p>
      <w:pPr>
        <w:pStyle w:val="FirstParagraph"/>
      </w:pPr>
      <w:r>
        <w:t xml:space="preserve">The perturbation is</w:t>
      </w:r>
    </w:p>
    <w:p>
      <w:pPr>
        <w:pStyle w:val="BodyText"/>
      </w:pPr>
      <m:oMathPara>
        <m:oMathParaPr>
          <m:jc m:val="center"/>
        </m:oMathParaPr>
        <m:oMath>
          <m:r>
            <m:t>δ</m:t>
          </m:r>
          <m:sSup>
            <m:e>
              <m:r>
                <m:t>Z</m:t>
              </m:r>
            </m:e>
            <m:sup>
              <m:r>
                <m:rPr>
                  <m:sty m:val="p"/>
                </m:rPr>
                <m:t>†</m:t>
              </m:r>
            </m:sup>
          </m:sSup>
          <m:r>
            <m:rPr>
              <m:sty m:val="p"/>
            </m:rPr>
            <m:t>=</m:t>
          </m:r>
          <m:r>
            <m:rPr>
              <m:sty m:val="p"/>
            </m:rPr>
            <m:t>(</m:t>
          </m:r>
          <m:sSup>
            <m:e>
              <m:r>
                <m:t>Z</m:t>
              </m:r>
            </m:e>
            <m:sup>
              <m:r>
                <m:rPr>
                  <m:sty m:val="p"/>
                </m:rPr>
                <m:t>†</m:t>
              </m:r>
            </m:sup>
          </m:sSup>
          <m:r>
            <m:rPr>
              <m:sty m:val="p"/>
            </m:rPr>
            <m:t>−</m:t>
          </m:r>
          <m:sSub>
            <m:e>
              <m:r>
                <m:t>Z</m:t>
              </m:r>
            </m:e>
            <m:sub>
              <m:r>
                <m:rPr>
                  <m:sty m:val="p"/>
                </m:rPr>
                <m:t>Φ</m:t>
              </m:r>
            </m:sub>
          </m:sSub>
          <m:r>
            <m:rPr>
              <m:sty m:val="p"/>
            </m:rPr>
            <m:t>)</m:t>
          </m:r>
          <m:d>
            <m:dPr>
              <m:begChr m:val="("/>
              <m:sepChr m:val=""/>
              <m:endChr m:val=")"/>
              <m:grow/>
            </m:dPr>
            <m:e>
              <m:r>
                <m:t>δ</m:t>
              </m:r>
              <m:r>
                <m:rPr>
                  <m:sty m:val="p"/>
                </m:rPr>
                <m:t>log</m:t>
              </m:r>
              <m:sSub>
                <m:e>
                  <m:r>
                    <m:rPr>
                      <m:sty m:val="p"/>
                    </m:rPr>
                    <m:t>Σ</m:t>
                  </m:r>
                </m:e>
                <m:sub>
                  <m:r>
                    <m:rPr>
                      <m:sty m:val="p"/>
                    </m:rPr>
                    <m:t>S</m:t>
                  </m:r>
                  <m:r>
                    <m:rPr>
                      <m:sty m:val="p"/>
                    </m:rPr>
                    <m:t>F</m:t>
                  </m:r>
                  <m:r>
                    <m:rPr>
                      <m:sty m:val="p"/>
                    </m:rPr>
                    <m:t>R</m:t>
                  </m:r>
                </m:sub>
              </m:sSub>
              <m:r>
                <m:rPr>
                  <m:sty m:val="p"/>
                </m:rPr>
                <m:t>−</m:t>
              </m:r>
              <m:r>
                <m:t>δ</m:t>
              </m:r>
              <m:r>
                <m:rPr>
                  <m:sty m:val="p"/>
                </m:rPr>
                <m:t>log</m:t>
              </m:r>
              <m:sSub>
                <m:e>
                  <m:r>
                    <m:rPr>
                      <m:sty m:val="p"/>
                    </m:rPr>
                    <m:t>Σ</m:t>
                  </m:r>
                </m:e>
                <m:sub>
                  <m:r>
                    <m:rPr>
                      <m:sty m:val="p"/>
                    </m:rPr>
                    <m:t>Φ</m:t>
                  </m:r>
                </m:sub>
              </m:sSub>
            </m:e>
          </m:d>
          <m:r>
            <m:rPr>
              <m:sty m:val="p"/>
            </m:rPr>
            <m:t>,</m:t>
          </m:r>
        </m:oMath>
      </m:oMathPara>
    </w:p>
    <w:p>
      <w:pPr>
        <w:pStyle w:val="FirstParagraph"/>
      </w:pPr>
      <w:r>
        <w:t xml:space="preserve">and the actual abundance is the exponential time-filtered response over</w:t>
      </w:r>
      <w:r>
        <w:t xml:space="preserve"> </w:t>
      </w:r>
      <m:oMath>
        <m:sSub>
          <m:e>
            <m:r>
              <m:t>τ</m:t>
            </m:r>
          </m:e>
          <m:sub>
            <m:r>
              <m:rPr>
                <m:sty m:val="p"/>
              </m:rPr>
              <m:t>Φ</m:t>
            </m:r>
          </m:sub>
        </m:sSub>
      </m:oMath>
      <w:r>
        <w:t xml:space="preserve">. Equivalently, the sign is governed by the competition</w:t>
      </w:r>
    </w:p>
    <w:p>
      <w:pPr>
        <w:pStyle w:val="BodyText"/>
      </w:pPr>
      <m:oMathPara>
        <m:oMathParaPr>
          <m:jc m:val="center"/>
        </m:oMathParaPr>
        <m:oMath>
          <m:r>
            <m:t>δ</m:t>
          </m:r>
          <m:r>
            <m:t>Z</m:t>
          </m:r>
          <m:r>
            <m:t> </m:t>
          </m:r>
          <m:r>
            <m:rPr>
              <m:sty m:val="p"/>
            </m:rPr>
            <m:t>∝</m:t>
          </m:r>
          <m:r>
            <m:t> </m:t>
          </m:r>
          <m:r>
            <m:t>δ</m:t>
          </m:r>
          <m:r>
            <m:rPr>
              <m:sty m:val="p"/>
            </m:rPr>
            <m:t>log</m:t>
          </m:r>
          <m:sSub>
            <m:e>
              <m:r>
                <m:t>τ</m:t>
              </m:r>
            </m:e>
            <m:sub>
              <m:r>
                <m:rPr>
                  <m:sty m:val="p"/>
                </m:rPr>
                <m:t>Φ</m:t>
              </m:r>
            </m:sub>
          </m:sSub>
          <m:r>
            <m:rPr>
              <m:sty m:val="p"/>
            </m:rPr>
            <m:t>−</m:t>
          </m:r>
          <m:r>
            <m:t>δ</m:t>
          </m:r>
          <m:r>
            <m:rPr>
              <m:sty m:val="p"/>
            </m:rPr>
            <m:t>log</m:t>
          </m:r>
          <m:sSub>
            <m:e>
              <m:r>
                <m:t>τ</m:t>
              </m:r>
            </m:e>
            <m:sub>
              <m:r>
                <m:rPr>
                  <m:sty m:val="p"/>
                </m:rPr>
                <m:t>d</m:t>
              </m:r>
              <m:r>
                <m:rPr>
                  <m:sty m:val="p"/>
                </m:rPr>
                <m:t>e</m:t>
              </m:r>
              <m:r>
                <m:rPr>
                  <m:sty m:val="p"/>
                </m:rPr>
                <m:t>p</m:t>
              </m:r>
            </m:sub>
          </m:sSub>
          <m:r>
            <m:rPr>
              <m:sty m:val="p"/>
            </m:rPr>
            <m:t>.</m:t>
          </m:r>
        </m:oMath>
      </m:oMathPara>
    </w:p>
    <w:p>
      <w:pPr>
        <w:pStyle w:val="FirstParagraph"/>
      </w:pPr>
      <w:r>
        <w:t xml:space="preserve">Efficiency/depletion-time variations dominate the positive high-density branch; supply/dilution variations dominate the negative low-density branch. (</w:t>
      </w:r>
      <w:hyperlink r:id="rId14">
        <w:r>
          <w:rPr>
            <w:rStyle w:val="Hyperlink"/>
          </w:rPr>
          <w:t xml:space="preserve">Huang et al. 2026</w:t>
        </w:r>
      </w:hyperlink>
      <w:r>
        <w:t xml:space="preserve">)</w:t>
      </w:r>
    </w:p>
    <w:p>
      <w:pPr>
        <w:pStyle w:val="BodyText"/>
      </w:pPr>
      <w:r>
        <w:t xml:space="preserve">This model is directly aligned with Wang &amp; Lilly (2021), but adds a resolved, mass-dependent observational target. Its main uncertainties are metallicity-calibrator dependence, DIG/shock contamination, gas-surface-density availability, the conversion from spatial ensembles to temporal forcing, and the fact that environmental processes in Virgo can change both supply and efficiency.</w:t>
      </w:r>
    </w:p>
    <w:bookmarkEnd w:id="65"/>
    <w:bookmarkEnd w:id="66"/>
    <w:bookmarkStart w:id="69" w:name="Xd224aef7e00a9cd98ab7ac608683087e94bdbc9"/>
    <w:p>
      <w:pPr>
        <w:pStyle w:val="Heading1"/>
      </w:pPr>
      <w:r>
        <w:t xml:space="preserve">7. Positive correlations already seen or predicted elsewhere</w:t>
      </w:r>
    </w:p>
    <w:p>
      <w:pPr>
        <w:pStyle w:val="FirstParagraph"/>
      </w:pPr>
      <w:r>
        <w:t xml:space="preserve">A positive branch should not be introduced as though no precedent exists.</w:t>
      </w:r>
    </w:p>
    <w:p>
      <w:pPr>
        <w:pStyle w:val="Compact"/>
        <w:numPr>
          <w:ilvl w:val="0"/>
          <w:numId w:val="1007"/>
        </w:numPr>
      </w:pPr>
      <w:r>
        <w:t xml:space="preserve">Yates, Kauffmann &amp; Guo (2012) find opposite SFR–metallicity signs at low and high stellar mass in SDSS and L-GALAXIES. Their massive, low-SFR, low-metallicity systems have exhausted gas after a burst and are subsequently diluted by weak accretion. Yates &amp; Kauffmann (2014) develop this “slow dilution after quenching” explanation and identify correlated morphology, black-hole mass, gas fraction, and</w:t>
      </w:r>
      <w:r>
        <w:t xml:space="preserve"> </w:t>
      </w:r>
      <m:oMath>
        <m:sSub>
          <m:e>
            <m:r>
              <m:t>Z</m:t>
            </m:r>
          </m:e>
          <m:sub>
            <m:r>
              <m:rPr>
                <m:sty m:val="p"/>
              </m:rPr>
              <m:t>g</m:t>
            </m:r>
          </m:sub>
        </m:sSub>
        <m:r>
          <m:rPr>
            <m:sty m:val="p"/>
          </m:rPr>
          <m:t>−</m:t>
        </m:r>
        <m:sSub>
          <m:e>
            <m:r>
              <m:t>Z</m:t>
            </m:r>
          </m:e>
          <m:sub>
            <m:r>
              <m:rPr>
                <m:sty m:val="p"/>
              </m:rPr>
              <m:t>⋆</m:t>
            </m:r>
          </m:sub>
        </m:sSub>
      </m:oMath>
      <w:r>
        <w:t xml:space="preserve"> </w:t>
      </w:r>
      <w:r>
        <w:t xml:space="preserve">signatures. This is a semi-analytic evolutionary population mechanism, not the same as the short-timescale SFE driver. (</w:t>
      </w:r>
      <w:hyperlink r:id="rId67">
        <w:r>
          <w:rPr>
            <w:rStyle w:val="Hyperlink"/>
          </w:rPr>
          <w:t xml:space="preserve">Yates et al. 2012</w:t>
        </w:r>
      </w:hyperlink>
      <w:r>
        <w:t xml:space="preserve">)</w:t>
      </w:r>
      <w:r>
        <w:t xml:space="preserve"> </w:t>
      </w:r>
      <w:r>
        <w:t xml:space="preserve">(</w:t>
      </w:r>
      <w:hyperlink r:id="rId68">
        <w:r>
          <w:rPr>
            <w:rStyle w:val="Hyperlink"/>
          </w:rPr>
          <w:t xml:space="preserve">Yates &amp; Kauffmann 2014</w:t>
        </w:r>
      </w:hyperlink>
      <w:r>
        <w:t xml:space="preserve">)</w:t>
      </w:r>
    </w:p>
    <w:p>
      <w:pPr>
        <w:pStyle w:val="Compact"/>
        <w:numPr>
          <w:ilvl w:val="0"/>
          <w:numId w:val="1007"/>
        </w:numPr>
      </w:pPr>
      <w:r>
        <w:t xml:space="preserve">Forbes et al. (2014) explicitly note that galaxy-to-galaxy scatter in mass loading can generate a</w:t>
      </w:r>
      <w:r>
        <w:t xml:space="preserve"> </w:t>
      </w:r>
      <w:r>
        <w:rPr>
          <w:b/>
          <w:bCs/>
        </w:rPr>
        <w:t xml:space="preserve">positive</w:t>
      </w:r>
      <w:r>
        <w:t xml:space="preserve"> </w:t>
      </w:r>
      <w:r>
        <w:t xml:space="preserve">equilibrium SFR–metallicity slope, because both quantities fall as</w:t>
      </w:r>
      <w:r>
        <w:t xml:space="preserve"> </w:t>
      </w:r>
      <m:oMath>
        <m:r>
          <m:t>η</m:t>
        </m:r>
      </m:oMath>
      <w:r>
        <w:t xml:space="preserve"> </w:t>
      </w:r>
      <w:r>
        <w:t xml:space="preserve">rises. Their worked stochastic model holds</w:t>
      </w:r>
      <w:r>
        <w:t xml:space="preserve"> </w:t>
      </w:r>
      <m:oMath>
        <m:r>
          <m:t>η</m:t>
        </m:r>
      </m:oMath>
      <w:r>
        <w:t xml:space="preserve"> </w:t>
      </w:r>
      <w:r>
        <w:t xml:space="preserve">fixed and therefore isolates the negative inflow route. (</w:t>
      </w:r>
      <w:hyperlink r:id="rId33">
        <w:r>
          <w:rPr>
            <w:rStyle w:val="Hyperlink"/>
          </w:rPr>
          <w:t xml:space="preserve">Forbes et al. 2014</w:t>
        </w:r>
      </w:hyperlink>
      <w:r>
        <w:t xml:space="preserve">)</w:t>
      </w:r>
    </w:p>
    <w:p>
      <w:pPr>
        <w:pStyle w:val="Compact"/>
        <w:numPr>
          <w:ilvl w:val="0"/>
          <w:numId w:val="1007"/>
        </w:numPr>
      </w:pPr>
      <w:r>
        <w:t xml:space="preserve">Wang &amp; Lilly (2021) analytically predict a positive response to SFE forcing, and Huang et al. (2026) use the same driver competition for a resolved sign inversion. These are the closest precedents to the proposed modifications.</w:t>
      </w:r>
    </w:p>
    <w:p>
      <w:pPr>
        <w:pStyle w:val="FirstParagraph"/>
      </w:pPr>
      <w:r>
        <w:t xml:space="preserve">The mechanisms make different predictions. Slow dilution predicts positive SFR–</w:t>
      </w:r>
      <m:oMath>
        <m:r>
          <m:t>Z</m:t>
        </m:r>
      </m:oMath>
      <w:r>
        <w:t xml:space="preserve"> </w:t>
      </w:r>
      <w:r>
        <w:t xml:space="preserve">because the low-SFR tail is abnormally metal poor and often morphologically distinct. Efficiency forcing predicts the high-SFR tail to be metal enhanced at otherwise comparable gas supply. Mass-loading scatter predicts both SFR and equilibrium</w:t>
      </w:r>
      <w:r>
        <w:t xml:space="preserve"> </w:t>
      </w:r>
      <m:oMath>
        <m:r>
          <m:t>Z</m:t>
        </m:r>
      </m:oMath>
      <w:r>
        <w:t xml:space="preserve"> </w:t>
      </w:r>
      <w:r>
        <w:t xml:space="preserve">to track</w:t>
      </w:r>
      <w:r>
        <w:t xml:space="preserve"> </w:t>
      </w:r>
      <m:oMath>
        <m:r>
          <m:t>1</m:t>
        </m:r>
        <m:r>
          <m:rPr>
            <m:sty m:val="p"/>
          </m:rPr>
          <m:t>/</m:t>
        </m:r>
        <m:r>
          <m:rPr>
            <m:sty m:val="p"/>
          </m:rPr>
          <m:t>(</m:t>
        </m:r>
        <m:r>
          <m:t>1</m:t>
        </m:r>
        <m:r>
          <m:rPr>
            <m:sty m:val="p"/>
          </m:rPr>
          <m:t>−</m:t>
        </m:r>
        <m:r>
          <m:t>R</m:t>
        </m:r>
        <m:r>
          <m:rPr>
            <m:sty m:val="p"/>
          </m:rPr>
          <m:t>+</m:t>
        </m:r>
        <m:r>
          <m:t>η</m:t>
        </m:r>
        <m:r>
          <m:rPr>
            <m:sty m:val="p"/>
          </m:rPr>
          <m:t>)</m:t>
        </m:r>
      </m:oMath>
      <w:r>
        <w:t xml:space="preserve">. They should not be collapsed into one “positive FMR” label.</w:t>
      </w:r>
    </w:p>
    <w:bookmarkEnd w:id="69"/>
    <w:bookmarkStart w:id="74" w:name="Xc66b1af229c880815f23c86aacaaf41a9533409"/>
    <w:p>
      <w:pPr>
        <w:pStyle w:val="Heading1"/>
      </w:pPr>
      <w:r>
        <w:t xml:space="preserve">8. Modifying Wang et al. (2026) to obtain a positive fixed-mass slope</w:t>
      </w:r>
    </w:p>
    <w:bookmarkStart w:id="70" w:name="X03c22b1789990a8e262c804249b30b7c0cd18f6"/>
    <w:p>
      <w:pPr>
        <w:pStyle w:val="Heading2"/>
      </w:pPr>
      <w:r>
        <w:t xml:space="preserve">8.1 Why the published ideal mapping is negative</w:t>
      </w:r>
    </w:p>
    <w:p>
      <w:pPr>
        <w:pStyle w:val="FirstParagraph"/>
      </w:pPr>
      <w:r>
        <w:t xml:space="preserve">In the inflow-driven limit, Wang et al. obtain</w:t>
      </w:r>
    </w:p>
    <w:p>
      <w:pPr>
        <w:pStyle w:val="BodyText"/>
      </w:pPr>
      <m:oMathPara>
        <m:oMathParaPr>
          <m:jc m:val="center"/>
        </m:oMathParaPr>
        <m:oMath>
          <m:sSub>
            <m:e>
              <m:r>
                <m:t>Z</m:t>
              </m:r>
            </m:e>
            <m:sub>
              <m:r>
                <m:rPr>
                  <m:sty m:val="p"/>
                </m:rPr>
                <m:t>g</m:t>
              </m:r>
            </m:sub>
          </m:sSub>
          <m:r>
            <m:rPr>
              <m:sty m:val="p"/>
            </m:rPr>
            <m:t>=</m:t>
          </m:r>
          <m:f>
            <m:fPr>
              <m:type m:val="bar"/>
            </m:fPr>
            <m:num>
              <m:r>
                <m:t>y</m:t>
              </m:r>
              <m:r>
                <m:t>ϵ</m:t>
              </m:r>
            </m:num>
            <m:den>
              <m:r>
                <m:t>1</m:t>
              </m:r>
              <m:r>
                <m:rPr>
                  <m:sty m:val="p"/>
                </m:rPr>
                <m:t>−</m:t>
              </m:r>
              <m:r>
                <m:t>R</m:t>
              </m:r>
            </m:den>
          </m:f>
          <m:f>
            <m:fPr>
              <m:type m:val="bar"/>
            </m:fPr>
            <m:num>
              <m:sSub>
                <m:e>
                  <m:r>
                    <m:t>M</m:t>
                  </m:r>
                </m:e>
                <m:sub>
                  <m:r>
                    <m:rPr>
                      <m:sty m:val="p"/>
                    </m:rPr>
                    <m:t>⋆</m:t>
                  </m:r>
                </m:sub>
              </m:sSub>
            </m:num>
            <m:den>
              <m:r>
                <m:rPr>
                  <m:sty m:val="p"/>
                </m:rPr>
                <m:t>S</m:t>
              </m:r>
              <m:r>
                <m:rPr>
                  <m:sty m:val="p"/>
                </m:rPr>
                <m:t>F</m:t>
              </m:r>
              <m:r>
                <m:rPr>
                  <m:sty m:val="p"/>
                </m:rPr>
                <m:t>R</m:t>
              </m:r>
            </m:den>
          </m:f>
          <m:r>
            <m:rPr>
              <m:sty m:val="p"/>
            </m:rPr>
            <m:t>.</m:t>
          </m:r>
        </m:oMath>
      </m:oMathPara>
    </w:p>
    <w:p>
      <w:pPr>
        <w:pStyle w:val="FirstParagraph"/>
      </w:pPr>
      <w:r>
        <w:t xml:space="preserve">If</w:t>
      </w:r>
      <w:r>
        <w:t xml:space="preserve"> </w:t>
      </w:r>
      <m:oMath>
        <m:sSub>
          <m:e>
            <m:r>
              <m:t>M</m:t>
            </m:r>
          </m:e>
          <m:sub>
            <m:r>
              <m:rPr>
                <m:sty m:val="p"/>
              </m:rPr>
              <m:t>⋆</m:t>
            </m:r>
          </m:sub>
        </m:sSub>
      </m:oMath>
      <w:r>
        <w:t xml:space="preserve"> </w:t>
      </w:r>
      <w:r>
        <w:t xml:space="preserve">and</w:t>
      </w:r>
      <w:r>
        <w:t xml:space="preserve"> </w:t>
      </w:r>
      <m:oMath>
        <m:r>
          <m:t>ϵ</m:t>
        </m:r>
      </m:oMath>
      <w:r>
        <w:t xml:space="preserve"> </w:t>
      </w:r>
      <w:r>
        <w:t xml:space="preserve">are fixed,</w:t>
      </w:r>
      <w:r>
        <w:t xml:space="preserve"> </w:t>
      </w:r>
      <m:oMath>
        <m:sSub>
          <m:e>
            <m:r>
              <m:t>Z</m:t>
            </m:r>
          </m:e>
          <m:sub>
            <m:r>
              <m:rPr>
                <m:sty m:val="p"/>
              </m:rPr>
              <m:t>g</m:t>
            </m:r>
          </m:sub>
        </m:sSub>
        <m:r>
          <m:rPr>
            <m:sty m:val="p"/>
          </m:rPr>
          <m:t>∝</m:t>
        </m:r>
        <m:sSup>
          <m:e>
            <m:r>
              <m:rPr>
                <m:sty m:val="p"/>
              </m:rPr>
              <m:t>S</m:t>
            </m:r>
            <m:r>
              <m:rPr>
                <m:sty m:val="p"/>
              </m:rPr>
              <m:t>F</m:t>
            </m:r>
            <m:r>
              <m:rPr>
                <m:sty m:val="p"/>
              </m:rPr>
              <m:t>R</m:t>
            </m:r>
          </m:e>
          <m:sup>
            <m:r>
              <m:rPr>
                <m:sty m:val="p"/>
              </m:rPr>
              <m:t>−</m:t>
            </m:r>
            <m:r>
              <m:t>1</m:t>
            </m:r>
          </m:sup>
        </m:sSup>
      </m:oMath>
      <w:r>
        <w:t xml:space="preserve">: the slope is necessarily negative. The gFMR says the same thing in state-variable form: high gas fraction means low enrichment per unit gas, and fixed efficiency maps high gas mass into high SFR.</w:t>
      </w:r>
    </w:p>
    <w:bookmarkEnd w:id="70"/>
    <w:bookmarkStart w:id="71" w:name="minimal-residual-efficiency-extension"/>
    <w:p>
      <w:pPr>
        <w:pStyle w:val="Heading2"/>
      </w:pPr>
      <w:r>
        <w:t xml:space="preserve">8.2 Minimal residual-efficiency extension</w:t>
      </w:r>
    </w:p>
    <w:p>
      <w:pPr>
        <w:pStyle w:val="FirstParagraph"/>
      </w:pPr>
      <w:r>
        <w:t xml:space="preserve">Do</w:t>
      </w:r>
      <w:r>
        <w:t xml:space="preserve"> </w:t>
      </w:r>
      <w:r>
        <w:rPr>
          <w:b/>
          <w:bCs/>
        </w:rPr>
        <w:t xml:space="preserve">not</w:t>
      </w:r>
      <w:r>
        <w:t xml:space="preserve"> </w:t>
      </w:r>
      <w:r>
        <w:t xml:space="preserve">alter the metal-yield sign or introduce an ad hoc positive term. Retain the continuity equations and allow efficiency to vary between systems or in time:</w:t>
      </w:r>
    </w:p>
    <w:p>
      <w:pPr>
        <w:pStyle w:val="BodyText"/>
      </w:pPr>
      <m:oMathPara>
        <m:oMathParaPr>
          <m:jc m:val="center"/>
        </m:oMathParaPr>
        <m:oMath>
          <m:r>
            <m:rPr>
              <m:sty m:val="p"/>
            </m:rPr>
            <m:t>ln</m:t>
          </m:r>
          <m:r>
            <m:t>ϵ</m:t>
          </m:r>
          <m:r>
            <m:rPr>
              <m:sty m:val="p"/>
            </m:rPr>
            <m:t>=</m:t>
          </m:r>
          <m:r>
            <m:rPr>
              <m:sty m:val="p"/>
            </m:rPr>
            <m:t>ln</m:t>
          </m:r>
          <m:acc>
            <m:accPr>
              <m:chr m:val="‾"/>
            </m:accPr>
            <m:e>
              <m:r>
                <m:t>ϵ</m:t>
              </m:r>
            </m:e>
          </m:acc>
          <m:r>
            <m:rPr>
              <m:sty m:val="p"/>
            </m:rPr>
            <m:t>(</m:t>
          </m:r>
          <m:sSub>
            <m:e>
              <m:r>
                <m:t>M</m:t>
              </m:r>
            </m:e>
            <m:sub>
              <m:r>
                <m:rPr>
                  <m:sty m:val="p"/>
                </m:rPr>
                <m:t>⋆</m:t>
              </m:r>
            </m:sub>
          </m:sSub>
          <m:r>
            <m:rPr>
              <m:sty m:val="p"/>
            </m:rPr>
            <m:t>,</m:t>
          </m:r>
          <m:r>
            <m:t>z</m:t>
          </m:r>
          <m:r>
            <m:rPr>
              <m:sty m:val="p"/>
            </m:rPr>
            <m:t>)</m:t>
          </m:r>
          <m:r>
            <m:rPr>
              <m:sty m:val="p"/>
            </m:rPr>
            <m:t>+</m:t>
          </m:r>
          <m:sSub>
            <m:e>
              <m:r>
                <m:t>δ</m:t>
              </m:r>
            </m:e>
            <m:sub>
              <m:r>
                <m:t>ϵ</m:t>
              </m:r>
            </m:sub>
          </m:sSub>
          <m:r>
            <m:rPr>
              <m:sty m:val="p"/>
            </m:rPr>
            <m:t>(</m:t>
          </m:r>
          <m:r>
            <m:t>t</m:t>
          </m:r>
          <m:r>
            <m:rPr>
              <m:sty m:val="p"/>
            </m:rPr>
            <m:t>)</m:t>
          </m:r>
          <m:r>
            <m:rPr>
              <m:sty m:val="p"/>
            </m:rPr>
            <m:t>,</m:t>
          </m:r>
          <m:r>
            <m:t>  </m:t>
          </m:r>
          <m:r>
            <m:rPr>
              <m:sty m:val="p"/>
            </m:rPr>
            <m:t>ln</m:t>
          </m:r>
          <m:r>
            <m:rPr>
              <m:sty m:val="p"/>
            </m:rPr>
            <m:t>Φ</m:t>
          </m:r>
          <m:r>
            <m:rPr>
              <m:sty m:val="p"/>
            </m:rPr>
            <m:t>=</m:t>
          </m:r>
          <m:r>
            <m:rPr>
              <m:sty m:val="p"/>
            </m:rPr>
            <m:t>ln</m:t>
          </m:r>
          <m:acc>
            <m:accPr>
              <m:chr m:val="‾"/>
            </m:accPr>
            <m:e>
              <m:r>
                <m:rPr>
                  <m:sty m:val="p"/>
                </m:rPr>
                <m:t>Φ</m:t>
              </m:r>
            </m:e>
          </m:acc>
          <m:r>
            <m:rPr>
              <m:sty m:val="p"/>
            </m:rPr>
            <m:t>(</m:t>
          </m:r>
          <m:sSub>
            <m:e>
              <m:r>
                <m:t>M</m:t>
              </m:r>
            </m:e>
            <m:sub>
              <m:r>
                <m:rPr>
                  <m:sty m:val="p"/>
                </m:rPr>
                <m:t>⋆</m:t>
              </m:r>
            </m:sub>
          </m:sSub>
          <m:r>
            <m:rPr>
              <m:sty m:val="p"/>
            </m:rPr>
            <m:t>,</m:t>
          </m:r>
          <m:r>
            <m:t>z</m:t>
          </m:r>
          <m:r>
            <m:rPr>
              <m:sty m:val="p"/>
            </m:rPr>
            <m:t>)</m:t>
          </m:r>
          <m:r>
            <m:rPr>
              <m:sty m:val="p"/>
            </m:rPr>
            <m:t>+</m:t>
          </m:r>
          <m:sSub>
            <m:e>
              <m:r>
                <m:t>δ</m:t>
              </m:r>
            </m:e>
            <m:sub>
              <m:r>
                <m:rPr>
                  <m:sty m:val="p"/>
                </m:rPr>
                <m:t>Φ</m:t>
              </m:r>
            </m:sub>
          </m:sSub>
          <m:r>
            <m:rPr>
              <m:sty m:val="p"/>
            </m:rPr>
            <m:t>(</m:t>
          </m:r>
          <m:r>
            <m:t>t</m:t>
          </m:r>
          <m:r>
            <m:rPr>
              <m:sty m:val="p"/>
            </m:rPr>
            <m:t>)</m:t>
          </m:r>
          <m:r>
            <m:rPr>
              <m:sty m:val="p"/>
            </m:rPr>
            <m:t>.</m:t>
          </m:r>
        </m:oMath>
      </m:oMathPara>
    </w:p>
    <w:p>
      <w:pPr>
        <w:pStyle w:val="FirstParagraph"/>
      </w:pPr>
      <w:r>
        <w:t xml:space="preserve">At fixed</w:t>
      </w:r>
      <w:r>
        <w:t xml:space="preserve"> </w:t>
      </w:r>
      <m:oMath>
        <m:sSub>
          <m:e>
            <m:r>
              <m:t>M</m:t>
            </m:r>
          </m:e>
          <m:sub>
            <m:r>
              <m:rPr>
                <m:sty m:val="p"/>
              </m:rPr>
              <m:t>⋆</m:t>
            </m:r>
          </m:sub>
        </m:sSub>
      </m:oMath>
      <w:r>
        <w:t xml:space="preserve"> </w:t>
      </w:r>
      <w:r>
        <w:t xml:space="preserve">in the early inflow-driven solution,</w:t>
      </w:r>
    </w:p>
    <w:p>
      <w:pPr>
        <w:pStyle w:val="BodyText"/>
      </w:pPr>
      <m:oMathPara>
        <m:oMathParaPr>
          <m:jc m:val="center"/>
        </m:oMathParaPr>
        <m:oMath>
          <m:r>
            <m:t>t</m:t>
          </m:r>
          <m:r>
            <m:rPr>
              <m:sty m:val="p"/>
            </m:rPr>
            <m:t>=</m:t>
          </m:r>
          <m:sSup>
            <m:e>
              <m:d>
                <m:dPr>
                  <m:begChr m:val="["/>
                  <m:sepChr m:val=""/>
                  <m:endChr m:val="]"/>
                  <m:grow/>
                </m:dPr>
                <m:e>
                  <m:f>
                    <m:fPr>
                      <m:type m:val="bar"/>
                    </m:fPr>
                    <m:num>
                      <m:r>
                        <m:t>2</m:t>
                      </m:r>
                      <m:sSub>
                        <m:e>
                          <m:r>
                            <m:t>M</m:t>
                          </m:r>
                        </m:e>
                        <m:sub>
                          <m:r>
                            <m:rPr>
                              <m:sty m:val="p"/>
                            </m:rPr>
                            <m:t>⋆</m:t>
                          </m:r>
                        </m:sub>
                      </m:sSub>
                    </m:num>
                    <m:den>
                      <m:r>
                        <m:rPr>
                          <m:sty m:val="p"/>
                        </m:rPr>
                        <m:t>(</m:t>
                      </m:r>
                      <m:r>
                        <m:t>1</m:t>
                      </m:r>
                      <m:r>
                        <m:rPr>
                          <m:sty m:val="p"/>
                        </m:rPr>
                        <m:t>−</m:t>
                      </m:r>
                      <m:r>
                        <m:t>R</m:t>
                      </m:r>
                      <m:r>
                        <m:rPr>
                          <m:sty m:val="p"/>
                        </m:rPr>
                        <m:t>)</m:t>
                      </m:r>
                      <m:r>
                        <m:rPr>
                          <m:sty m:val="p"/>
                        </m:rPr>
                        <m:t>Φ</m:t>
                      </m:r>
                      <m:r>
                        <m:t>ϵ</m:t>
                      </m:r>
                    </m:den>
                  </m:f>
                </m:e>
              </m:d>
            </m:e>
            <m:sup>
              <m:r>
                <m:t>1</m:t>
              </m:r>
              <m:r>
                <m:rPr>
                  <m:sty m:val="p"/>
                </m:rPr>
                <m:t>/</m:t>
              </m:r>
              <m:r>
                <m:t>2</m:t>
              </m:r>
            </m:sup>
          </m:sSup>
          <m:r>
            <m:rPr>
              <m:sty m:val="p"/>
            </m:rPr>
            <m:t>,</m:t>
          </m:r>
        </m:oMath>
      </m:oMathPara>
    </w:p>
    <w:p>
      <w:pPr>
        <w:pStyle w:val="FirstParagraph"/>
      </w:pPr>
      <m:oMathPara>
        <m:oMathParaPr>
          <m:jc m:val="center"/>
        </m:oMathParaPr>
        <m:oMath>
          <m:r>
            <m:rPr>
              <m:sty m:val="p"/>
            </m:rPr>
            <m:t>S</m:t>
          </m:r>
          <m:r>
            <m:rPr>
              <m:sty m:val="p"/>
            </m:rPr>
            <m:t>F</m:t>
          </m:r>
          <m:r>
            <m:rPr>
              <m:sty m:val="p"/>
            </m:rPr>
            <m:t>R</m:t>
          </m:r>
          <m:r>
            <m:rPr>
              <m:sty m:val="p"/>
            </m:rPr>
            <m:t>=</m:t>
          </m:r>
          <m:sSup>
            <m:e>
              <m:d>
                <m:dPr>
                  <m:begChr m:val="["/>
                  <m:sepChr m:val=""/>
                  <m:endChr m:val="]"/>
                  <m:grow/>
                </m:dPr>
                <m:e>
                  <m:f>
                    <m:fPr>
                      <m:type m:val="bar"/>
                    </m:fPr>
                    <m:num>
                      <m:r>
                        <m:t>2</m:t>
                      </m:r>
                      <m:r>
                        <m:t>ϵ</m:t>
                      </m:r>
                      <m:r>
                        <m:rPr>
                          <m:sty m:val="p"/>
                        </m:rPr>
                        <m:t>Φ</m:t>
                      </m:r>
                      <m:sSub>
                        <m:e>
                          <m:r>
                            <m:t>M</m:t>
                          </m:r>
                        </m:e>
                        <m:sub>
                          <m:r>
                            <m:rPr>
                              <m:sty m:val="p"/>
                            </m:rPr>
                            <m:t>⋆</m:t>
                          </m:r>
                        </m:sub>
                      </m:sSub>
                    </m:num>
                    <m:den>
                      <m:r>
                        <m:t>1</m:t>
                      </m:r>
                      <m:r>
                        <m:rPr>
                          <m:sty m:val="p"/>
                        </m:rPr>
                        <m:t>−</m:t>
                      </m:r>
                      <m:r>
                        <m:t>R</m:t>
                      </m:r>
                    </m:den>
                  </m:f>
                </m:e>
              </m:d>
            </m:e>
            <m:sup>
              <m:r>
                <m:t>1</m:t>
              </m:r>
              <m:r>
                <m:rPr>
                  <m:sty m:val="p"/>
                </m:rPr>
                <m:t>/</m:t>
              </m:r>
              <m:r>
                <m:t>2</m:t>
              </m:r>
            </m:sup>
          </m:sSup>
          <m:r>
            <m:rPr>
              <m:sty m:val="p"/>
            </m:rPr>
            <m:t>,</m:t>
          </m:r>
          <m:r>
            <m:t>  </m:t>
          </m:r>
          <m:sSub>
            <m:e>
              <m:r>
                <m:t>Z</m:t>
              </m:r>
            </m:e>
            <m:sub>
              <m:r>
                <m:rPr>
                  <m:sty m:val="p"/>
                </m:rPr>
                <m:t>g</m:t>
              </m:r>
            </m:sub>
          </m:sSub>
          <m:r>
            <m:rPr>
              <m:sty m:val="p"/>
            </m:rPr>
            <m:t>=</m:t>
          </m:r>
          <m:f>
            <m:fPr>
              <m:type m:val="bar"/>
            </m:fPr>
            <m:num>
              <m:r>
                <m:t>y</m:t>
              </m:r>
            </m:num>
            <m:den>
              <m:r>
                <m:t>2</m:t>
              </m:r>
            </m:den>
          </m:f>
          <m:sSup>
            <m:e>
              <m:d>
                <m:dPr>
                  <m:begChr m:val="["/>
                  <m:sepChr m:val=""/>
                  <m:endChr m:val="]"/>
                  <m:grow/>
                </m:dPr>
                <m:e>
                  <m:f>
                    <m:fPr>
                      <m:type m:val="bar"/>
                    </m:fPr>
                    <m:num>
                      <m:r>
                        <m:t>2</m:t>
                      </m:r>
                      <m:r>
                        <m:t>ϵ</m:t>
                      </m:r>
                      <m:sSub>
                        <m:e>
                          <m:r>
                            <m:t>M</m:t>
                          </m:r>
                        </m:e>
                        <m:sub>
                          <m:r>
                            <m:rPr>
                              <m:sty m:val="p"/>
                            </m:rPr>
                            <m:t>⋆</m:t>
                          </m:r>
                        </m:sub>
                      </m:sSub>
                    </m:num>
                    <m:den>
                      <m:r>
                        <m:rPr>
                          <m:sty m:val="p"/>
                        </m:rPr>
                        <m:t>(</m:t>
                      </m:r>
                      <m:r>
                        <m:t>1</m:t>
                      </m:r>
                      <m:r>
                        <m:rPr>
                          <m:sty m:val="p"/>
                        </m:rPr>
                        <m:t>−</m:t>
                      </m:r>
                      <m:r>
                        <m:t>R</m:t>
                      </m:r>
                      <m:r>
                        <m:rPr>
                          <m:sty m:val="p"/>
                        </m:rPr>
                        <m:t>)</m:t>
                      </m:r>
                      <m:r>
                        <m:rPr>
                          <m:sty m:val="p"/>
                        </m:rPr>
                        <m:t>Φ</m:t>
                      </m:r>
                    </m:den>
                  </m:f>
                </m:e>
              </m:d>
            </m:e>
            <m:sup>
              <m:r>
                <m:t>1</m:t>
              </m:r>
              <m:r>
                <m:rPr>
                  <m:sty m:val="p"/>
                </m:rPr>
                <m:t>/</m:t>
              </m:r>
              <m:r>
                <m:t>2</m:t>
              </m:r>
            </m:sup>
          </m:sSup>
          <m:r>
            <m:rPr>
              <m:sty m:val="p"/>
            </m:rPr>
            <m:t>.</m:t>
          </m:r>
        </m:oMath>
      </m:oMathPara>
    </w:p>
    <w:p>
      <w:pPr>
        <w:pStyle w:val="FirstParagraph"/>
      </w:pPr>
      <w:r>
        <w:t xml:space="preserve">Thus, at fixed inflow,</w:t>
      </w:r>
    </w:p>
    <w:p>
      <w:pPr>
        <w:pStyle w:val="BodyText"/>
      </w:pPr>
      <m:oMathPara>
        <m:oMathParaPr>
          <m:jc m:val="center"/>
        </m:oMathParaPr>
        <m:oMath>
          <m:sSub>
            <m:e>
              <m:r>
                <m:t>Z</m:t>
              </m:r>
            </m:e>
            <m:sub>
              <m:r>
                <m:rPr>
                  <m:sty m:val="p"/>
                </m:rPr>
                <m:t>g</m:t>
              </m:r>
            </m:sub>
          </m:sSub>
          <m:r>
            <m:rPr>
              <m:sty m:val="p"/>
            </m:rPr>
            <m:t>=</m:t>
          </m:r>
          <m:f>
            <m:fPr>
              <m:type m:val="bar"/>
            </m:fPr>
            <m:num>
              <m:r>
                <m:t>y</m:t>
              </m:r>
            </m:num>
            <m:den>
              <m:r>
                <m:t>2</m:t>
              </m:r>
            </m:den>
          </m:f>
          <m:f>
            <m:fPr>
              <m:type m:val="bar"/>
            </m:fPr>
            <m:num>
              <m:r>
                <m:rPr>
                  <m:sty m:val="p"/>
                </m:rPr>
                <m:t>S</m:t>
              </m:r>
              <m:r>
                <m:rPr>
                  <m:sty m:val="p"/>
                </m:rPr>
                <m:t>F</m:t>
              </m:r>
              <m:r>
                <m:rPr>
                  <m:sty m:val="p"/>
                </m:rPr>
                <m:t>R</m:t>
              </m:r>
            </m:num>
            <m:den>
              <m:r>
                <m:rPr>
                  <m:sty m:val="p"/>
                </m:rPr>
                <m:t>Φ</m:t>
              </m:r>
            </m:den>
          </m:f>
        </m:oMath>
      </m:oMathPara>
    </w:p>
    <w:p>
      <w:pPr>
        <w:pStyle w:val="FirstParagraph"/>
      </w:pPr>
      <w:r>
        <w:t xml:space="preserve">in the yield convention of the FMR preprint: increasing efficiency moves both SFR and</w:t>
      </w:r>
      <w:r>
        <w:t xml:space="preserve"> </w:t>
      </w:r>
      <m:oMath>
        <m:sSub>
          <m:e>
            <m:r>
              <m:t>Z</m:t>
            </m:r>
          </m:e>
          <m:sub>
            <m:r>
              <m:rPr>
                <m:sty m:val="p"/>
              </m:rPr>
              <m:t>g</m:t>
            </m:r>
          </m:sub>
        </m:sSub>
      </m:oMath>
      <w:r>
        <w:t xml:space="preserve"> </w:t>
      </w:r>
      <w:r>
        <w:t xml:space="preserve">upward. In logarithmic residuals,</w:t>
      </w:r>
    </w:p>
    <w:p>
      <w:pPr>
        <w:pStyle w:val="BodyText"/>
      </w:pPr>
      <m:oMathPara>
        <m:oMathParaPr>
          <m:jc m:val="center"/>
        </m:oMathParaPr>
        <m:oMath>
          <m:r>
            <m:t>δ</m:t>
          </m:r>
          <m:r>
            <m:rPr>
              <m:sty m:val="p"/>
            </m:rPr>
            <m:t>ln</m:t>
          </m:r>
          <m:r>
            <m:rPr>
              <m:sty m:val="p"/>
            </m:rPr>
            <m:t>S</m:t>
          </m:r>
          <m:r>
            <m:rPr>
              <m:sty m:val="p"/>
            </m:rPr>
            <m:t>F</m:t>
          </m:r>
          <m:r>
            <m:rPr>
              <m:sty m:val="p"/>
            </m:rPr>
            <m:t>R</m:t>
          </m:r>
          <m:r>
            <m:rPr>
              <m:sty m:val="p"/>
            </m:rPr>
            <m:t>=</m:t>
          </m:r>
          <m:f>
            <m:fPr>
              <m:type m:val="lin"/>
            </m:fPr>
            <m:num>
              <m:r>
                <m:t>1</m:t>
              </m:r>
            </m:num>
            <m:den>
              <m:r>
                <m:t>2</m:t>
              </m:r>
            </m:den>
          </m:f>
          <m:r>
            <m:rPr>
              <m:sty m:val="p"/>
            </m:rPr>
            <m:t>(</m:t>
          </m:r>
          <m:r>
            <m:t>δ</m:t>
          </m:r>
          <m:r>
            <m:rPr>
              <m:sty m:val="p"/>
            </m:rPr>
            <m:t>ln</m:t>
          </m:r>
          <m:r>
            <m:t>ϵ</m:t>
          </m:r>
          <m:r>
            <m:rPr>
              <m:sty m:val="p"/>
            </m:rPr>
            <m:t>+</m:t>
          </m:r>
          <m:r>
            <m:t>δ</m:t>
          </m:r>
          <m:r>
            <m:rPr>
              <m:sty m:val="p"/>
            </m:rPr>
            <m:t>ln</m:t>
          </m:r>
          <m:r>
            <m:rPr>
              <m:sty m:val="p"/>
            </m:rPr>
            <m:t>Φ</m:t>
          </m:r>
          <m:r>
            <m:rPr>
              <m:sty m:val="p"/>
            </m:rPr>
            <m:t>)</m:t>
          </m:r>
          <m:r>
            <m:rPr>
              <m:sty m:val="p"/>
            </m:rPr>
            <m:t>,</m:t>
          </m:r>
        </m:oMath>
      </m:oMathPara>
    </w:p>
    <w:p>
      <w:pPr>
        <w:pStyle w:val="FirstParagraph"/>
      </w:pPr>
      <m:oMathPara>
        <m:oMathParaPr>
          <m:jc m:val="center"/>
        </m:oMathParaPr>
        <m:oMath>
          <m:r>
            <m:t>δ</m:t>
          </m:r>
          <m:r>
            <m:rPr>
              <m:sty m:val="p"/>
            </m:rPr>
            <m:t>ln</m:t>
          </m:r>
          <m:sSub>
            <m:e>
              <m:r>
                <m:t>Z</m:t>
              </m:r>
            </m:e>
            <m:sub>
              <m:r>
                <m:rPr>
                  <m:sty m:val="p"/>
                </m:rPr>
                <m:t>g</m:t>
              </m:r>
            </m:sub>
          </m:sSub>
          <m:r>
            <m:rPr>
              <m:sty m:val="p"/>
            </m:rPr>
            <m:t>=</m:t>
          </m:r>
          <m:f>
            <m:fPr>
              <m:type m:val="lin"/>
            </m:fPr>
            <m:num>
              <m:r>
                <m:t>1</m:t>
              </m:r>
            </m:num>
            <m:den>
              <m:r>
                <m:t>2</m:t>
              </m:r>
            </m:den>
          </m:f>
          <m:r>
            <m:rPr>
              <m:sty m:val="p"/>
            </m:rPr>
            <m:t>(</m:t>
          </m:r>
          <m:r>
            <m:t>δ</m:t>
          </m:r>
          <m:r>
            <m:rPr>
              <m:sty m:val="p"/>
            </m:rPr>
            <m:t>ln</m:t>
          </m:r>
          <m:r>
            <m:t>ϵ</m:t>
          </m:r>
          <m:r>
            <m:rPr>
              <m:sty m:val="p"/>
            </m:rPr>
            <m:t>−</m:t>
          </m:r>
          <m:r>
            <m:t>δ</m:t>
          </m:r>
          <m:r>
            <m:rPr>
              <m:sty m:val="p"/>
            </m:rPr>
            <m:t>ln</m:t>
          </m:r>
          <m:r>
            <m:rPr>
              <m:sty m:val="p"/>
            </m:rPr>
            <m:t>Φ</m:t>
          </m:r>
          <m:r>
            <m:rPr>
              <m:sty m:val="p"/>
            </m:rPr>
            <m:t>)</m:t>
          </m:r>
          <m:r>
            <m:rPr>
              <m:sty m:val="p"/>
            </m:rPr>
            <m:t>.</m:t>
          </m:r>
        </m:oMath>
      </m:oMathPara>
    </w:p>
    <w:p>
      <w:pPr>
        <w:pStyle w:val="FirstParagraph"/>
      </w:pPr>
      <w:r>
        <w:t xml:space="preserve">For uncorrelated drivers,</w:t>
      </w:r>
    </w:p>
    <w:p>
      <w:pPr>
        <w:pStyle w:val="BodyText"/>
      </w:pPr>
      <m:oMathPara>
        <m:oMathParaPr>
          <m:jc m:val="center"/>
        </m:oMathParaPr>
        <m:oMath>
          <m:r>
            <m:rPr>
              <m:sty m:val="p"/>
            </m:rPr>
            <m:t>C</m:t>
          </m:r>
          <m:r>
            <m:rPr>
              <m:sty m:val="p"/>
            </m:rPr>
            <m:t>o</m:t>
          </m:r>
          <m:r>
            <m:rPr>
              <m:sty m:val="p"/>
            </m:rPr>
            <m:t>v</m:t>
          </m:r>
          <m:r>
            <m:rPr>
              <m:sty m:val="p"/>
            </m:rPr>
            <m:t>(</m:t>
          </m:r>
          <m:r>
            <m:t>δ</m:t>
          </m:r>
          <m:r>
            <m:rPr>
              <m:sty m:val="p"/>
            </m:rPr>
            <m:t>ln</m:t>
          </m:r>
          <m:sSub>
            <m:e>
              <m:r>
                <m:t>Z</m:t>
              </m:r>
            </m:e>
            <m:sub>
              <m:r>
                <m:rPr>
                  <m:sty m:val="p"/>
                </m:rPr>
                <m:t>g</m:t>
              </m:r>
            </m:sub>
          </m:sSub>
          <m:r>
            <m:rPr>
              <m:sty m:val="p"/>
            </m:rPr>
            <m:t>,</m:t>
          </m:r>
          <m:r>
            <m:t>δ</m:t>
          </m:r>
          <m:r>
            <m:rPr>
              <m:sty m:val="p"/>
            </m:rPr>
            <m:t>ln</m:t>
          </m:r>
          <m:r>
            <m:rPr>
              <m:sty m:val="p"/>
            </m:rPr>
            <m:t>S</m:t>
          </m:r>
          <m:r>
            <m:rPr>
              <m:sty m:val="p"/>
            </m:rPr>
            <m:t>F</m:t>
          </m:r>
          <m:r>
            <m:rPr>
              <m:sty m:val="p"/>
            </m:rPr>
            <m:t>R</m:t>
          </m:r>
          <m:r>
            <m:rPr>
              <m:sty m:val="p"/>
            </m:rPr>
            <m:t>)</m:t>
          </m:r>
          <m:r>
            <m:rPr>
              <m:sty m:val="p"/>
            </m:rPr>
            <m:t>=</m:t>
          </m:r>
          <m:f>
            <m:fPr>
              <m:type m:val="bar"/>
            </m:fPr>
            <m:num>
              <m:r>
                <m:t>1</m:t>
              </m:r>
            </m:num>
            <m:den>
              <m:r>
                <m:t>4</m:t>
              </m:r>
            </m:den>
          </m:f>
          <m:d>
            <m:dPr>
              <m:begChr m:val="["/>
              <m:sepChr m:val=""/>
              <m:endChr m:val="]"/>
              <m:grow/>
            </m:dPr>
            <m:e>
              <m:r>
                <m:rPr>
                  <m:sty m:val="p"/>
                </m:rPr>
                <m:t>V</m:t>
              </m:r>
              <m:r>
                <m:rPr>
                  <m:sty m:val="p"/>
                </m:rPr>
                <m:t>a</m:t>
              </m:r>
              <m:r>
                <m:rPr>
                  <m:sty m:val="p"/>
                </m:rPr>
                <m:t>r</m:t>
              </m:r>
              <m:r>
                <m:rPr>
                  <m:sty m:val="p"/>
                </m:rPr>
                <m:t>(</m:t>
              </m:r>
              <m:r>
                <m:t>δ</m:t>
              </m:r>
              <m:r>
                <m:rPr>
                  <m:sty m:val="p"/>
                </m:rPr>
                <m:t>ln</m:t>
              </m:r>
              <m:r>
                <m:t>ϵ</m:t>
              </m:r>
              <m:r>
                <m:rPr>
                  <m:sty m:val="p"/>
                </m:rPr>
                <m:t>)</m:t>
              </m:r>
              <m:r>
                <m:rPr>
                  <m:sty m:val="p"/>
                </m:rPr>
                <m:t>−</m:t>
              </m:r>
              <m:r>
                <m:rPr>
                  <m:sty m:val="p"/>
                </m:rPr>
                <m:t>V</m:t>
              </m:r>
              <m:r>
                <m:rPr>
                  <m:sty m:val="p"/>
                </m:rPr>
                <m:t>a</m:t>
              </m:r>
              <m:r>
                <m:rPr>
                  <m:sty m:val="p"/>
                </m:rPr>
                <m:t>r</m:t>
              </m:r>
              <m:r>
                <m:rPr>
                  <m:sty m:val="p"/>
                </m:rPr>
                <m:t>(</m:t>
              </m:r>
              <m:r>
                <m:t>δ</m:t>
              </m:r>
              <m:r>
                <m:rPr>
                  <m:sty m:val="p"/>
                </m:rPr>
                <m:t>ln</m:t>
              </m:r>
              <m:r>
                <m:rPr>
                  <m:sty m:val="p"/>
                </m:rPr>
                <m:t>Φ</m:t>
              </m:r>
              <m:r>
                <m:rPr>
                  <m:sty m:val="p"/>
                </m:rPr>
                <m:t>)</m:t>
              </m:r>
            </m:e>
          </m:d>
          <m:r>
            <m:rPr>
              <m:sty m:val="p"/>
            </m:rPr>
            <m:t>.</m:t>
          </m:r>
        </m:oMath>
      </m:oMathPara>
    </w:p>
    <w:p>
      <w:pPr>
        <w:pStyle w:val="FirstParagraph"/>
      </w:pPr>
      <w:r>
        <w:t xml:space="preserve">The fixed-mass sign is positive precisely when efficiency variance exceeds inflow variance in this limit. With correlated drivers, the covariance terms cancel from this particular product but affect the marginal variances and evolutionary interpretation. This analytic result is stronger than merely fitting a negative or positive</w:t>
      </w:r>
      <w:r>
        <w:t xml:space="preserve"> </w:t>
      </w:r>
      <m:oMath>
        <m:r>
          <m:t>α</m:t>
        </m:r>
      </m:oMath>
      <w:r>
        <w:t xml:space="preserve">.</w:t>
      </w:r>
    </w:p>
    <w:p>
      <w:pPr>
        <w:pStyle w:val="BodyText"/>
      </w:pPr>
      <w:r>
        <w:t xml:space="preserve">The same conclusion follows from Wang’s projected equation: if</w:t>
      </w:r>
      <w:r>
        <w:t xml:space="preserve"> </w:t>
      </w:r>
      <m:oMath>
        <m:r>
          <m:t>ϵ</m:t>
        </m:r>
        <m:r>
          <m:rPr>
            <m:sty m:val="p"/>
          </m:rPr>
          <m:t>∝</m:t>
        </m:r>
        <m:sSubSup>
          <m:e>
            <m:r>
              <m:t>M</m:t>
            </m:r>
          </m:e>
          <m:sub>
            <m:r>
              <m:rPr>
                <m:sty m:val="p"/>
              </m:rPr>
              <m:t>⋆</m:t>
            </m:r>
          </m:sub>
          <m:sup>
            <m:r>
              <m:t>a</m:t>
            </m:r>
          </m:sup>
        </m:sSubSup>
        <m:sSup>
          <m:e>
            <m:r>
              <m:rPr>
                <m:sty m:val="p"/>
              </m:rPr>
              <m:t>S</m:t>
            </m:r>
            <m:r>
              <m:rPr>
                <m:sty m:val="p"/>
              </m:rPr>
              <m:t>F</m:t>
            </m:r>
            <m:r>
              <m:rPr>
                <m:sty m:val="p"/>
              </m:rPr>
              <m:t>R</m:t>
            </m:r>
          </m:e>
          <m:sup>
            <m:r>
              <m:t>b</m:t>
            </m:r>
          </m:sup>
        </m:sSup>
      </m:oMath>
      <w:r>
        <w:t xml:space="preserve">, then</w:t>
      </w:r>
      <w:r>
        <w:t xml:space="preserve"> </w:t>
      </w:r>
      <m:oMath>
        <m:r>
          <m:t>α</m:t>
        </m:r>
        <m:r>
          <m:rPr>
            <m:sty m:val="p"/>
          </m:rPr>
          <m:t>=</m:t>
        </m:r>
        <m:r>
          <m:rPr>
            <m:sty m:val="p"/>
          </m:rPr>
          <m:t>(</m:t>
        </m:r>
        <m:r>
          <m:t>1</m:t>
        </m:r>
        <m:r>
          <m:rPr>
            <m:sty m:val="p"/>
          </m:rPr>
          <m:t>−</m:t>
        </m:r>
        <m:r>
          <m:t>b</m:t>
        </m:r>
        <m:r>
          <m:rPr>
            <m:sty m:val="p"/>
          </m:rPr>
          <m:t>)</m:t>
        </m:r>
        <m:r>
          <m:rPr>
            <m:sty m:val="p"/>
          </m:rPr>
          <m:t>/</m:t>
        </m:r>
        <m:r>
          <m:rPr>
            <m:sty m:val="p"/>
          </m:rPr>
          <m:t>(</m:t>
        </m:r>
        <m:r>
          <m:t>1</m:t>
        </m:r>
        <m:r>
          <m:rPr>
            <m:sty m:val="p"/>
          </m:rPr>
          <m:t>+</m:t>
        </m:r>
        <m:r>
          <m:t>a</m:t>
        </m:r>
        <m:r>
          <m:rPr>
            <m:sty m:val="p"/>
          </m:rPr>
          <m:t>)</m:t>
        </m:r>
      </m:oMath>
      <w:r>
        <w:t xml:space="preserve">. For</w:t>
      </w:r>
      <w:r>
        <w:t xml:space="preserve"> </w:t>
      </w:r>
      <m:oMath>
        <m:r>
          <m:t>1</m:t>
        </m:r>
        <m:r>
          <m:rPr>
            <m:sty m:val="p"/>
          </m:rPr>
          <m:t>+</m:t>
        </m:r>
        <m:r>
          <m:t>a</m:t>
        </m:r>
        <m:r>
          <m:rPr>
            <m:sty m:val="p"/>
          </m:rPr>
          <m:t>&gt;</m:t>
        </m:r>
        <m:r>
          <m:t>0</m:t>
        </m:r>
      </m:oMath>
      <w:r>
        <w:t xml:space="preserve">, a positive fixed-mass slope requires</w:t>
      </w:r>
      <w:r>
        <w:t xml:space="preserve"> </w:t>
      </w:r>
      <m:oMath>
        <m:r>
          <m:t>b</m:t>
        </m:r>
        <m:r>
          <m:rPr>
            <m:sty m:val="p"/>
          </m:rPr>
          <m:t>&gt;</m:t>
        </m:r>
        <m:r>
          <m:t>1</m:t>
        </m:r>
      </m:oMath>
      <w:r>
        <w:t xml:space="preserve">. The early fixed-</w:t>
      </w:r>
      <m:oMath>
        <m:sSub>
          <m:e>
            <m:r>
              <m:t>M</m:t>
            </m:r>
          </m:e>
          <m:sub>
            <m:r>
              <m:rPr>
                <m:sty m:val="p"/>
              </m:rPr>
              <m:t>⋆</m:t>
            </m:r>
          </m:sub>
        </m:sSub>
      </m:oMath>
      <w:r>
        <w:t xml:space="preserve">, fixed-</w:t>
      </w:r>
      <m:oMath>
        <m:r>
          <m:rPr>
            <m:sty m:val="p"/>
          </m:rPr>
          <m:t>Φ</m:t>
        </m:r>
      </m:oMath>
      <w:r>
        <w:t xml:space="preserve"> </w:t>
      </w:r>
      <w:r>
        <w:t xml:space="preserve">ensemble above has</w:t>
      </w:r>
      <w:r>
        <w:t xml:space="preserve"> </w:t>
      </w:r>
      <m:oMath>
        <m:r>
          <m:rPr>
            <m:sty m:val="p"/>
          </m:rPr>
          <m:t>S</m:t>
        </m:r>
        <m:r>
          <m:rPr>
            <m:sty m:val="p"/>
          </m:rPr>
          <m:t>F</m:t>
        </m:r>
        <m:r>
          <m:rPr>
            <m:sty m:val="p"/>
          </m:rPr>
          <m:t>R</m:t>
        </m:r>
        <m:r>
          <m:rPr>
            <m:sty m:val="p"/>
          </m:rPr>
          <m:t>∝</m:t>
        </m:r>
        <m:sSup>
          <m:e>
            <m:r>
              <m:t>ϵ</m:t>
            </m:r>
          </m:e>
          <m:sup>
            <m:r>
              <m:t>1</m:t>
            </m:r>
            <m:r>
              <m:rPr>
                <m:sty m:val="p"/>
              </m:rPr>
              <m:t>/</m:t>
            </m:r>
            <m:r>
              <m:t>2</m:t>
            </m:r>
          </m:sup>
        </m:sSup>
      </m:oMath>
      <w:r>
        <w:t xml:space="preserve">, hence</w:t>
      </w:r>
      <w:r>
        <w:t xml:space="preserve"> </w:t>
      </w:r>
      <m:oMath>
        <m:r>
          <m:t>b</m:t>
        </m:r>
        <m:r>
          <m:rPr>
            <m:sty m:val="p"/>
          </m:rPr>
          <m:t>=</m:t>
        </m:r>
        <m:r>
          <m:t>2</m:t>
        </m:r>
      </m:oMath>
      <w:r>
        <w:t xml:space="preserve">. Treating this as a causal residual model is preferable to inserting a freely fitted</w:t>
      </w:r>
      <w:r>
        <w:t xml:space="preserve"> </w:t>
      </w:r>
      <m:oMath>
        <m:r>
          <m:t>b</m:t>
        </m:r>
        <m:r>
          <m:rPr>
            <m:sty m:val="p"/>
          </m:rPr>
          <m:t>&gt;</m:t>
        </m:r>
        <m:r>
          <m:t>1</m:t>
        </m:r>
      </m:oMath>
      <w:r>
        <w:t xml:space="preserve"> </w:t>
      </w:r>
      <w:r>
        <w:t xml:space="preserve">with no driver.</w:t>
      </w:r>
    </w:p>
    <w:bookmarkEnd w:id="71"/>
    <w:bookmarkStart w:id="72" w:name="Xc306cdc1a290d78b7c3b5f013a6578d4e87274f"/>
    <w:p>
      <w:pPr>
        <w:pStyle w:val="Heading2"/>
      </w:pPr>
      <w:r>
        <w:t xml:space="preserve">8.3 Finite-time version beyond the inflow limit</w:t>
      </w:r>
    </w:p>
    <w:p>
      <w:pPr>
        <w:pStyle w:val="FirstParagraph"/>
      </w:pPr>
      <w:r>
        <w:t xml:space="preserve">Integrate the original Wang equations with</w:t>
      </w:r>
      <w:r>
        <w:t xml:space="preserve"> </w:t>
      </w:r>
      <m:oMath>
        <m:r>
          <m:t>ϵ</m:t>
        </m:r>
        <m:r>
          <m:rPr>
            <m:sty m:val="p"/>
          </m:rPr>
          <m:t>(</m:t>
        </m:r>
        <m:r>
          <m:t>t</m:t>
        </m:r>
        <m:r>
          <m:rPr>
            <m:sty m:val="p"/>
          </m:rPr>
          <m:t>)</m:t>
        </m:r>
      </m:oMath>
      <w:r>
        <w:t xml:space="preserve"> </w:t>
      </w:r>
      <w:r>
        <w:t xml:space="preserve">and</w:t>
      </w:r>
      <w:r>
        <w:t xml:space="preserve"> </w:t>
      </w:r>
      <m:oMath>
        <m:r>
          <m:rPr>
            <m:sty m:val="p"/>
          </m:rPr>
          <m:t>Φ</m:t>
        </m:r>
        <m:r>
          <m:rPr>
            <m:sty m:val="p"/>
          </m:rPr>
          <m:t>(</m:t>
        </m:r>
        <m:r>
          <m:t>t</m:t>
        </m:r>
        <m:r>
          <m:rPr>
            <m:sty m:val="p"/>
          </m:rPr>
          <m:t>)</m:t>
        </m:r>
      </m:oMath>
      <w:r>
        <w:t xml:space="preserve"> </w:t>
      </w:r>
      <w:r>
        <w:t xml:space="preserve">rather than substituting a static SFR mapping. Use two stochastic processes with amplitudes</w:t>
      </w:r>
      <w:r>
        <w:t xml:space="preserve"> </w:t>
      </w:r>
      <m:oMath>
        <m:r>
          <m:rPr>
            <m:sty m:val="p"/>
          </m:rPr>
          <m:t>(</m:t>
        </m:r>
        <m:sSub>
          <m:e>
            <m:r>
              <m:t>σ</m:t>
            </m:r>
          </m:e>
          <m:sub>
            <m:r>
              <m:t>ϵ</m:t>
            </m:r>
          </m:sub>
        </m:sSub>
        <m:r>
          <m:rPr>
            <m:sty m:val="p"/>
          </m:rPr>
          <m:t>,</m:t>
        </m:r>
        <m:sSub>
          <m:e>
            <m:r>
              <m:t>σ</m:t>
            </m:r>
          </m:e>
          <m:sub>
            <m:r>
              <m:rPr>
                <m:sty m:val="p"/>
              </m:rPr>
              <m:t>Φ</m:t>
            </m:r>
          </m:sub>
        </m:sSub>
        <m:r>
          <m:rPr>
            <m:sty m:val="p"/>
          </m:rPr>
          <m:t>)</m:t>
        </m:r>
      </m:oMath>
      <w:r>
        <w:t xml:space="preserve"> </w:t>
      </w:r>
      <w:r>
        <w:t xml:space="preserve">and coherence times</w:t>
      </w:r>
      <w:r>
        <w:t xml:space="preserve"> </w:t>
      </w:r>
      <m:oMath>
        <m:r>
          <m:rPr>
            <m:sty m:val="p"/>
          </m:rPr>
          <m:t>(</m:t>
        </m:r>
        <m:sSub>
          <m:e>
            <m:r>
              <m:t>t</m:t>
            </m:r>
          </m:e>
          <m:sub>
            <m:r>
              <m:t>ϵ</m:t>
            </m:r>
          </m:sub>
        </m:sSub>
        <m:r>
          <m:rPr>
            <m:sty m:val="p"/>
          </m:rPr>
          <m:t>,</m:t>
        </m:r>
        <m:sSub>
          <m:e>
            <m:r>
              <m:t>t</m:t>
            </m:r>
          </m:e>
          <m:sub>
            <m:r>
              <m:rPr>
                <m:sty m:val="p"/>
              </m:rPr>
              <m:t>Φ</m:t>
            </m:r>
          </m:sub>
        </m:sSub>
        <m:r>
          <m:rPr>
            <m:sty m:val="p"/>
          </m:rPr>
          <m:t>)</m:t>
        </m:r>
      </m:oMath>
      <w:r>
        <w:t xml:space="preserve">. The abundance equation is a low-pass filter with response time</w:t>
      </w:r>
      <w:r>
        <w:t xml:space="preserve"> </w:t>
      </w:r>
      <m:oMath>
        <m:sSub>
          <m:e>
            <m:r>
              <m:t>τ</m:t>
            </m:r>
          </m:e>
          <m:sub>
            <m:r>
              <m:rPr>
                <m:sty m:val="p"/>
              </m:rPr>
              <m:t>Φ</m:t>
            </m:r>
          </m:sub>
        </m:sSub>
        <m:r>
          <m:rPr>
            <m:sty m:val="p"/>
          </m:rPr>
          <m:t>=</m:t>
        </m:r>
        <m:sSub>
          <m:e>
            <m:r>
              <m:t>M</m:t>
            </m:r>
          </m:e>
          <m:sub>
            <m:r>
              <m:rPr>
                <m:sty m:val="p"/>
              </m:rPr>
              <m:t>g</m:t>
            </m:r>
          </m:sub>
        </m:sSub>
        <m:r>
          <m:rPr>
            <m:sty m:val="p"/>
          </m:rPr>
          <m:t>/</m:t>
        </m:r>
        <m:r>
          <m:rPr>
            <m:sty m:val="p"/>
          </m:rPr>
          <m:t>Φ</m:t>
        </m:r>
      </m:oMath>
      <w:r>
        <w:t xml:space="preserve">. A positive relation requires not only sufficient efficiency variance but also coherence long enough for enrichment to respond. Very rapid</w:t>
      </w:r>
      <w:r>
        <w:t xml:space="preserve"> </w:t>
      </w:r>
      <m:oMath>
        <m:r>
          <m:t>ϵ</m:t>
        </m:r>
      </m:oMath>
      <w:r>
        <w:t xml:space="preserve"> </w:t>
      </w:r>
      <w:r>
        <w:t xml:space="preserve">flickering can raise an instantaneous SFR tracer without measurably changing</w:t>
      </w:r>
      <w:r>
        <w:t xml:space="preserve"> </w:t>
      </w:r>
      <m:oMath>
        <m:r>
          <m:t>Z</m:t>
        </m:r>
      </m:oMath>
      <w:r>
        <w:t xml:space="preserve">.</w:t>
      </w:r>
    </w:p>
    <w:p>
      <w:pPr>
        <w:pStyle w:val="BodyText"/>
      </w:pPr>
      <w:r>
        <w:t xml:space="preserve">This is the recommended Wang modification because it:</w:t>
      </w:r>
    </w:p>
    <w:p>
      <w:pPr>
        <w:pStyle w:val="Compact"/>
        <w:numPr>
          <w:ilvl w:val="0"/>
          <w:numId w:val="1008"/>
        </w:numPr>
      </w:pPr>
      <w:r>
        <w:t xml:space="preserve">leaves the published conservation laws intact;</w:t>
      </w:r>
    </w:p>
    <w:p>
      <w:pPr>
        <w:pStyle w:val="Compact"/>
        <w:numPr>
          <w:ilvl w:val="0"/>
          <w:numId w:val="1008"/>
        </w:numPr>
      </w:pPr>
      <w:r>
        <w:t xml:space="preserve">reduces to the published negative FMR when</w:t>
      </w:r>
      <w:r>
        <w:t xml:space="preserve"> </w:t>
      </w:r>
      <m:oMath>
        <m:sSub>
          <m:e>
            <m:r>
              <m:t>σ</m:t>
            </m:r>
          </m:e>
          <m:sub>
            <m:r>
              <m:t>ϵ</m:t>
            </m:r>
          </m:sub>
        </m:sSub>
        <m:r>
          <m:rPr>
            <m:sty m:val="p"/>
          </m:rPr>
          <m:t>=</m:t>
        </m:r>
        <m:r>
          <m:t>0</m:t>
        </m:r>
      </m:oMath>
      <w:r>
        <w:t xml:space="preserve">;</w:t>
      </w:r>
    </w:p>
    <w:p>
      <w:pPr>
        <w:pStyle w:val="Compact"/>
        <w:numPr>
          <w:ilvl w:val="0"/>
          <w:numId w:val="1008"/>
        </w:numPr>
      </w:pPr>
      <w:r>
        <w:t xml:space="preserve">reduces to the Wang–Lilly positive case when</w:t>
      </w:r>
      <w:r>
        <w:t xml:space="preserve"> </w:t>
      </w:r>
      <m:oMath>
        <m:sSub>
          <m:e>
            <m:r>
              <m:t>σ</m:t>
            </m:r>
          </m:e>
          <m:sub>
            <m:r>
              <m:rPr>
                <m:sty m:val="p"/>
              </m:rPr>
              <m:t>Φ</m:t>
            </m:r>
          </m:sub>
        </m:sSub>
        <m:r>
          <m:rPr>
            <m:sty m:val="p"/>
          </m:rPr>
          <m:t>=</m:t>
        </m:r>
        <m:r>
          <m:t>0</m:t>
        </m:r>
      </m:oMath>
      <w:r>
        <w:t xml:space="preserve">; and</w:t>
      </w:r>
    </w:p>
    <w:p>
      <w:pPr>
        <w:pStyle w:val="Compact"/>
        <w:numPr>
          <w:ilvl w:val="0"/>
          <w:numId w:val="1008"/>
        </w:numPr>
      </w:pPr>
      <w:r>
        <w:t xml:space="preserve">predicts a continuous sign transition rather than imposing two unrelated formulae.</w:t>
      </w:r>
    </w:p>
    <w:bookmarkEnd w:id="72"/>
    <w:bookmarkStart w:id="73" w:name="other-wang-modifications-ranked"/>
    <w:p>
      <w:pPr>
        <w:pStyle w:val="Heading2"/>
      </w:pPr>
      <w:r>
        <w:t xml:space="preserve">8.4 Other Wang modifications, ranked</w:t>
      </w:r>
    </w:p>
    <w:p>
      <w:pPr>
        <w:pStyle w:val="Compact"/>
        <w:numPr>
          <w:ilvl w:val="0"/>
          <w:numId w:val="1009"/>
        </w:numPr>
      </w:pPr>
      <w:r>
        <w:rPr>
          <w:b/>
          <w:bCs/>
        </w:rPr>
        <w:t xml:space="preserve">Variable efficiency — preferred.</w:t>
      </w:r>
      <w:r>
        <w:t xml:space="preserve"> </w:t>
      </w:r>
      <w:r>
        <w:t xml:space="preserve">Direct precedent, observable through depletion time, and mathematically sufficient.</w:t>
      </w:r>
    </w:p>
    <w:p>
      <w:pPr>
        <w:pStyle w:val="Compact"/>
        <w:numPr>
          <w:ilvl w:val="0"/>
          <w:numId w:val="1009"/>
        </w:numPr>
      </w:pPr>
      <w:r>
        <w:rPr>
          <w:b/>
          <w:bCs/>
        </w:rPr>
        <w:t xml:space="preserve">Correlated enriched/recycled inflow.</w:t>
      </w:r>
      <w:r>
        <w:t xml:space="preserve"> </w:t>
      </w:r>
      <w:r>
        <w:t xml:space="preserve">Add</w:t>
      </w:r>
      <w:r>
        <w:t xml:space="preserve"> </w:t>
      </w:r>
      <m:oMath>
        <m:sSub>
          <m:e>
            <m:r>
              <m:t>Z</m:t>
            </m:r>
          </m:e>
          <m:sub>
            <m:r>
              <m:rPr>
                <m:sty m:val="p"/>
              </m:rPr>
              <m:t>i</m:t>
            </m:r>
            <m:r>
              <m:rPr>
                <m:sty m:val="p"/>
              </m:rPr>
              <m:t>n</m:t>
            </m:r>
          </m:sub>
        </m:sSub>
        <m:r>
          <m:rPr>
            <m:sty m:val="p"/>
          </m:rPr>
          <m:t>(</m:t>
        </m:r>
        <m:r>
          <m:t>t</m:t>
        </m:r>
        <m:r>
          <m:rPr>
            <m:sty m:val="p"/>
          </m:rPr>
          <m:t>)</m:t>
        </m:r>
      </m:oMath>
      <w:r>
        <w:t xml:space="preserve">; positive if enriched return rises with SFR strongly enough to beat dilution. Appropriate in fountains or bar/spiral recycling, but requires metal-tagging or a recycling model.</w:t>
      </w:r>
    </w:p>
    <w:p>
      <w:pPr>
        <w:pStyle w:val="Compact"/>
        <w:numPr>
          <w:ilvl w:val="0"/>
          <w:numId w:val="1009"/>
        </w:numPr>
      </w:pPr>
      <w:r>
        <w:rPr>
          <w:b/>
          <w:bCs/>
        </w:rPr>
        <w:t xml:space="preserve">Variable mass loading.</w:t>
      </w:r>
      <w:r>
        <w:t xml:space="preserve"> </w:t>
      </w:r>
      <w:r>
        <w:t xml:space="preserve">Near equilibrium, lower</w:t>
      </w:r>
      <w:r>
        <w:t xml:space="preserve"> </w:t>
      </w:r>
      <m:oMath>
        <m:r>
          <m:t>η</m:t>
        </m:r>
      </m:oMath>
      <w:r>
        <w:t xml:space="preserve"> </w:t>
      </w:r>
      <w:r>
        <w:t xml:space="preserve">raises both SFR and</w:t>
      </w:r>
      <w:r>
        <w:t xml:space="preserve"> </w:t>
      </w:r>
      <m:oMath>
        <m:r>
          <m:t>Z</m:t>
        </m:r>
      </m:oMath>
      <w:r>
        <w:t xml:space="preserve">. Plausible across potential depth or feedback state, but difficult to vary independently at fixed mass and local surface density.</w:t>
      </w:r>
    </w:p>
    <w:p>
      <w:pPr>
        <w:pStyle w:val="Compact"/>
        <w:numPr>
          <w:ilvl w:val="0"/>
          <w:numId w:val="1009"/>
        </w:numPr>
      </w:pPr>
      <w:r>
        <w:rPr>
          <w:b/>
          <w:bCs/>
        </w:rPr>
        <w:t xml:space="preserve">Purely phenomenological</w:t>
      </w:r>
      <w:r>
        <w:rPr>
          <w:b/>
          <w:bCs/>
        </w:rPr>
        <w:t xml:space="preserve"> </w:t>
      </w:r>
      <m:oMath>
        <m:r>
          <m:t>b</m:t>
        </m:r>
        <m:r>
          <m:rPr>
            <m:sty m:val="p"/>
          </m:rPr>
          <m:t>&gt;</m:t>
        </m:r>
        <m:r>
          <m:t>1</m:t>
        </m:r>
      </m:oMath>
      <w:r>
        <w:rPr>
          <w:b/>
          <w:bCs/>
        </w:rPr>
        <w:t xml:space="preserve">.</w:t>
      </w:r>
      <w:r>
        <w:t xml:space="preserve"> </w:t>
      </w:r>
      <w:r>
        <w:t xml:space="preserve">Algebraically works but is least explanatory and risks circularity because efficiency is defined using SFR.</w:t>
      </w:r>
    </w:p>
    <w:bookmarkEnd w:id="73"/>
    <w:bookmarkEnd w:id="74"/>
    <w:bookmarkStart w:id="78" w:name="modifying-forbes-et-al.-2014"/>
    <w:p>
      <w:pPr>
        <w:pStyle w:val="Heading1"/>
      </w:pPr>
      <w:r>
        <w:t xml:space="preserve">9. Modifying Forbes et al. (2014)</w:t>
      </w:r>
    </w:p>
    <w:bookmarkStart w:id="75" w:name="X16eeba3d2951c94e9f566ff7e6d98c015ead4dd"/>
    <w:p>
      <w:pPr>
        <w:pStyle w:val="Heading2"/>
      </w:pPr>
      <w:r>
        <w:t xml:space="preserve">9.1 Route already identified by Forbes: mass-loading scatter</w:t>
      </w:r>
    </w:p>
    <w:p>
      <w:pPr>
        <w:pStyle w:val="FirstParagraph"/>
      </w:pPr>
      <w:r>
        <w:t xml:space="preserve">At equilibrium, for well-mixed outflow and fixed inflow,</w:t>
      </w:r>
    </w:p>
    <w:p>
      <w:pPr>
        <w:pStyle w:val="BodyText"/>
      </w:pPr>
      <m:oMathPara>
        <m:oMathParaPr>
          <m:jc m:val="center"/>
        </m:oMathParaPr>
        <m:oMath>
          <m:sSub>
            <m:e>
              <m:r>
                <m:rPr>
                  <m:sty m:val="p"/>
                </m:rPr>
                <m:t>S</m:t>
              </m:r>
              <m:r>
                <m:rPr>
                  <m:sty m:val="p"/>
                </m:rPr>
                <m:t>F</m:t>
              </m:r>
              <m:r>
                <m:rPr>
                  <m:sty m:val="p"/>
                </m:rPr>
                <m:t>R</m:t>
              </m:r>
            </m:e>
            <m:sub>
              <m:r>
                <m:rPr>
                  <m:sty m:val="p"/>
                </m:rPr>
                <m:t>e</m:t>
              </m:r>
              <m:r>
                <m:rPr>
                  <m:sty m:val="p"/>
                </m:rPr>
                <m:t>q</m:t>
              </m:r>
            </m:sub>
          </m:sSub>
          <m:r>
            <m:rPr>
              <m:sty m:val="p"/>
            </m:rPr>
            <m:t>=</m:t>
          </m:r>
          <m:f>
            <m:fPr>
              <m:type m:val="bar"/>
            </m:fPr>
            <m:num>
              <m:r>
                <m:rPr>
                  <m:sty m:val="p"/>
                </m:rPr>
                <m:t>Φ</m:t>
              </m:r>
            </m:num>
            <m:den>
              <m:sSub>
                <m:e>
                  <m:r>
                    <m:t>f</m:t>
                  </m:r>
                </m:e>
                <m:sub>
                  <m:r>
                    <m:t>R</m:t>
                  </m:r>
                </m:sub>
              </m:sSub>
              <m:r>
                <m:rPr>
                  <m:sty m:val="p"/>
                </m:rPr>
                <m:t>+</m:t>
              </m:r>
              <m:r>
                <m:t>η</m:t>
              </m:r>
            </m:den>
          </m:f>
          <m:r>
            <m:rPr>
              <m:sty m:val="p"/>
            </m:rPr>
            <m:t>,</m:t>
          </m:r>
        </m:oMath>
      </m:oMathPara>
    </w:p>
    <w:p>
      <w:pPr>
        <w:pStyle w:val="FirstParagraph"/>
      </w:pPr>
      <m:oMathPara>
        <m:oMathParaPr>
          <m:jc m:val="center"/>
        </m:oMathParaPr>
        <m:oMath>
          <m:sSub>
            <m:e>
              <m:r>
                <m:t>Z</m:t>
              </m:r>
            </m:e>
            <m:sub>
              <m:r>
                <m:rPr>
                  <m:sty m:val="p"/>
                </m:rPr>
                <m:t>e</m:t>
              </m:r>
              <m:r>
                <m:rPr>
                  <m:sty m:val="p"/>
                </m:rPr>
                <m:t>q</m:t>
              </m:r>
            </m:sub>
          </m:sSub>
          <m:r>
            <m:rPr>
              <m:sty m:val="p"/>
            </m:rPr>
            <m:t>−</m:t>
          </m:r>
          <m:sSub>
            <m:e>
              <m:r>
                <m:t>Z</m:t>
              </m:r>
            </m:e>
            <m:sub>
              <m:r>
                <m:rPr>
                  <m:sty m:val="p"/>
                </m:rPr>
                <m:t>I</m:t>
              </m:r>
              <m:r>
                <m:rPr>
                  <m:sty m:val="p"/>
                </m:rPr>
                <m:t>G</m:t>
              </m:r>
              <m:r>
                <m:rPr>
                  <m:sty m:val="p"/>
                </m:rPr>
                <m:t>M</m:t>
              </m:r>
            </m:sub>
          </m:sSub>
          <m:r>
            <m:rPr>
              <m:sty m:val="p"/>
            </m:rPr>
            <m:t>=</m:t>
          </m:r>
          <m:f>
            <m:fPr>
              <m:type m:val="bar"/>
            </m:fPr>
            <m:num>
              <m:r>
                <m:t>y</m:t>
              </m:r>
              <m:sSub>
                <m:e>
                  <m:r>
                    <m:t>f</m:t>
                  </m:r>
                </m:e>
                <m:sub>
                  <m:r>
                    <m:t>R</m:t>
                  </m:r>
                </m:sub>
              </m:sSub>
            </m:num>
            <m:den>
              <m:sSub>
                <m:e>
                  <m:r>
                    <m:t>f</m:t>
                  </m:r>
                </m:e>
                <m:sub>
                  <m:r>
                    <m:t>R</m:t>
                  </m:r>
                </m:sub>
              </m:sSub>
              <m:r>
                <m:rPr>
                  <m:sty m:val="p"/>
                </m:rPr>
                <m:t>+</m:t>
              </m:r>
              <m:r>
                <m:t>η</m:t>
              </m:r>
            </m:den>
          </m:f>
          <m:r>
            <m:rPr>
              <m:sty m:val="p"/>
            </m:rPr>
            <m:t>=</m:t>
          </m:r>
          <m:f>
            <m:fPr>
              <m:type m:val="bar"/>
            </m:fPr>
            <m:num>
              <m:r>
                <m:t>y</m:t>
              </m:r>
              <m:sSub>
                <m:e>
                  <m:r>
                    <m:t>f</m:t>
                  </m:r>
                </m:e>
                <m:sub>
                  <m:r>
                    <m:t>R</m:t>
                  </m:r>
                </m:sub>
              </m:sSub>
            </m:num>
            <m:den>
              <m:r>
                <m:rPr>
                  <m:sty m:val="p"/>
                </m:rPr>
                <m:t>Φ</m:t>
              </m:r>
            </m:den>
          </m:f>
          <m:sSub>
            <m:e>
              <m:r>
                <m:rPr>
                  <m:sty m:val="p"/>
                </m:rPr>
                <m:t>S</m:t>
              </m:r>
              <m:r>
                <m:rPr>
                  <m:sty m:val="p"/>
                </m:rPr>
                <m:t>F</m:t>
              </m:r>
              <m:r>
                <m:rPr>
                  <m:sty m:val="p"/>
                </m:rPr>
                <m:t>R</m:t>
              </m:r>
            </m:e>
            <m:sub>
              <m:r>
                <m:rPr>
                  <m:sty m:val="p"/>
                </m:rPr>
                <m:t>e</m:t>
              </m:r>
              <m:r>
                <m:rPr>
                  <m:sty m:val="p"/>
                </m:rPr>
                <m:t>q</m:t>
              </m:r>
            </m:sub>
          </m:sSub>
          <m:r>
            <m:rPr>
              <m:sty m:val="p"/>
            </m:rPr>
            <m:t>.</m:t>
          </m:r>
        </m:oMath>
      </m:oMathPara>
    </w:p>
    <w:p>
      <w:pPr>
        <w:pStyle w:val="FirstParagraph"/>
      </w:pPr>
      <w:r>
        <w:t xml:space="preserve">Scatter in</w:t>
      </w:r>
      <w:r>
        <w:t xml:space="preserve"> </w:t>
      </w:r>
      <m:oMath>
        <m:r>
          <m:t>η</m:t>
        </m:r>
      </m:oMath>
      <w:r>
        <w:t xml:space="preserve"> </w:t>
      </w:r>
      <w:r>
        <w:t xml:space="preserve">therefore moves equilibrium systems along an exactly positive line in this ideal limit. Forbes et al. discuss this possibility but constrain their main stochastic calculation to fixed</w:t>
      </w:r>
      <w:r>
        <w:t xml:space="preserve"> </w:t>
      </w:r>
      <m:oMath>
        <m:r>
          <m:t>η</m:t>
        </m:r>
      </m:oMath>
      <w:r>
        <w:t xml:space="preserve"> </w:t>
      </w:r>
      <w:r>
        <w:t xml:space="preserve">in order to infer accretion statistics. (</w:t>
      </w:r>
      <w:hyperlink r:id="rId10">
        <w:r>
          <w:rPr>
            <w:rStyle w:val="Hyperlink"/>
          </w:rPr>
          <w:t xml:space="preserve">Forbes et al. 2014</w:t>
        </w:r>
      </w:hyperlink>
      <w:r>
        <w:t xml:space="preserve">)</w:t>
      </w:r>
    </w:p>
    <w:p>
      <w:pPr>
        <w:pStyle w:val="BodyText"/>
      </w:pPr>
      <w:r>
        <w:t xml:space="preserve">This route is legitimate but describes cross-system equilibrium variation. It is not the same temporal loop as a burst of efficiency. It predicts that independent outflow diagnostics should correlate with both residuals.</w:t>
      </w:r>
    </w:p>
    <w:bookmarkEnd w:id="75"/>
    <w:bookmarkStart w:id="76" w:name="Xc517b0ecb243723a7ccec7a13d417b4a55ebe69"/>
    <w:p>
      <w:pPr>
        <w:pStyle w:val="Heading2"/>
      </w:pPr>
      <w:r>
        <w:t xml:space="preserve">9.2 Add a second stochastic efficiency driver</w:t>
      </w:r>
    </w:p>
    <w:p>
      <w:pPr>
        <w:pStyle w:val="FirstParagraph"/>
      </w:pPr>
      <w:r>
        <w:t xml:space="preserve">The original dimensionless recurrence assumes a fixed loss time. Replace the constant depletion law by</w:t>
      </w:r>
    </w:p>
    <w:p>
      <w:pPr>
        <w:pStyle w:val="BodyText"/>
      </w:pPr>
      <m:oMathPara>
        <m:oMathParaPr>
          <m:jc m:val="center"/>
        </m:oMathParaPr>
        <m:oMath>
          <m:r>
            <m:rPr>
              <m:sty m:val="p"/>
            </m:rPr>
            <m:t>S</m:t>
          </m:r>
          <m:r>
            <m:rPr>
              <m:sty m:val="p"/>
            </m:rPr>
            <m:t>F</m:t>
          </m:r>
          <m:r>
            <m:rPr>
              <m:sty m:val="p"/>
            </m:rPr>
            <m:t>R</m:t>
          </m:r>
          <m:r>
            <m:rPr>
              <m:sty m:val="p"/>
            </m:rPr>
            <m:t>(</m:t>
          </m:r>
          <m:r>
            <m:t>t</m:t>
          </m:r>
          <m:r>
            <m:rPr>
              <m:sty m:val="p"/>
            </m:rPr>
            <m:t>)</m:t>
          </m:r>
          <m:r>
            <m:rPr>
              <m:sty m:val="p"/>
            </m:rPr>
            <m:t>=</m:t>
          </m:r>
          <m:r>
            <m:t>ϵ</m:t>
          </m:r>
          <m:r>
            <m:rPr>
              <m:sty m:val="p"/>
            </m:rPr>
            <m:t>(</m:t>
          </m:r>
          <m:r>
            <m:t>t</m:t>
          </m:r>
          <m:r>
            <m:rPr>
              <m:sty m:val="p"/>
            </m:rPr>
            <m:t>)</m:t>
          </m:r>
          <m:sSub>
            <m:e>
              <m:r>
                <m:t>M</m:t>
              </m:r>
            </m:e>
            <m:sub>
              <m:r>
                <m:rPr>
                  <m:sty m:val="p"/>
                </m:rPr>
                <m:t>g</m:t>
              </m:r>
            </m:sub>
          </m:sSub>
          <m:r>
            <m:rPr>
              <m:sty m:val="p"/>
            </m:rPr>
            <m:t>(</m:t>
          </m:r>
          <m:r>
            <m:t>t</m:t>
          </m:r>
          <m:r>
            <m:rPr>
              <m:sty m:val="p"/>
            </m:rPr>
            <m:t>)</m:t>
          </m:r>
          <m:r>
            <m:rPr>
              <m:sty m:val="p"/>
            </m:rPr>
            <m:t>,</m:t>
          </m:r>
        </m:oMath>
      </m:oMathPara>
    </w:p>
    <w:p>
      <w:pPr>
        <w:pStyle w:val="FirstParagraph"/>
      </w:pPr>
      <m:oMathPara>
        <m:oMathParaPr>
          <m:jc m:val="center"/>
        </m:oMathParaPr>
        <m:oMath>
          <m:sSub>
            <m:e>
              <m:acc>
                <m:accPr>
                  <m:chr m:val="̇"/>
                </m:accPr>
                <m:e>
                  <m:r>
                    <m:t>M</m:t>
                  </m:r>
                </m:e>
              </m:acc>
            </m:e>
            <m:sub>
              <m:r>
                <m:rPr>
                  <m:sty m:val="p"/>
                </m:rPr>
                <m:t>g</m:t>
              </m:r>
            </m:sub>
          </m:sSub>
          <m:r>
            <m:rPr>
              <m:sty m:val="p"/>
            </m:rPr>
            <m:t>=</m:t>
          </m:r>
          <m:r>
            <m:rPr>
              <m:sty m:val="p"/>
            </m:rPr>
            <m:t>Φ</m:t>
          </m:r>
          <m:r>
            <m:rPr>
              <m:sty m:val="p"/>
            </m:rPr>
            <m:t>(</m:t>
          </m:r>
          <m:r>
            <m:t>t</m:t>
          </m:r>
          <m:r>
            <m:rPr>
              <m:sty m:val="p"/>
            </m:rPr>
            <m:t>)</m:t>
          </m:r>
          <m:r>
            <m:rPr>
              <m:sty m:val="p"/>
            </m:rPr>
            <m:t>−</m:t>
          </m:r>
          <m:r>
            <m:rPr>
              <m:sty m:val="p"/>
            </m:rPr>
            <m:t>[</m:t>
          </m:r>
          <m:sSub>
            <m:e>
              <m:r>
                <m:t>f</m:t>
              </m:r>
            </m:e>
            <m:sub>
              <m:r>
                <m:t>R</m:t>
              </m:r>
            </m:sub>
          </m:sSub>
          <m:r>
            <m:rPr>
              <m:sty m:val="p"/>
            </m:rPr>
            <m:t>+</m:t>
          </m:r>
          <m:r>
            <m:t>η</m:t>
          </m:r>
          <m:r>
            <m:rPr>
              <m:sty m:val="p"/>
            </m:rPr>
            <m:t>]</m:t>
          </m:r>
          <m:r>
            <m:t>ϵ</m:t>
          </m:r>
          <m:r>
            <m:rPr>
              <m:sty m:val="p"/>
            </m:rPr>
            <m:t>(</m:t>
          </m:r>
          <m:r>
            <m:t>t</m:t>
          </m:r>
          <m:r>
            <m:rPr>
              <m:sty m:val="p"/>
            </m:rPr>
            <m:t>)</m:t>
          </m:r>
          <m:sSub>
            <m:e>
              <m:r>
                <m:t>M</m:t>
              </m:r>
            </m:e>
            <m:sub>
              <m:r>
                <m:rPr>
                  <m:sty m:val="p"/>
                </m:rPr>
                <m:t>g</m:t>
              </m:r>
            </m:sub>
          </m:sSub>
          <m:r>
            <m:rPr>
              <m:sty m:val="p"/>
            </m:rPr>
            <m:t>,</m:t>
          </m:r>
        </m:oMath>
      </m:oMathPara>
    </w:p>
    <w:p>
      <w:pPr>
        <w:pStyle w:val="FirstParagraph"/>
      </w:pPr>
      <w:r>
        <w:t xml:space="preserve">and retain the full physical-time metal equation. Let</w:t>
      </w:r>
    </w:p>
    <w:p>
      <w:pPr>
        <w:pStyle w:val="BodyText"/>
      </w:pPr>
      <m:oMathPara>
        <m:oMathParaPr>
          <m:jc m:val="center"/>
        </m:oMathParaPr>
        <m:oMath>
          <m:r>
            <m:rPr>
              <m:sty m:val="p"/>
            </m:rPr>
            <m:t>ln</m:t>
          </m:r>
          <m:r>
            <m:rPr>
              <m:sty m:val="p"/>
            </m:rPr>
            <m:t>Φ</m:t>
          </m:r>
          <m:r>
            <m:rPr>
              <m:sty m:val="p"/>
            </m:rPr>
            <m:t>(</m:t>
          </m:r>
          <m:r>
            <m:t>t</m:t>
          </m:r>
          <m:r>
            <m:rPr>
              <m:sty m:val="p"/>
            </m:rPr>
            <m:t>)</m:t>
          </m:r>
          <m:r>
            <m:rPr>
              <m:sty m:val="p"/>
            </m:rPr>
            <m:t>=</m:t>
          </m:r>
          <m:sSub>
            <m:e>
              <m:r>
                <m:t>μ</m:t>
              </m:r>
            </m:e>
            <m:sub>
              <m:r>
                <m:rPr>
                  <m:sty m:val="p"/>
                </m:rPr>
                <m:t>Φ</m:t>
              </m:r>
            </m:sub>
          </m:sSub>
          <m:r>
            <m:rPr>
              <m:sty m:val="p"/>
            </m:rPr>
            <m:t>+</m:t>
          </m:r>
          <m:sSub>
            <m:e>
              <m:r>
                <m:t>σ</m:t>
              </m:r>
            </m:e>
            <m:sub>
              <m:r>
                <m:rPr>
                  <m:sty m:val="p"/>
                </m:rPr>
                <m:t>Φ</m:t>
              </m:r>
            </m:sub>
          </m:sSub>
          <m:sSub>
            <m:e>
              <m:r>
                <m:t>x</m:t>
              </m:r>
            </m:e>
            <m:sub>
              <m:r>
                <m:rPr>
                  <m:sty m:val="p"/>
                </m:rPr>
                <m:t>Φ</m:t>
              </m:r>
            </m:sub>
          </m:sSub>
          <m:r>
            <m:rPr>
              <m:sty m:val="p"/>
            </m:rPr>
            <m:t>(</m:t>
          </m:r>
          <m:r>
            <m:t>t</m:t>
          </m:r>
          <m:r>
            <m:rPr>
              <m:sty m:val="p"/>
            </m:rPr>
            <m:t>)</m:t>
          </m:r>
          <m:r>
            <m:rPr>
              <m:sty m:val="p"/>
            </m:rPr>
            <m:t>,</m:t>
          </m:r>
          <m:r>
            <m:t>  </m:t>
          </m:r>
          <m:r>
            <m:rPr>
              <m:sty m:val="p"/>
            </m:rPr>
            <m:t>ln</m:t>
          </m:r>
          <m:r>
            <m:t>ϵ</m:t>
          </m:r>
          <m:r>
            <m:rPr>
              <m:sty m:val="p"/>
            </m:rPr>
            <m:t>(</m:t>
          </m:r>
          <m:r>
            <m:t>t</m:t>
          </m:r>
          <m:r>
            <m:rPr>
              <m:sty m:val="p"/>
            </m:rPr>
            <m:t>)</m:t>
          </m:r>
          <m:r>
            <m:rPr>
              <m:sty m:val="p"/>
            </m:rPr>
            <m:t>=</m:t>
          </m:r>
          <m:sSub>
            <m:e>
              <m:r>
                <m:t>μ</m:t>
              </m:r>
            </m:e>
            <m:sub>
              <m:r>
                <m:t>ϵ</m:t>
              </m:r>
            </m:sub>
          </m:sSub>
          <m:r>
            <m:rPr>
              <m:sty m:val="p"/>
            </m:rPr>
            <m:t>+</m:t>
          </m:r>
          <m:sSub>
            <m:e>
              <m:r>
                <m:t>σ</m:t>
              </m:r>
            </m:e>
            <m:sub>
              <m:r>
                <m:t>ϵ</m:t>
              </m:r>
            </m:sub>
          </m:sSub>
          <m:sSub>
            <m:e>
              <m:r>
                <m:t>x</m:t>
              </m:r>
            </m:e>
            <m:sub>
              <m:r>
                <m:t>ϵ</m:t>
              </m:r>
            </m:sub>
          </m:sSub>
          <m:r>
            <m:rPr>
              <m:sty m:val="p"/>
            </m:rPr>
            <m:t>(</m:t>
          </m:r>
          <m:r>
            <m:t>t</m:t>
          </m:r>
          <m:r>
            <m:rPr>
              <m:sty m:val="p"/>
            </m:rPr>
            <m:t>)</m:t>
          </m:r>
          <m:r>
            <m:rPr>
              <m:sty m:val="p"/>
            </m:rPr>
            <m:t>,</m:t>
          </m:r>
        </m:oMath>
      </m:oMathPara>
    </w:p>
    <w:p>
      <w:pPr>
        <w:pStyle w:val="FirstParagraph"/>
      </w:pPr>
      <w:r>
        <w:t xml:space="preserve">where the two stochastic processes can have different coherence times and a fitted cross-correlation. The original Forbes model is recovered exactly for</w:t>
      </w:r>
      <w:r>
        <w:t xml:space="preserve"> </w:t>
      </w:r>
      <m:oMath>
        <m:sSub>
          <m:e>
            <m:r>
              <m:t>σ</m:t>
            </m:r>
          </m:e>
          <m:sub>
            <m:r>
              <m:t>ϵ</m:t>
            </m:r>
          </m:sub>
        </m:sSub>
        <m:r>
          <m:rPr>
            <m:sty m:val="p"/>
          </m:rPr>
          <m:t>=</m:t>
        </m:r>
        <m:r>
          <m:t>0</m:t>
        </m:r>
      </m:oMath>
      <w:r>
        <w:t xml:space="preserve">.</w:t>
      </w:r>
    </w:p>
    <w:p>
      <w:pPr>
        <w:pStyle w:val="BodyText"/>
      </w:pPr>
      <w:r>
        <w:t xml:space="preserve">A static galaxy-to-galaxy scatter in depletion time does not change equilibrium SFR or equilibrium metallicity at fixed</w:t>
      </w:r>
      <w:r>
        <w:t xml:space="preserve"> </w:t>
      </w:r>
      <m:oMath>
        <m:r>
          <m:rPr>
            <m:sty m:val="p"/>
          </m:rPr>
          <m:t>Φ</m:t>
        </m:r>
      </m:oMath>
      <w:r>
        <w:t xml:space="preserve"> </w:t>
      </w:r>
      <w:r>
        <w:t xml:space="preserve">and</w:t>
      </w:r>
      <w:r>
        <w:t xml:space="preserve"> </w:t>
      </w:r>
      <m:oMath>
        <m:r>
          <m:t>η</m:t>
        </m:r>
      </m:oMath>
      <w:r>
        <w:t xml:space="preserve">; it only changes gas mass and the response time. A</w:t>
      </w:r>
      <w:r>
        <w:t xml:space="preserve"> </w:t>
      </w:r>
      <w:r>
        <w:rPr>
          <w:b/>
          <w:bCs/>
        </w:rPr>
        <w:t xml:space="preserve">time-variable or phase-selected</w:t>
      </w:r>
      <w:r>
        <w:t xml:space="preserve"> </w:t>
      </w:r>
      <w:r>
        <w:t xml:space="preserve">efficiency is required for the Wang–Lilly positive transient. This is why simply drawing a new</w:t>
      </w:r>
      <w:r>
        <w:t xml:space="preserve"> </w:t>
      </w:r>
      <m:oMath>
        <m:sSub>
          <m:e>
            <m:r>
              <m:t>t</m:t>
            </m:r>
          </m:e>
          <m:sub>
            <m:r>
              <m:rPr>
                <m:sty m:val="p"/>
              </m:rPr>
              <m:t>d</m:t>
            </m:r>
            <m:r>
              <m:rPr>
                <m:sty m:val="p"/>
              </m:rPr>
              <m:t>e</m:t>
            </m:r>
            <m:r>
              <m:rPr>
                <m:sty m:val="p"/>
              </m:rPr>
              <m:t>p</m:t>
            </m:r>
          </m:sub>
        </m:sSub>
      </m:oMath>
      <w:r>
        <w:t xml:space="preserve"> </w:t>
      </w:r>
      <w:r>
        <w:t xml:space="preserve">once per galaxy and reusing the Forbes equilibrium formula would not test the intended physics.</w:t>
      </w:r>
    </w:p>
    <w:bookmarkEnd w:id="76"/>
    <w:bookmarkStart w:id="77" w:name="expected-sign-and-identifiability"/>
    <w:p>
      <w:pPr>
        <w:pStyle w:val="Heading2"/>
      </w:pPr>
      <w:r>
        <w:t xml:space="preserve">9.3 Expected sign and identifiability</w:t>
      </w:r>
    </w:p>
    <w:p>
      <w:pPr>
        <w:pStyle w:val="FirstParagraph"/>
      </w:pPr>
      <w:r>
        <w:t xml:space="preserve">With independent inflow and efficiency fluctuations, the observed covariance is a sum of filtered components:</w:t>
      </w:r>
    </w:p>
    <w:p>
      <w:pPr>
        <w:pStyle w:val="BodyText"/>
      </w:pPr>
      <m:oMathPara>
        <m:oMathParaPr>
          <m:jc m:val="center"/>
        </m:oMathParaPr>
        <m:oMath>
          <m:r>
            <m:rPr>
              <m:sty m:val="p"/>
            </m:rPr>
            <m:t>C</m:t>
          </m:r>
          <m:r>
            <m:rPr>
              <m:sty m:val="p"/>
            </m:rPr>
            <m:t>o</m:t>
          </m:r>
          <m:r>
            <m:rPr>
              <m:sty m:val="p"/>
            </m:rPr>
            <m:t>v</m:t>
          </m:r>
          <m:r>
            <m:rPr>
              <m:sty m:val="p"/>
            </m:rPr>
            <m:t>(</m:t>
          </m:r>
          <m:r>
            <m:rPr>
              <m:sty m:val="p"/>
            </m:rPr>
            <m:t>Δ</m:t>
          </m:r>
          <m:r>
            <m:rPr>
              <m:sty m:val="p"/>
            </m:rPr>
            <m:t>log</m:t>
          </m:r>
          <m:r>
            <m:t>Z</m:t>
          </m:r>
          <m:r>
            <m:rPr>
              <m:sty m:val="p"/>
            </m:rPr>
            <m:t>,</m:t>
          </m:r>
          <m:r>
            <m:rPr>
              <m:sty m:val="p"/>
            </m:rPr>
            <m:t>Δ</m:t>
          </m:r>
          <m:r>
            <m:rPr>
              <m:sty m:val="p"/>
            </m:rPr>
            <m:t>log</m:t>
          </m:r>
          <m:r>
            <m:rPr>
              <m:sty m:val="p"/>
            </m:rPr>
            <m:t>S</m:t>
          </m:r>
          <m:r>
            <m:rPr>
              <m:sty m:val="p"/>
            </m:rPr>
            <m:t>F</m:t>
          </m:r>
          <m:r>
            <m:rPr>
              <m:sty m:val="p"/>
            </m:rPr>
            <m:t>R</m:t>
          </m:r>
          <m:r>
            <m:rPr>
              <m:sty m:val="p"/>
            </m:rPr>
            <m:t>)</m:t>
          </m:r>
          <m:r>
            <m:rPr>
              <m:sty m:val="p"/>
            </m:rPr>
            <m:t>=</m:t>
          </m:r>
          <m:sSub>
            <m:e>
              <m:r>
                <m:t>C</m:t>
              </m:r>
            </m:e>
            <m:sub>
              <m:r>
                <m:t>ϵ</m:t>
              </m:r>
            </m:sub>
          </m:sSub>
          <m:r>
            <m:rPr>
              <m:sty m:val="p"/>
            </m:rPr>
            <m:t>(</m:t>
          </m:r>
          <m:sSub>
            <m:e>
              <m:r>
                <m:t>σ</m:t>
              </m:r>
            </m:e>
            <m:sub>
              <m:r>
                <m:t>ϵ</m:t>
              </m:r>
            </m:sub>
          </m:sSub>
          <m:r>
            <m:rPr>
              <m:sty m:val="p"/>
            </m:rPr>
            <m:t>,</m:t>
          </m:r>
          <m:sSub>
            <m:e>
              <m:r>
                <m:t>t</m:t>
              </m:r>
            </m:e>
            <m:sub>
              <m:r>
                <m:t>ϵ</m:t>
              </m:r>
            </m:sub>
          </m:sSub>
          <m:r>
            <m:rPr>
              <m:sty m:val="p"/>
            </m:rPr>
            <m:t>)</m:t>
          </m:r>
          <m:r>
            <m:rPr>
              <m:sty m:val="p"/>
            </m:rPr>
            <m:t>−</m:t>
          </m:r>
          <m:sSub>
            <m:e>
              <m:r>
                <m:t>C</m:t>
              </m:r>
            </m:e>
            <m:sub>
              <m:r>
                <m:rPr>
                  <m:sty m:val="p"/>
                </m:rPr>
                <m:t>Φ</m:t>
              </m:r>
            </m:sub>
          </m:sSub>
          <m:r>
            <m:rPr>
              <m:sty m:val="p"/>
            </m:rPr>
            <m:t>(</m:t>
          </m:r>
          <m:sSub>
            <m:e>
              <m:r>
                <m:t>σ</m:t>
              </m:r>
            </m:e>
            <m:sub>
              <m:r>
                <m:rPr>
                  <m:sty m:val="p"/>
                </m:rPr>
                <m:t>Φ</m:t>
              </m:r>
            </m:sub>
          </m:sSub>
          <m:r>
            <m:rPr>
              <m:sty m:val="p"/>
            </m:rPr>
            <m:t>,</m:t>
          </m:r>
          <m:sSub>
            <m:e>
              <m:r>
                <m:t>t</m:t>
              </m:r>
            </m:e>
            <m:sub>
              <m:r>
                <m:rPr>
                  <m:sty m:val="p"/>
                </m:rPr>
                <m:t>Φ</m:t>
              </m:r>
            </m:sub>
          </m:sSub>
          <m:r>
            <m:rPr>
              <m:sty m:val="p"/>
            </m:rPr>
            <m:t>)</m:t>
          </m:r>
          <m:r>
            <m:rPr>
              <m:sty m:val="p"/>
            </m:rPr>
            <m:t>+</m:t>
          </m:r>
          <m:sSub>
            <m:e>
              <m:r>
                <m:t>C</m:t>
              </m:r>
            </m:e>
            <m:sub>
              <m:r>
                <m:t>η</m:t>
              </m:r>
            </m:sub>
          </m:sSub>
          <m:r>
            <m:rPr>
              <m:sty m:val="p"/>
            </m:rPr>
            <m:t>+</m:t>
          </m:r>
          <m:sSub>
            <m:e>
              <m:r>
                <m:t>C</m:t>
              </m:r>
            </m:e>
            <m:sub>
              <m:sSub>
                <m:e>
                  <m:r>
                    <m:t>Z</m:t>
                  </m:r>
                </m:e>
                <m:sub>
                  <m:r>
                    <m:rPr>
                      <m:sty m:val="p"/>
                    </m:rPr>
                    <m:t>i</m:t>
                  </m:r>
                  <m:r>
                    <m:rPr>
                      <m:sty m:val="p"/>
                    </m:rPr>
                    <m:t>n</m:t>
                  </m:r>
                </m:sub>
              </m:sSub>
            </m:sub>
          </m:sSub>
          <m:r>
            <m:rPr>
              <m:sty m:val="p"/>
            </m:rPr>
            <m:t>+</m:t>
          </m:r>
          <m:sSub>
            <m:e>
              <m:r>
                <m:t>C</m:t>
              </m:r>
            </m:e>
            <m:sub>
              <m:r>
                <m:rPr>
                  <m:sty m:val="p"/>
                </m:rPr>
                <m:t>c</m:t>
              </m:r>
              <m:r>
                <m:rPr>
                  <m:sty m:val="p"/>
                </m:rPr>
                <m:t>r</m:t>
              </m:r>
              <m:r>
                <m:rPr>
                  <m:sty m:val="p"/>
                </m:rPr>
                <m:t>o</m:t>
              </m:r>
              <m:r>
                <m:rPr>
                  <m:sty m:val="p"/>
                </m:rPr>
                <m:t>s</m:t>
              </m:r>
              <m:r>
                <m:rPr>
                  <m:sty m:val="p"/>
                </m:rPr>
                <m:t>s</m:t>
              </m:r>
            </m:sub>
          </m:sSub>
          <m:r>
            <m:rPr>
              <m:sty m:val="p"/>
            </m:rPr>
            <m:t>.</m:t>
          </m:r>
        </m:oMath>
      </m:oMathPara>
    </w:p>
    <w:p>
      <w:pPr>
        <w:pStyle w:val="FirstParagraph"/>
      </w:pPr>
      <m:oMath>
        <m:sSub>
          <m:e>
            <m:r>
              <m:t>C</m:t>
            </m:r>
          </m:e>
          <m:sub>
            <m:r>
              <m:t>ϵ</m:t>
            </m:r>
          </m:sub>
        </m:sSub>
      </m:oMath>
      <w:r>
        <w:t xml:space="preserve"> </w:t>
      </w:r>
      <w:r>
        <w:t xml:space="preserve">and</w:t>
      </w:r>
      <w:r>
        <w:t xml:space="preserve"> </w:t>
      </w:r>
      <m:oMath>
        <m:sSub>
          <m:e>
            <m:r>
              <m:t>C</m:t>
            </m:r>
          </m:e>
          <m:sub>
            <m:r>
              <m:rPr>
                <m:sty m:val="p"/>
              </m:rPr>
              <m:t>Φ</m:t>
            </m:r>
          </m:sub>
        </m:sSub>
      </m:oMath>
      <w:r>
        <w:t xml:space="preserve"> </w:t>
      </w:r>
      <w:r>
        <w:t xml:space="preserve">are non-negative response amplitudes before their displayed signs. A positive slope only establishes that the sum of enrichment-linked terms exceeds dilution-linked terms. Without gas mass, depletion time, inflow/recycling, or outflow constraints, amplitudes and coherence times are degenerate.</w:t>
      </w:r>
    </w:p>
    <w:bookmarkEnd w:id="77"/>
    <w:bookmarkEnd w:id="78"/>
    <w:bookmarkStart w:id="85" w:name="reproducible-two-driver-experiment"/>
    <w:p>
      <w:pPr>
        <w:pStyle w:val="Heading1"/>
      </w:pPr>
      <w:r>
        <w:t xml:space="preserve">10. Reproducible two-driver experiment</w:t>
      </w:r>
    </w:p>
    <w:p>
      <w:pPr>
        <w:pStyle w:val="CaptionedFigure"/>
      </w:pPr>
      <w:r>
        <w:drawing>
          <wp:inline>
            <wp:extent cx="5334000" cy="1363186"/>
            <wp:effectExtent b="0" l="0" r="0" t="0"/>
            <wp:docPr descr="Fixed-mass gas-regulator experiment. The first three panels show residual tracks for inflow-only, efficiency-only, and mixed forcing. The final panel gives the correlation as a function of the rms efficiency-to-inflow fluctuation ratio; shading is the 16th–84th percentile over 12 realisations." title="" id="80" name="Picture"/>
            <a:graphic>
              <a:graphicData uri="http://schemas.openxmlformats.org/drawingml/2006/picture">
                <pic:pic>
                  <pic:nvPicPr>
                    <pic:cNvPr descr="20260813_FMR_driver_competition_toy_model.png" id="81" name="Picture"/>
                    <pic:cNvPicPr>
                      <a:picLocks noChangeArrowheads="1" noChangeAspect="1"/>
                    </pic:cNvPicPr>
                  </pic:nvPicPr>
                  <pic:blipFill>
                    <a:blip r:embed="rId79"/>
                    <a:stretch>
                      <a:fillRect/>
                    </a:stretch>
                  </pic:blipFill>
                  <pic:spPr bwMode="auto">
                    <a:xfrm>
                      <a:off x="0" y="0"/>
                      <a:ext cx="5334000" cy="1363186"/>
                    </a:xfrm>
                    <a:prstGeom prst="rect">
                      <a:avLst/>
                    </a:prstGeom>
                    <a:noFill/>
                    <a:ln w="9525">
                      <a:noFill/>
                      <a:headEnd/>
                      <a:tailEnd/>
                    </a:ln>
                  </pic:spPr>
                </pic:pic>
              </a:graphicData>
            </a:graphic>
          </wp:inline>
        </w:drawing>
      </w:r>
    </w:p>
    <w:p>
      <w:pPr>
        <w:pStyle w:val="ImageCaption"/>
      </w:pPr>
      <w:r>
        <w:t xml:space="preserve">Fixed-mass gas-regulator experiment. The first three panels show residual tracks for inflow-only, efficiency-only, and mixed forcing. The final panel gives the correlation as a function of the rms efficiency-to-inflow fluctuation ratio; shading is the 16th–84th percentile over 12 realisations.</w:t>
      </w:r>
    </w:p>
    <w:bookmarkStart w:id="82" w:name="setup"/>
    <w:p>
      <w:pPr>
        <w:pStyle w:val="Heading2"/>
      </w:pPr>
      <w:r>
        <w:t xml:space="preserve">10.1 Setup</w:t>
      </w:r>
    </w:p>
    <w:p>
      <w:pPr>
        <w:pStyle w:val="FirstParagraph"/>
      </w:pPr>
      <w:r>
        <w:t xml:space="preserve">The accompanying Python calculation integrates the common gas and metal equations at fixed stellar mass. It uses</w:t>
      </w:r>
      <w:r>
        <w:t xml:space="preserve"> </w:t>
      </w:r>
      <m:oMath>
        <m:r>
          <m:t>R</m:t>
        </m:r>
        <m:r>
          <m:rPr>
            <m:sty m:val="p"/>
          </m:rPr>
          <m:t>=</m:t>
        </m:r>
        <m:r>
          <m:t>0.4</m:t>
        </m:r>
      </m:oMath>
      <w:r>
        <w:t xml:space="preserve">,</w:t>
      </w:r>
      <w:r>
        <w:t xml:space="preserve"> </w:t>
      </w:r>
      <m:oMath>
        <m:r>
          <m:t>η</m:t>
        </m:r>
        <m:r>
          <m:rPr>
            <m:sty m:val="p"/>
          </m:rPr>
          <m:t>=</m:t>
        </m:r>
        <m:r>
          <m:t>1</m:t>
        </m:r>
      </m:oMath>
      <w:r>
        <w:t xml:space="preserve">,</w:t>
      </w:r>
      <w:r>
        <w:t xml:space="preserve"> </w:t>
      </w:r>
      <m:oMath>
        <m:sSub>
          <m:e>
            <m:r>
              <m:t>ϵ</m:t>
            </m:r>
          </m:e>
          <m:sub>
            <m:r>
              <m:t>0</m:t>
            </m:r>
          </m:sub>
        </m:sSub>
        <m:r>
          <m:rPr>
            <m:sty m:val="p"/>
          </m:rPr>
          <m:t>=</m:t>
        </m:r>
        <m:r>
          <m:t>1</m:t>
        </m:r>
      </m:oMath>
      <w:r>
        <w:t xml:space="preserve"> </w:t>
      </w:r>
      <w:r>
        <w:t xml:space="preserve">in arbitrary inverse-time units,</w:t>
      </w:r>
      <w:r>
        <w:t xml:space="preserve"> </w:t>
      </w:r>
      <m:oMath>
        <m:sSub>
          <m:e>
            <m:r>
              <m:rPr>
                <m:sty m:val="p"/>
              </m:rPr>
              <m:t>Φ</m:t>
            </m:r>
          </m:e>
          <m:sub>
            <m:r>
              <m:t>0</m:t>
            </m:r>
          </m:sub>
        </m:sSub>
        <m:r>
          <m:rPr>
            <m:sty m:val="p"/>
          </m:rPr>
          <m:t>=</m:t>
        </m:r>
        <m:r>
          <m:t>1</m:t>
        </m:r>
      </m:oMath>
      <w:r>
        <w:t xml:space="preserve">,</w:t>
      </w:r>
      <w:r>
        <w:t xml:space="preserve"> </w:t>
      </w:r>
      <m:oMath>
        <m:r>
          <m:t>y</m:t>
        </m:r>
        <m:r>
          <m:rPr>
            <m:sty m:val="p"/>
          </m:rPr>
          <m:t>=</m:t>
        </m:r>
        <m:r>
          <m:t>0.015</m:t>
        </m:r>
      </m:oMath>
      <w:r>
        <w:t xml:space="preserve">, and</w:t>
      </w:r>
      <w:r>
        <w:t xml:space="preserve"> </w:t>
      </w:r>
      <m:oMath>
        <m:sSub>
          <m:e>
            <m:r>
              <m:t>Z</m:t>
            </m:r>
          </m:e>
          <m:sub>
            <m:r>
              <m:rPr>
                <m:sty m:val="p"/>
              </m:rPr>
              <m:t>i</m:t>
            </m:r>
            <m:r>
              <m:rPr>
                <m:sty m:val="p"/>
              </m:rPr>
              <m:t>n</m:t>
            </m:r>
          </m:sub>
        </m:sSub>
        <m:r>
          <m:rPr>
            <m:sty m:val="p"/>
          </m:rPr>
          <m:t>=</m:t>
        </m:r>
        <m:r>
          <m:t>0.002</m:t>
        </m:r>
      </m:oMath>
      <w:r>
        <w:t xml:space="preserve">. This gives</w:t>
      </w:r>
      <w:r>
        <w:t xml:space="preserve"> </w:t>
      </w:r>
      <m:oMath>
        <m:sSub>
          <m:e>
            <m:r>
              <m:t>τ</m:t>
            </m:r>
          </m:e>
          <m:sub>
            <m:r>
              <m:rPr>
                <m:sty m:val="p"/>
              </m:rPr>
              <m:t>e</m:t>
            </m:r>
            <m:r>
              <m:rPr>
                <m:sty m:val="p"/>
              </m:rPr>
              <m:t>q</m:t>
            </m:r>
          </m:sub>
        </m:sSub>
        <m:r>
          <m:rPr>
            <m:sty m:val="p"/>
          </m:rPr>
          <m:t>=</m:t>
        </m:r>
        <m:r>
          <m:t>0.625</m:t>
        </m:r>
      </m:oMath>
      <w:r>
        <w:t xml:space="preserve">. Independent log-inflow and log-efficiency fluctuations are Ornstein–Uhlenbeck processes with coherence time</w:t>
      </w:r>
      <w:r>
        <w:t xml:space="preserve"> </w:t>
      </w:r>
      <m:oMath>
        <m:r>
          <m:t>2</m:t>
        </m:r>
        <m:sSub>
          <m:e>
            <m:r>
              <m:t>τ</m:t>
            </m:r>
          </m:e>
          <m:sub>
            <m:r>
              <m:rPr>
                <m:sty m:val="p"/>
              </m:rPr>
              <m:t>e</m:t>
            </m:r>
            <m:r>
              <m:rPr>
                <m:sty m:val="p"/>
              </m:rPr>
              <m:t>q</m:t>
            </m:r>
          </m:sub>
        </m:sSub>
      </m:oMath>
      <w:r>
        <w:t xml:space="preserve">. For the amplitude scan,</w:t>
      </w:r>
      <w:r>
        <w:t xml:space="preserve"> </w:t>
      </w:r>
      <m:oMath>
        <m:sSub>
          <m:e>
            <m:r>
              <m:t>σ</m:t>
            </m:r>
          </m:e>
          <m:sub>
            <m:r>
              <m:rPr>
                <m:sty m:val="p"/>
              </m:rPr>
              <m:t>ln</m:t>
            </m:r>
            <m:r>
              <m:rPr>
                <m:sty m:val="p"/>
              </m:rPr>
              <m:t>Φ</m:t>
            </m:r>
          </m:sub>
        </m:sSub>
        <m:r>
          <m:rPr>
            <m:sty m:val="p"/>
          </m:rPr>
          <m:t>=</m:t>
        </m:r>
        <m:r>
          <m:t>0.28</m:t>
        </m:r>
      </m:oMath>
      <w:r>
        <w:t xml:space="preserve"> </w:t>
      </w:r>
      <w:r>
        <w:t xml:space="preserve">and</w:t>
      </w:r>
      <w:r>
        <w:t xml:space="preserve"> </w:t>
      </w:r>
      <m:oMath>
        <m:sSub>
          <m:e>
            <m:r>
              <m:t>σ</m:t>
            </m:r>
          </m:e>
          <m:sub>
            <m:r>
              <m:rPr>
                <m:sty m:val="p"/>
              </m:rPr>
              <m:t>ln</m:t>
            </m:r>
            <m:r>
              <m:t>ϵ</m:t>
            </m:r>
          </m:sub>
        </m:sSub>
        <m:r>
          <m:rPr>
            <m:sty m:val="p"/>
          </m:rPr>
          <m:t>/</m:t>
        </m:r>
        <m:sSub>
          <m:e>
            <m:r>
              <m:t>σ</m:t>
            </m:r>
          </m:e>
          <m:sub>
            <m:r>
              <m:rPr>
                <m:sty m:val="p"/>
              </m:rPr>
              <m:t>ln</m:t>
            </m:r>
            <m:r>
              <m:rPr>
                <m:sty m:val="p"/>
              </m:rPr>
              <m:t>Φ</m:t>
            </m:r>
          </m:sub>
        </m:sSub>
      </m:oMath>
      <w:r>
        <w:t xml:space="preserve"> </w:t>
      </w:r>
      <w:r>
        <w:t xml:space="preserve">ranges from 0 to 2.5.</w:t>
      </w:r>
    </w:p>
    <w:p>
      <w:pPr>
        <w:pStyle w:val="BodyText"/>
      </w:pPr>
      <w:r>
        <w:t xml:space="preserve">The experiment samples a regulator patch after burn-in and correlates residual</w:t>
      </w:r>
      <w:r>
        <w:t xml:space="preserve"> </w:t>
      </w:r>
      <m:oMath>
        <m:r>
          <m:rPr>
            <m:sty m:val="p"/>
          </m:rPr>
          <m:t>log</m:t>
        </m:r>
        <m:r>
          <m:rPr>
            <m:sty m:val="p"/>
          </m:rPr>
          <m:t>S</m:t>
        </m:r>
        <m:r>
          <m:rPr>
            <m:sty m:val="p"/>
          </m:rPr>
          <m:t>F</m:t>
        </m:r>
        <m:r>
          <m:rPr>
            <m:sty m:val="p"/>
          </m:rPr>
          <m:t>R</m:t>
        </m:r>
      </m:oMath>
      <w:r>
        <w:t xml:space="preserve"> </w:t>
      </w:r>
      <w:r>
        <w:t xml:space="preserve">with residual</w:t>
      </w:r>
      <w:r>
        <w:t xml:space="preserve"> </w:t>
      </w:r>
      <m:oMath>
        <m:r>
          <m:rPr>
            <m:sty m:val="p"/>
          </m:rPr>
          <m:t>log</m:t>
        </m:r>
        <m:r>
          <m:t>Z</m:t>
        </m:r>
      </m:oMath>
      <w:r>
        <w:t xml:space="preserve">. It does</w:t>
      </w:r>
      <w:r>
        <w:t xml:space="preserve"> </w:t>
      </w:r>
      <w:r>
        <w:rPr>
          <w:b/>
          <w:bCs/>
        </w:rPr>
        <w:t xml:space="preserve">not</w:t>
      </w:r>
      <w:r>
        <w:t xml:space="preserve"> </w:t>
      </w:r>
      <w:r>
        <w:t xml:space="preserve">evolve</w:t>
      </w:r>
      <w:r>
        <w:t xml:space="preserve"> </w:t>
      </w:r>
      <m:oMath>
        <m:sSub>
          <m:e>
            <m:r>
              <m:t>M</m:t>
            </m:r>
          </m:e>
          <m:sub>
            <m:r>
              <m:rPr>
                <m:sty m:val="p"/>
              </m:rPr>
              <m:t>⋆</m:t>
            </m:r>
          </m:sub>
        </m:sSub>
      </m:oMath>
      <w:r>
        <w:t xml:space="preserve"> </w:t>
      </w:r>
      <w:r>
        <w:t xml:space="preserve">or generate a cosmological galaxy population, so it tests the local fixed-mass response sign only.</w:t>
      </w:r>
    </w:p>
    <w:bookmarkEnd w:id="82"/>
    <w:bookmarkStart w:id="83" w:name="results"/>
    <w:p>
      <w:pPr>
        <w:pStyle w:val="Heading2"/>
      </w:pPr>
      <w:r>
        <w:t xml:space="preserve">10.2 Results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Driver case</w:t>
            </w:r>
          </w:p>
        </w:tc>
        <w:tc>
          <w:tcPr/>
          <w:p>
            <w:pPr>
              <w:pStyle w:val="Compact"/>
              <w:jc w:val="right"/>
            </w:pPr>
            <m:oMath>
              <m:sSub>
                <m:e>
                  <m:r>
                    <m:t>σ</m:t>
                  </m:r>
                </m:e>
                <m:sub>
                  <m:r>
                    <m:rPr>
                      <m:sty m:val="p"/>
                    </m:rPr>
                    <m:t>ln</m:t>
                  </m:r>
                  <m:r>
                    <m:rPr>
                      <m:sty m:val="p"/>
                    </m:rPr>
                    <m:t>Φ</m:t>
                  </m:r>
                </m:sub>
              </m:sSub>
            </m:oMath>
          </w:p>
        </w:tc>
        <w:tc>
          <w:tcPr/>
          <w:p>
            <w:pPr>
              <w:pStyle w:val="Compact"/>
              <w:jc w:val="right"/>
            </w:pPr>
            <m:oMath>
              <m:sSub>
                <m:e>
                  <m:r>
                    <m:t>σ</m:t>
                  </m:r>
                </m:e>
                <m:sub>
                  <m:r>
                    <m:rPr>
                      <m:sty m:val="p"/>
                    </m:rPr>
                    <m:t>ln</m:t>
                  </m:r>
                  <m:r>
                    <m:t>ϵ</m:t>
                  </m:r>
                </m:sub>
              </m:sSub>
            </m:oMath>
          </w:p>
        </w:tc>
        <w:tc>
          <w:tcPr/>
          <w:p>
            <w:pPr>
              <w:pStyle w:val="Compact"/>
              <w:jc w:val="right"/>
            </w:pPr>
            <w:r>
              <w:t xml:space="preserve">Pearson</w:t>
            </w:r>
            <w:r>
              <w:t xml:space="preserve"> </w:t>
            </w:r>
            <m:oMath>
              <m:r>
                <m:t>r</m:t>
              </m:r>
            </m:oMath>
          </w:p>
        </w:tc>
        <w:tc>
          <w:tcPr/>
          <w:p>
            <w:pPr>
              <w:pStyle w:val="Compact"/>
              <w:jc w:val="right"/>
            </w:pPr>
            <w:r>
              <w:t xml:space="preserve">OLS</w:t>
            </w:r>
            <w:r>
              <w:t xml:space="preserve"> </w:t>
            </w:r>
            <m:oMath>
              <m:r>
                <m:rPr>
                  <m:sty m:val="p"/>
                </m:rPr>
                <m:t>Δ</m:t>
              </m:r>
              <m:r>
                <m:rPr>
                  <m:sty m:val="p"/>
                </m:rPr>
                <m:t>log</m:t>
              </m:r>
              <m:r>
                <m:t>Z</m:t>
              </m:r>
              <m:r>
                <m:rPr>
                  <m:sty m:val="p"/>
                </m:rPr>
                <m:t>/</m:t>
              </m:r>
              <m:r>
                <m:rPr>
                  <m:sty m:val="p"/>
                </m:rPr>
                <m:t>Δ</m:t>
              </m:r>
              <m:r>
                <m:rPr>
                  <m:sty m:val="p"/>
                </m:rPr>
                <m:t>log</m:t>
              </m:r>
              <m:r>
                <m:rPr>
                  <m:sty m:val="p"/>
                </m:rPr>
                <m:t>S</m:t>
              </m:r>
              <m:r>
                <m:rPr>
                  <m:sty m:val="p"/>
                </m:rPr>
                <m:t>F</m:t>
              </m:r>
              <m:r>
                <m:rPr>
                  <m:sty m:val="p"/>
                </m:rPr>
                <m:t>R</m:t>
              </m:r>
            </m:oMath>
          </w:p>
        </w:tc>
      </w:tr>
      <w:tr>
        <w:tc>
          <w:tcPr/>
          <w:p>
            <w:pPr>
              <w:pStyle w:val="Compact"/>
            </w:pPr>
            <w:r>
              <w:t xml:space="preserve">Inflow only (Forbes limit)</w:t>
            </w:r>
          </w:p>
        </w:tc>
        <w:tc>
          <w:tcPr/>
          <w:p>
            <w:pPr>
              <w:pStyle w:val="Compact"/>
              <w:jc w:val="right"/>
            </w:pPr>
            <w:r>
              <w:t xml:space="preserve">0.28</w:t>
            </w:r>
          </w:p>
        </w:tc>
        <w:tc>
          <w:tcPr/>
          <w:p>
            <w:pPr>
              <w:pStyle w:val="Compact"/>
              <w:jc w:val="right"/>
            </w:pPr>
            <w:r>
              <w:t xml:space="preserve">0.00</w:t>
            </w:r>
          </w:p>
        </w:tc>
        <w:tc>
          <w:tcPr/>
          <w:p>
            <w:pPr>
              <w:pStyle w:val="Compact"/>
              <w:jc w:val="right"/>
            </w:pPr>
            <w:r>
              <w:t xml:space="preserve">-0.385</w:t>
            </w:r>
          </w:p>
        </w:tc>
        <w:tc>
          <w:tcPr/>
          <w:p>
            <w:pPr>
              <w:pStyle w:val="Compact"/>
              <w:jc w:val="right"/>
            </w:pPr>
            <w:r>
              <w:t xml:space="preserve">-0.122</w:t>
            </w:r>
          </w:p>
        </w:tc>
      </w:tr>
      <w:tr>
        <w:tc>
          <w:tcPr/>
          <w:p>
            <w:pPr>
              <w:pStyle w:val="Compact"/>
            </w:pPr>
            <w:r>
              <w:t xml:space="preserve">Efficiency only</w:t>
            </w:r>
          </w:p>
        </w:tc>
        <w:tc>
          <w:tcPr/>
          <w:p>
            <w:pPr>
              <w:pStyle w:val="Compact"/>
              <w:jc w:val="right"/>
            </w:pPr>
            <w:r>
              <w:t xml:space="preserve">0.00</w:t>
            </w:r>
          </w:p>
        </w:tc>
        <w:tc>
          <w:tcPr/>
          <w:p>
            <w:pPr>
              <w:pStyle w:val="Compact"/>
              <w:jc w:val="right"/>
            </w:pPr>
            <w:r>
              <w:t xml:space="preserve">0.28</w:t>
            </w:r>
          </w:p>
        </w:tc>
        <w:tc>
          <w:tcPr/>
          <w:p>
            <w:pPr>
              <w:pStyle w:val="Compact"/>
              <w:jc w:val="right"/>
            </w:pPr>
            <w:r>
              <w:t xml:space="preserve">+0.583</w:t>
            </w:r>
          </w:p>
        </w:tc>
        <w:tc>
          <w:tcPr/>
          <w:p>
            <w:pPr>
              <w:pStyle w:val="Compact"/>
              <w:jc w:val="right"/>
            </w:pPr>
            <w:r>
              <w:t xml:space="preserve">+0.279</w:t>
            </w:r>
          </w:p>
        </w:tc>
      </w:tr>
      <w:tr>
        <w:tc>
          <w:tcPr/>
          <w:p>
            <w:pPr>
              <w:pStyle w:val="Compact"/>
            </w:pPr>
            <w:r>
              <w:t xml:space="preserve">Both, efficiency-dominated</w:t>
            </w:r>
          </w:p>
        </w:tc>
        <w:tc>
          <w:tcPr/>
          <w:p>
            <w:pPr>
              <w:pStyle w:val="Compact"/>
              <w:jc w:val="right"/>
            </w:pPr>
            <w:r>
              <w:t xml:space="preserve">0.28</w:t>
            </w:r>
          </w:p>
        </w:tc>
        <w:tc>
          <w:tcPr/>
          <w:p>
            <w:pPr>
              <w:pStyle w:val="Compact"/>
              <w:jc w:val="right"/>
            </w:pPr>
            <w:r>
              <w:t xml:space="preserve">0.42</w:t>
            </w:r>
          </w:p>
        </w:tc>
        <w:tc>
          <w:tcPr/>
          <w:p>
            <w:pPr>
              <w:pStyle w:val="Compact"/>
              <w:jc w:val="right"/>
            </w:pPr>
            <w:r>
              <w:t xml:space="preserve">+0.245</w:t>
            </w:r>
          </w:p>
        </w:tc>
        <w:tc>
          <w:tcPr/>
          <w:p>
            <w:pPr>
              <w:pStyle w:val="Compact"/>
              <w:jc w:val="right"/>
            </w:pPr>
            <w:r>
              <w:t xml:space="preserve">+0.097</w:t>
            </w:r>
          </w:p>
        </w:tc>
      </w:tr>
    </w:tbl>
    <w:p>
      <w:pPr>
        <w:pStyle w:val="BodyText"/>
      </w:pPr>
      <w:r>
        <w:t xml:space="preserve">For these parameter choices, equal rms efficiency and inflow fluctuations produce a median correlation close to zero; the first sampled positive median occurs at a ratio of 1.125. The transition is broad across realisations. Its location changes with coherence time, inflow metallicity, equilibrium state, driver correlation, SFR averaging window, and response-time definition. The robust result is qualitative:</w:t>
      </w:r>
      <w:r>
        <w:t xml:space="preserve"> </w:t>
      </w:r>
      <w:r>
        <w:rPr>
          <w:b/>
          <w:bCs/>
        </w:rPr>
        <w:t xml:space="preserve">the unmodified continuity laws admit either sign once the dominant driver is allowed to vary.</w:t>
      </w:r>
    </w:p>
    <w:bookmarkEnd w:id="83"/>
    <w:bookmarkStart w:id="84" w:name="X136db1b979cf545d3cd803b2e0a347fcddb4af9"/>
    <w:p>
      <w:pPr>
        <w:pStyle w:val="Heading2"/>
      </w:pPr>
      <w:r>
        <w:t xml:space="preserve">10.3 What this experiment does and does not establish</w:t>
      </w:r>
    </w:p>
    <w:p>
      <w:pPr>
        <w:pStyle w:val="FirstParagraph"/>
      </w:pPr>
      <w:r>
        <w:t xml:space="preserve">It establishes mathematical sufficiency and verifies the numerical implementation against the analytically expected signs. It does not show that MAUVE’s positive branch is caused by efficiency fluctuations. That requires testing the predicted gas, time-scale, environment, and ionisation signatures.</w:t>
      </w:r>
    </w:p>
    <w:bookmarkEnd w:id="84"/>
    <w:bookmarkEnd w:id="85"/>
    <w:bookmarkStart w:id="90" w:name="a-testable-mauve-implementation"/>
    <w:p>
      <w:pPr>
        <w:pStyle w:val="Heading1"/>
      </w:pPr>
      <w:r>
        <w:t xml:space="preserve">11. A testable MAUVE implementation</w:t>
      </w:r>
    </w:p>
    <w:bookmarkStart w:id="86" w:name="minimum-observational-model"/>
    <w:p>
      <w:pPr>
        <w:pStyle w:val="Heading2"/>
      </w:pPr>
      <w:r>
        <w:t xml:space="preserve">11.1 Minimum observational model</w:t>
      </w:r>
    </w:p>
    <w:p>
      <w:pPr>
        <w:pStyle w:val="FirstParagraph"/>
      </w:pPr>
      <w:r>
        <w:t xml:space="preserve">For each spatial element or resolution-matched region, model residuals after removing the chosen</w:t>
      </w:r>
      <w:r>
        <w:t xml:space="preserve"> </w:t>
      </w:r>
      <m:oMath>
        <m:sSub>
          <m:e>
            <m:r>
              <m:rPr>
                <m:sty m:val="p"/>
              </m:rPr>
              <m:t>Σ</m:t>
            </m:r>
          </m:e>
          <m:sub>
            <m:r>
              <m:rPr>
                <m:sty m:val="p"/>
              </m:rPr>
              <m:t>⋆</m:t>
            </m:r>
          </m:sub>
        </m:sSub>
      </m:oMath>
      <w:r>
        <w:t xml:space="preserve"> </w:t>
      </w:r>
      <w:r>
        <w:t xml:space="preserve">trend:</w:t>
      </w:r>
    </w:p>
    <w:p>
      <w:pPr>
        <w:pStyle w:val="BodyText"/>
      </w:pPr>
      <m:oMathPara>
        <m:oMathParaPr>
          <m:jc m:val="center"/>
        </m:oMathParaPr>
        <m:oMath>
          <m:r>
            <m:rPr>
              <m:sty m:val="p"/>
            </m:rPr>
            <m:t>Δ</m:t>
          </m:r>
          <m:r>
            <m:rPr>
              <m:sty m:val="p"/>
            </m:rPr>
            <m:t>log</m:t>
          </m:r>
          <m:sSub>
            <m:e>
              <m:r>
                <m:rPr>
                  <m:sty m:val="p"/>
                </m:rPr>
                <m:t>Σ</m:t>
              </m:r>
            </m:e>
            <m:sub>
              <m:r>
                <m:rPr>
                  <m:sty m:val="p"/>
                </m:rPr>
                <m:t>S</m:t>
              </m:r>
              <m:r>
                <m:rPr>
                  <m:sty m:val="p"/>
                </m:rPr>
                <m:t>F</m:t>
              </m:r>
              <m:r>
                <m:rPr>
                  <m:sty m:val="p"/>
                </m:rPr>
                <m:t>R</m:t>
              </m:r>
            </m:sub>
          </m:sSub>
          <m:r>
            <m:rPr>
              <m:sty m:val="p"/>
            </m:rPr>
            <m:t>=</m:t>
          </m:r>
          <m:sSub>
            <m:e>
              <m:r>
                <m:t>A</m:t>
              </m:r>
            </m:e>
            <m:sub>
              <m:r>
                <m:rPr>
                  <m:sty m:val="p"/>
                </m:rPr>
                <m:t>Φ</m:t>
              </m:r>
            </m:sub>
          </m:sSub>
          <m:sSub>
            <m:e>
              <m:r>
                <m:t>u</m:t>
              </m:r>
            </m:e>
            <m:sub>
              <m:r>
                <m:rPr>
                  <m:sty m:val="p"/>
                </m:rPr>
                <m:t>Φ</m:t>
              </m:r>
            </m:sub>
          </m:sSub>
          <m:r>
            <m:rPr>
              <m:sty m:val="p"/>
            </m:rPr>
            <m:t>+</m:t>
          </m:r>
          <m:sSub>
            <m:e>
              <m:r>
                <m:t>A</m:t>
              </m:r>
            </m:e>
            <m:sub>
              <m:r>
                <m:t>ϵ</m:t>
              </m:r>
            </m:sub>
          </m:sSub>
          <m:sSub>
            <m:e>
              <m:r>
                <m:t>u</m:t>
              </m:r>
            </m:e>
            <m:sub>
              <m:r>
                <m:t>ϵ</m:t>
              </m:r>
            </m:sub>
          </m:sSub>
          <m:r>
            <m:rPr>
              <m:sty m:val="p"/>
            </m:rPr>
            <m:t>+</m:t>
          </m:r>
          <m:sSub>
            <m:e>
              <m:r>
                <m:t>e</m:t>
              </m:r>
            </m:e>
            <m:sub>
              <m:r>
                <m:rPr>
                  <m:sty m:val="p"/>
                </m:rPr>
                <m:t>S</m:t>
              </m:r>
              <m:r>
                <m:rPr>
                  <m:sty m:val="p"/>
                </m:rPr>
                <m:t>F</m:t>
              </m:r>
              <m:r>
                <m:rPr>
                  <m:sty m:val="p"/>
                </m:rPr>
                <m:t>R</m:t>
              </m:r>
            </m:sub>
          </m:sSub>
          <m:r>
            <m:rPr>
              <m:sty m:val="p"/>
            </m:rPr>
            <m:t>,</m:t>
          </m:r>
        </m:oMath>
      </m:oMathPara>
    </w:p>
    <w:p>
      <w:pPr>
        <w:pStyle w:val="FirstParagraph"/>
      </w:pPr>
      <m:oMathPara>
        <m:oMathParaPr>
          <m:jc m:val="center"/>
        </m:oMathParaPr>
        <m:oMath>
          <m:r>
            <m:rPr>
              <m:sty m:val="p"/>
            </m:rPr>
            <m:t>Δ</m:t>
          </m:r>
          <m:r>
            <m:rPr>
              <m:sty m:val="p"/>
            </m:rPr>
            <m:t>log</m:t>
          </m:r>
          <m:r>
            <m:t>Z</m:t>
          </m:r>
          <m:r>
            <m:rPr>
              <m:sty m:val="p"/>
            </m:rPr>
            <m:t>=</m:t>
          </m:r>
          <m:r>
            <m:rPr>
              <m:sty m:val="p"/>
            </m:rPr>
            <m:t>−</m:t>
          </m:r>
          <m:sSub>
            <m:e>
              <m:r>
                <m:t>B</m:t>
              </m:r>
            </m:e>
            <m:sub>
              <m:r>
                <m:rPr>
                  <m:sty m:val="p"/>
                </m:rPr>
                <m:t>Φ</m:t>
              </m:r>
            </m:sub>
          </m:sSub>
          <m:r>
            <m:t> </m:t>
          </m:r>
          <m:sSub>
            <m:e>
              <m:r>
                <m:rPr>
                  <m:scr m:val="script"/>
                  <m:sty m:val="p"/>
                </m:rPr>
                <m:t>F</m:t>
              </m:r>
            </m:e>
            <m:sub>
              <m:r>
                <m:rPr>
                  <m:sty m:val="p"/>
                </m:rPr>
                <m:t>Φ</m:t>
              </m:r>
            </m:sub>
          </m:sSub>
          <m:r>
            <m:rPr>
              <m:sty m:val="p"/>
            </m:rPr>
            <m:t>[</m:t>
          </m:r>
          <m:sSub>
            <m:e>
              <m:r>
                <m:t>u</m:t>
              </m:r>
            </m:e>
            <m:sub>
              <m:r>
                <m:rPr>
                  <m:sty m:val="p"/>
                </m:rPr>
                <m:t>Φ</m:t>
              </m:r>
            </m:sub>
          </m:sSub>
          <m:r>
            <m:rPr>
              <m:sty m:val="p"/>
            </m:rPr>
            <m:t>]</m:t>
          </m:r>
          <m:r>
            <m:rPr>
              <m:sty m:val="p"/>
            </m:rPr>
            <m:t>+</m:t>
          </m:r>
          <m:sSub>
            <m:e>
              <m:r>
                <m:t>B</m:t>
              </m:r>
            </m:e>
            <m:sub>
              <m:r>
                <m:t>ϵ</m:t>
              </m:r>
            </m:sub>
          </m:sSub>
          <m:r>
            <m:t> </m:t>
          </m:r>
          <m:sSub>
            <m:e>
              <m:r>
                <m:rPr>
                  <m:scr m:val="script"/>
                  <m:sty m:val="p"/>
                </m:rPr>
                <m:t>F</m:t>
              </m:r>
            </m:e>
            <m:sub>
              <m:r>
                <m:t>ϵ</m:t>
              </m:r>
            </m:sub>
          </m:sSub>
          <m:r>
            <m:rPr>
              <m:sty m:val="p"/>
            </m:rPr>
            <m:t>[</m:t>
          </m:r>
          <m:sSub>
            <m:e>
              <m:r>
                <m:t>u</m:t>
              </m:r>
            </m:e>
            <m:sub>
              <m:r>
                <m:t>ϵ</m:t>
              </m:r>
            </m:sub>
          </m:sSub>
          <m:r>
            <m:rPr>
              <m:sty m:val="p"/>
            </m:rPr>
            <m:t>]</m:t>
          </m:r>
          <m:r>
            <m:rPr>
              <m:sty m:val="p"/>
            </m:rPr>
            <m:t>+</m:t>
          </m:r>
          <m:sSub>
            <m:e>
              <m:r>
                <m:t>e</m:t>
              </m:r>
            </m:e>
            <m:sub>
              <m:r>
                <m:t>Z</m:t>
              </m:r>
            </m:sub>
          </m:sSub>
          <m:r>
            <m:rPr>
              <m:sty m:val="p"/>
            </m:rPr>
            <m:t>,</m:t>
          </m:r>
        </m:oMath>
      </m:oMathPara>
    </w:p>
    <w:p>
      <w:pPr>
        <w:pStyle w:val="FirstParagraph"/>
      </w:pPr>
      <w:r>
        <w:t xml:space="preserve">where</w:t>
      </w:r>
      <w:r>
        <w:t xml:space="preserve"> </w:t>
      </w:r>
      <m:oMath>
        <m:r>
          <m:rPr>
            <m:scr m:val="script"/>
            <m:sty m:val="p"/>
          </m:rPr>
          <m:t>F</m:t>
        </m:r>
      </m:oMath>
      <w:r>
        <w:t xml:space="preserve"> </w:t>
      </w:r>
      <w:r>
        <w:t xml:space="preserve">are response-time filters. If gas data exist, add</w:t>
      </w:r>
    </w:p>
    <w:p>
      <w:pPr>
        <w:pStyle w:val="BodyText"/>
      </w:pPr>
      <m:oMathPara>
        <m:oMathParaPr>
          <m:jc m:val="center"/>
        </m:oMathParaPr>
        <m:oMath>
          <m:r>
            <m:rPr>
              <m:sty m:val="p"/>
            </m:rPr>
            <m:t>Δ</m:t>
          </m:r>
          <m:r>
            <m:rPr>
              <m:sty m:val="p"/>
            </m:rPr>
            <m:t>log</m:t>
          </m:r>
          <m:sSub>
            <m:e>
              <m:r>
                <m:rPr>
                  <m:sty m:val="p"/>
                </m:rPr>
                <m:t>Σ</m:t>
              </m:r>
            </m:e>
            <m:sub>
              <m:r>
                <m:rPr>
                  <m:sty m:val="p"/>
                </m:rPr>
                <m:t>g</m:t>
              </m:r>
            </m:sub>
          </m:sSub>
          <m:r>
            <m:rPr>
              <m:sty m:val="p"/>
            </m:rPr>
            <m:t>=</m:t>
          </m:r>
          <m:sSub>
            <m:e>
              <m:r>
                <m:t>G</m:t>
              </m:r>
            </m:e>
            <m:sub>
              <m:r>
                <m:rPr>
                  <m:sty m:val="p"/>
                </m:rPr>
                <m:t>Φ</m:t>
              </m:r>
            </m:sub>
          </m:sSub>
          <m:sSub>
            <m:e>
              <m:r>
                <m:t>u</m:t>
              </m:r>
            </m:e>
            <m:sub>
              <m:r>
                <m:rPr>
                  <m:sty m:val="p"/>
                </m:rPr>
                <m:t>Φ</m:t>
              </m:r>
            </m:sub>
          </m:sSub>
          <m:r>
            <m:rPr>
              <m:sty m:val="p"/>
            </m:rPr>
            <m:t>−</m:t>
          </m:r>
          <m:sSub>
            <m:e>
              <m:r>
                <m:t>G</m:t>
              </m:r>
            </m:e>
            <m:sub>
              <m:r>
                <m:t>ϵ</m:t>
              </m:r>
            </m:sub>
          </m:sSub>
          <m:sSub>
            <m:e>
              <m:r>
                <m:rPr>
                  <m:scr m:val="script"/>
                  <m:sty m:val="p"/>
                </m:rPr>
                <m:t>F</m:t>
              </m:r>
            </m:e>
            <m:sub>
              <m:r>
                <m:rPr>
                  <m:sty m:val="p"/>
                </m:rPr>
                <m:t>g</m:t>
              </m:r>
            </m:sub>
          </m:sSub>
          <m:r>
            <m:rPr>
              <m:sty m:val="p"/>
            </m:rPr>
            <m:t>[</m:t>
          </m:r>
          <m:sSub>
            <m:e>
              <m:r>
                <m:t>u</m:t>
              </m:r>
            </m:e>
            <m:sub>
              <m:r>
                <m:t>ϵ</m:t>
              </m:r>
            </m:sub>
          </m:sSub>
          <m:r>
            <m:rPr>
              <m:sty m:val="p"/>
            </m:rPr>
            <m:t>]</m:t>
          </m:r>
          <m:r>
            <m:rPr>
              <m:sty m:val="p"/>
            </m:rPr>
            <m:t>+</m:t>
          </m:r>
          <m:sSub>
            <m:e>
              <m:r>
                <m:t>e</m:t>
              </m:r>
            </m:e>
            <m:sub>
              <m:r>
                <m:rPr>
                  <m:sty m:val="p"/>
                </m:rPr>
                <m:t>g</m:t>
              </m:r>
            </m:sub>
          </m:sSub>
          <m:r>
            <m:rPr>
              <m:sty m:val="p"/>
            </m:rPr>
            <m:t>.</m:t>
          </m:r>
        </m:oMath>
      </m:oMathPara>
    </w:p>
    <w:p>
      <w:pPr>
        <w:pStyle w:val="FirstParagraph"/>
      </w:pPr>
      <w:r>
        <w:t xml:space="preserve">The hierarchy can allow</w:t>
      </w:r>
      <w:r>
        <w:t xml:space="preserve"> </w:t>
      </w:r>
      <m:oMath>
        <m:r>
          <m:rPr>
            <m:sty m:val="p"/>
          </m:rPr>
          <m:t>(</m:t>
        </m:r>
        <m:r>
          <m:t>A</m:t>
        </m:r>
        <m:r>
          <m:rPr>
            <m:sty m:val="p"/>
          </m:rPr>
          <m:t>,</m:t>
        </m:r>
        <m:r>
          <m:t>B</m:t>
        </m:r>
        <m:r>
          <m:rPr>
            <m:sty m:val="p"/>
          </m:rPr>
          <m:t>,</m:t>
        </m:r>
        <m:r>
          <m:t>G</m:t>
        </m:r>
        <m:r>
          <m:rPr>
            <m:sty m:val="p"/>
          </m:rPr>
          <m:t>)</m:t>
        </m:r>
      </m:oMath>
      <w:r>
        <w:t xml:space="preserve"> </w:t>
      </w:r>
      <w:r>
        <w:t xml:space="preserve">or the driver variances to change smoothly with</w:t>
      </w:r>
      <w:r>
        <w:t xml:space="preserve"> </w:t>
      </w:r>
      <m:oMath>
        <m:sSub>
          <m:e>
            <m:r>
              <m:rPr>
                <m:sty m:val="p"/>
              </m:rPr>
              <m:t>Σ</m:t>
            </m:r>
          </m:e>
          <m:sub>
            <m:r>
              <m:rPr>
                <m:sty m:val="p"/>
              </m:rPr>
              <m:t>⋆</m:t>
            </m:r>
          </m:sub>
        </m:sSub>
      </m:oMath>
      <w:r>
        <w:t xml:space="preserve">, radius, arm/inter-arm status, or environmental class. The scientific parameter is the crossing where the efficiency-linked covariance exceeds the inflow-linked covariance—not an arbitrary broken-line sign fit.</w:t>
      </w:r>
    </w:p>
    <w:bookmarkEnd w:id="86"/>
    <w:bookmarkStart w:id="87" w:name="discriminating-predictions"/>
    <w:p>
      <w:pPr>
        <w:pStyle w:val="Heading2"/>
      </w:pPr>
      <w:r>
        <w:t xml:space="preserve">11.2 Discriminating predictions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Observation at fixed</w:t>
            </w:r>
            <w:r>
              <w:t xml:space="preserve"> </w:t>
            </w:r>
            <m:oMath>
              <m:sSub>
                <m:e>
                  <m:r>
                    <m:rPr>
                      <m:sty m:val="p"/>
                    </m:rPr>
                    <m:t>Σ</m:t>
                  </m:r>
                </m:e>
                <m:sub>
                  <m:r>
                    <m:rPr>
                      <m:sty m:val="p"/>
                    </m:rPr>
                    <m:t>⋆</m:t>
                  </m:r>
                </m:sub>
              </m:sSub>
            </m:oMath>
          </w:p>
        </w:tc>
        <w:tc>
          <w:tcPr/>
          <w:p>
            <w:pPr>
              <w:pStyle w:val="Compact"/>
            </w:pPr>
            <w:r>
              <w:t xml:space="preserve">Inflow/dilution driver</w:t>
            </w:r>
          </w:p>
        </w:tc>
        <w:tc>
          <w:tcPr/>
          <w:p>
            <w:pPr>
              <w:pStyle w:val="Compact"/>
            </w:pPr>
            <w:r>
              <w:t xml:space="preserve">Efficiency driver</w:t>
            </w:r>
          </w:p>
        </w:tc>
        <w:tc>
          <w:tcPr/>
          <w:p>
            <w:pPr>
              <w:pStyle w:val="Compact"/>
            </w:pPr>
            <w:r>
              <w:t xml:space="preserve">Slow post-burst dilution</w:t>
            </w:r>
          </w:p>
        </w:tc>
        <w:tc>
          <w:tcPr/>
          <w:p>
            <w:pPr>
              <w:pStyle w:val="Compact"/>
            </w:pPr>
            <w:r>
              <w:t xml:space="preserve">Mass-loading scatter</w:t>
            </w:r>
          </w:p>
        </w:tc>
      </w:tr>
      <w:tr>
        <w:tc>
          <w:tcPr/>
          <w:p>
            <w:pPr>
              <w:pStyle w:val="Compact"/>
            </w:pPr>
            <m:oMath>
              <m:r>
                <m:rPr>
                  <m:sty m:val="p"/>
                </m:rPr>
                <m:t>Δ</m:t>
              </m:r>
              <m:r>
                <m:t>Z</m:t>
              </m:r>
            </m:oMath>
            <w:r>
              <w:t xml:space="preserve"> </w:t>
            </w:r>
            <w:r>
              <w:t xml:space="preserve">versus</w:t>
            </w:r>
            <w:r>
              <w:t xml:space="preserve"> </w:t>
            </w:r>
            <m:oMath>
              <m:r>
                <m:rPr>
                  <m:sty m:val="p"/>
                </m:rPr>
                <m:t>Δ</m:t>
              </m:r>
              <m:sSub>
                <m:e>
                  <m:r>
                    <m:rPr>
                      <m:sty m:val="p"/>
                    </m:rPr>
                    <m:t>Σ</m:t>
                  </m:r>
                </m:e>
                <m:sub>
                  <m:r>
                    <m:rPr>
                      <m:sty m:val="p"/>
                    </m:rPr>
                    <m:t>S</m:t>
                  </m:r>
                  <m:r>
                    <m:rPr>
                      <m:sty m:val="p"/>
                    </m:rPr>
                    <m:t>F</m:t>
                  </m:r>
                  <m:r>
                    <m:rPr>
                      <m:sty m:val="p"/>
                    </m:rPr>
                    <m:t>R</m:t>
                  </m:r>
                </m:sub>
              </m:sSub>
            </m:oMath>
          </w:p>
        </w:tc>
        <w:tc>
          <w:tcPr/>
          <w:p>
            <w:pPr>
              <w:pStyle w:val="Compact"/>
            </w:pPr>
            <w:r>
              <w:t xml:space="preserve">Negative</w:t>
            </w:r>
          </w:p>
        </w:tc>
        <w:tc>
          <w:tcPr/>
          <w:p>
            <w:pPr>
              <w:pStyle w:val="Compact"/>
            </w:pPr>
            <w:r>
              <w:t xml:space="preserve">Positive</w:t>
            </w:r>
          </w:p>
        </w:tc>
        <w:tc>
          <w:tcPr/>
          <w:p>
            <w:pPr>
              <w:pStyle w:val="Compact"/>
            </w:pPr>
            <w:r>
              <w:t xml:space="preserve">Positive mainly through low-SFR, low-</w:t>
            </w:r>
            <m:oMath>
              <m:r>
                <m:t>Z</m:t>
              </m:r>
            </m:oMath>
            <w:r>
              <w:t xml:space="preserve"> </w:t>
            </w:r>
            <w:r>
              <w:t xml:space="preserve">tail</w:t>
            </w:r>
          </w:p>
        </w:tc>
        <w:tc>
          <w:tcPr/>
          <w:p>
            <w:pPr>
              <w:pStyle w:val="Compact"/>
            </w:pPr>
            <w:r>
              <w:t xml:space="preserve">Positive near equilibrium</w:t>
            </w:r>
          </w:p>
        </w:tc>
      </w:tr>
      <w:tr>
        <w:tc>
          <w:tcPr/>
          <w:p>
            <w:pPr>
              <w:pStyle w:val="Compact"/>
            </w:pPr>
            <m:oMath>
              <m:r>
                <m:rPr>
                  <m:sty m:val="p"/>
                </m:rPr>
                <m:t>Δ</m:t>
              </m:r>
              <m:r>
                <m:t>Z</m:t>
              </m:r>
            </m:oMath>
            <w:r>
              <w:t xml:space="preserve"> </w:t>
            </w:r>
            <w:r>
              <w:t xml:space="preserve">versus</w:t>
            </w:r>
            <w:r>
              <w:t xml:space="preserve"> </w:t>
            </w:r>
            <m:oMath>
              <m:r>
                <m:rPr>
                  <m:sty m:val="p"/>
                </m:rPr>
                <m:t>Δ</m:t>
              </m:r>
              <m:sSub>
                <m:e>
                  <m:r>
                    <m:rPr>
                      <m:sty m:val="p"/>
                    </m:rPr>
                    <m:t>Σ</m:t>
                  </m:r>
                </m:e>
                <m:sub>
                  <m:r>
                    <m:rPr>
                      <m:sty m:val="p"/>
                    </m:rPr>
                    <m:t>g</m:t>
                  </m:r>
                </m:sub>
              </m:sSub>
            </m:oMath>
          </w:p>
        </w:tc>
        <w:tc>
          <w:tcPr/>
          <w:p>
            <w:pPr>
              <w:pStyle w:val="Compact"/>
            </w:pPr>
            <w:r>
              <w:t xml:space="preserve">Negative</w:t>
            </w:r>
          </w:p>
        </w:tc>
        <w:tc>
          <w:tcPr/>
          <w:p>
            <w:pPr>
              <w:pStyle w:val="Compact"/>
            </w:pPr>
            <w:r>
              <w:t xml:space="preserve">Often remains negative or weak</w:t>
            </w:r>
          </w:p>
        </w:tc>
        <w:tc>
          <w:tcPr/>
          <w:p>
            <w:pPr>
              <w:pStyle w:val="Compact"/>
            </w:pPr>
            <w:r>
              <w:t xml:space="preserve">Depends on depleted state</w:t>
            </w:r>
          </w:p>
        </w:tc>
        <w:tc>
          <w:tcPr/>
          <w:p>
            <w:pPr>
              <w:pStyle w:val="Compact"/>
            </w:pPr>
            <w:r>
              <w:t xml:space="preserve">Indirect</w:t>
            </w:r>
          </w:p>
        </w:tc>
      </w:tr>
      <w:tr>
        <w:tc>
          <w:tcPr/>
          <w:p>
            <w:pPr>
              <w:pStyle w:val="Compact"/>
            </w:pPr>
            <w:r>
              <w:t xml:space="preserve">Depletion time</w:t>
            </w:r>
          </w:p>
        </w:tc>
        <w:tc>
          <w:tcPr/>
          <w:p>
            <w:pPr>
              <w:pStyle w:val="Compact"/>
            </w:pPr>
            <w:r>
              <w:t xml:space="preserve">High SFR mostly from more gas</w:t>
            </w:r>
          </w:p>
        </w:tc>
        <w:tc>
          <w:tcPr/>
          <w:p>
            <w:pPr>
              <w:pStyle w:val="Compact"/>
            </w:pPr>
            <w:r>
              <w:t xml:space="preserve">High SFR at shorter</w:t>
            </w:r>
            <w:r>
              <w:t xml:space="preserve"> </w:t>
            </w:r>
            <m:oMath>
              <m:sSub>
                <m:e>
                  <m:r>
                    <m:t>τ</m:t>
                  </m:r>
                </m:e>
                <m:sub>
                  <m:r>
                    <m:rPr>
                      <m:sty m:val="p"/>
                    </m:rPr>
                    <m:t>d</m:t>
                  </m:r>
                  <m:r>
                    <m:rPr>
                      <m:sty m:val="p"/>
                    </m:rPr>
                    <m:t>e</m:t>
                  </m:r>
                  <m:r>
                    <m:rPr>
                      <m:sty m:val="p"/>
                    </m:rPr>
                    <m:t>p</m:t>
                  </m:r>
                </m:sub>
              </m:sSub>
            </m:oMath>
          </w:p>
        </w:tc>
        <w:tc>
          <w:tcPr/>
          <w:p>
            <w:pPr>
              <w:pStyle w:val="Compact"/>
            </w:pPr>
            <w:r>
              <w:t xml:space="preserve">Long/quenched in diluted systems</w:t>
            </w:r>
          </w:p>
        </w:tc>
        <w:tc>
          <w:tcPr/>
          <w:p>
            <w:pPr>
              <w:pStyle w:val="Compact"/>
            </w:pPr>
            <w:r>
              <w:t xml:space="preserve">Not the primary axis</w:t>
            </w:r>
          </w:p>
        </w:tc>
      </w:tr>
      <w:tr>
        <w:tc>
          <w:tcPr/>
          <w:p>
            <w:pPr>
              <w:pStyle w:val="Compact"/>
            </w:pPr>
            <w:r>
              <w:t xml:space="preserve">Morphology / stellar age</w:t>
            </w:r>
          </w:p>
        </w:tc>
        <w:tc>
          <w:tcPr/>
          <w:p>
            <w:pPr>
              <w:pStyle w:val="Compact"/>
            </w:pPr>
            <w:r>
              <w:t xml:space="preserve">No unique requirement</w:t>
            </w:r>
          </w:p>
        </w:tc>
        <w:tc>
          <w:tcPr/>
          <w:p>
            <w:pPr>
              <w:pStyle w:val="Compact"/>
            </w:pPr>
            <w:r>
              <w:t xml:space="preserve">May track arms, compression, dense gas</w:t>
            </w:r>
          </w:p>
        </w:tc>
        <w:tc>
          <w:tcPr/>
          <w:p>
            <w:pPr>
              <w:pStyle w:val="Compact"/>
            </w:pPr>
            <w:r>
              <w:t xml:space="preserve">Old/bulge-dominated or post-burst</w:t>
            </w:r>
          </w:p>
        </w:tc>
        <w:tc>
          <w:tcPr/>
          <w:p>
            <w:pPr>
              <w:pStyle w:val="Compact"/>
            </w:pPr>
            <w:r>
              <w:t xml:space="preserve">Tracks feedback/wind state</w:t>
            </w:r>
          </w:p>
        </w:tc>
      </w:tr>
      <w:tr>
        <w:tc>
          <w:tcPr/>
          <w:p>
            <w:pPr>
              <w:pStyle w:val="Compact"/>
            </w:pPr>
            <w:r>
              <w:t xml:space="preserve">Outflow diagnostic</w:t>
            </w:r>
          </w:p>
        </w:tc>
        <w:tc>
          <w:tcPr/>
          <w:p>
            <w:pPr>
              <w:pStyle w:val="Compact"/>
            </w:pPr>
            <w:r>
              <w:t xml:space="preserve">Consequence, not sole driver</w:t>
            </w:r>
          </w:p>
        </w:tc>
        <w:tc>
          <w:tcPr/>
          <w:p>
            <w:pPr>
              <w:pStyle w:val="Compact"/>
            </w:pPr>
            <w:r>
              <w:t xml:space="preserve">May respond after burst</w:t>
            </w:r>
          </w:p>
        </w:tc>
        <w:tc>
          <w:tcPr/>
          <w:p>
            <w:pPr>
              <w:pStyle w:val="Compact"/>
            </w:pPr>
            <w:r>
              <w:t xml:space="preserve">Historical</w:t>
            </w:r>
          </w:p>
        </w:tc>
        <w:tc>
          <w:tcPr/>
          <w:p>
            <w:pPr>
              <w:pStyle w:val="Compact"/>
            </w:pPr>
            <w:r>
              <w:t xml:space="preserve">Directly correlated with residuals</w:t>
            </w:r>
          </w:p>
        </w:tc>
      </w:tr>
      <w:tr>
        <w:tc>
          <w:tcPr/>
          <w:p>
            <w:pPr>
              <w:pStyle w:val="Compact"/>
            </w:pPr>
            <m:oMath>
              <m:sSub>
                <m:e>
                  <m:r>
                    <m:t>Z</m:t>
                  </m:r>
                </m:e>
                <m:sub>
                  <m:r>
                    <m:rPr>
                      <m:sty m:val="p"/>
                    </m:rPr>
                    <m:t>g</m:t>
                  </m:r>
                </m:sub>
              </m:sSub>
              <m:r>
                <m:rPr>
                  <m:sty m:val="p"/>
                </m:rPr>
                <m:t>−</m:t>
              </m:r>
              <m:sSub>
                <m:e>
                  <m:r>
                    <m:t>Z</m:t>
                  </m:r>
                </m:e>
                <m:sub>
                  <m:r>
                    <m:rPr>
                      <m:sty m:val="p"/>
                    </m:rPr>
                    <m:t>⋆</m:t>
                  </m:r>
                </m:sub>
              </m:sSub>
            </m:oMath>
          </w:p>
        </w:tc>
        <w:tc>
          <w:tcPr/>
          <w:p>
            <w:pPr>
              <w:pStyle w:val="Compact"/>
            </w:pPr>
            <w:r>
              <w:t xml:space="preserve">No unique sign</w:t>
            </w:r>
          </w:p>
        </w:tc>
        <w:tc>
          <w:tcPr/>
          <w:p>
            <w:pPr>
              <w:pStyle w:val="Compact"/>
            </w:pPr>
            <w:r>
              <w:t xml:space="preserve">Modest short-time response</w:t>
            </w:r>
          </w:p>
        </w:tc>
        <w:tc>
          <w:tcPr/>
          <w:p>
            <w:pPr>
              <w:pStyle w:val="Compact"/>
            </w:pPr>
            <w:r>
              <w:t xml:space="preserve">Especially low after late dilution</w:t>
            </w:r>
          </w:p>
        </w:tc>
        <w:tc>
          <w:tcPr/>
          <w:p>
            <w:pPr>
              <w:pStyle w:val="Compact"/>
            </w:pPr>
            <w:r>
              <w:t xml:space="preserve">Depends on history</w:t>
            </w:r>
          </w:p>
        </w:tc>
      </w:tr>
    </w:tbl>
    <w:bookmarkEnd w:id="87"/>
    <w:bookmarkStart w:id="88" w:name="practical-sequence"/>
    <w:p>
      <w:pPr>
        <w:pStyle w:val="Heading2"/>
      </w:pPr>
      <w:r>
        <w:t xml:space="preserve">11.3 Practical sequence</w:t>
      </w:r>
    </w:p>
    <w:p>
      <w:pPr>
        <w:pStyle w:val="Compact"/>
        <w:numPr>
          <w:ilvl w:val="0"/>
          <w:numId w:val="1010"/>
        </w:numPr>
      </w:pPr>
      <w:r>
        <w:rPr>
          <w:b/>
          <w:bCs/>
        </w:rPr>
        <w:t xml:space="preserve">Re-measure the sign with matched masks.</w:t>
      </w:r>
      <w:r>
        <w:t xml:space="preserve"> </w:t>
      </w:r>
      <w:r>
        <w:t xml:space="preserve">Hold</w:t>
      </w:r>
      <w:r>
        <w:t xml:space="preserve"> </w:t>
      </w:r>
      <m:oMath>
        <m:sSub>
          <m:e>
            <m:r>
              <m:rPr>
                <m:sty m:val="p"/>
              </m:rPr>
              <m:t>Σ</m:t>
            </m:r>
          </m:e>
          <m:sub>
            <m:r>
              <m:rPr>
                <m:sty m:val="p"/>
              </m:rPr>
              <m:t>⋆</m:t>
            </m:r>
          </m:sub>
        </m:sSub>
      </m:oMath>
      <w:r>
        <w:t xml:space="preserve"> </w:t>
      </w:r>
      <w:r>
        <w:t xml:space="preserve">fixed flexibly; avoid a single global linear correction if the rMZR is curved. Use identical spaxels for all metallicity indicators.</w:t>
      </w:r>
    </w:p>
    <w:p>
      <w:pPr>
        <w:pStyle w:val="Compact"/>
        <w:numPr>
          <w:ilvl w:val="0"/>
          <w:numId w:val="1010"/>
        </w:numPr>
      </w:pPr>
      <w:r>
        <w:rPr>
          <w:b/>
          <w:bCs/>
        </w:rPr>
        <w:t xml:space="preserve">Stress-test abundance systematics.</w:t>
      </w:r>
      <w:r>
        <w:t xml:space="preserve"> </w:t>
      </w:r>
      <w:r>
        <w:t xml:space="preserve">Repeat with O3N2, N2, and any available multi-line or Bayesian calibration; control N/O sensitivity, ionisation parameter, DIG, shocks, and Balmer extinction. The reported MAUVE inversion is indicator dependent, so no physical fit should hide this branch.</w:t>
      </w:r>
    </w:p>
    <w:p>
      <w:pPr>
        <w:pStyle w:val="Compact"/>
        <w:numPr>
          <w:ilvl w:val="0"/>
          <w:numId w:val="1010"/>
        </w:numPr>
      </w:pPr>
      <w:r>
        <w:rPr>
          <w:b/>
          <w:bCs/>
        </w:rPr>
        <w:t xml:space="preserve">Add gas state variables.</w:t>
      </w:r>
      <w:r>
        <w:t xml:space="preserve"> </w:t>
      </w:r>
      <w:r>
        <w:t xml:space="preserve">Convolve CO and HI products to the MUSE/analysis resolution and compare</w:t>
      </w:r>
      <w:r>
        <w:t xml:space="preserve"> </w:t>
      </w:r>
      <m:oMath>
        <m:r>
          <m:t>Z</m:t>
        </m:r>
      </m:oMath>
      <w:r>
        <w:t xml:space="preserve"> </w:t>
      </w:r>
      <w:r>
        <w:t xml:space="preserve">with</w:t>
      </w:r>
      <w:r>
        <w:t xml:space="preserve"> </w:t>
      </w:r>
      <m:oMath>
        <m:sSub>
          <m:e>
            <m:r>
              <m:rPr>
                <m:sty m:val="p"/>
              </m:rPr>
              <m:t>Σ</m:t>
            </m:r>
          </m:e>
          <m:sub>
            <m:r>
              <m:rPr>
                <m:sty m:val="p"/>
              </m:rPr>
              <m:t>g</m:t>
            </m:r>
          </m:sub>
        </m:sSub>
      </m:oMath>
      <w:r>
        <w:t xml:space="preserve"> </w:t>
      </w:r>
      <w:r>
        <w:t xml:space="preserve">and</w:t>
      </w:r>
      <w:r>
        <w:t xml:space="preserve"> </w:t>
      </w:r>
      <m:oMath>
        <m:sSub>
          <m:e>
            <m:r>
              <m:t>τ</m:t>
            </m:r>
          </m:e>
          <m:sub>
            <m:r>
              <m:rPr>
                <m:sty m:val="p"/>
              </m:rPr>
              <m:t>d</m:t>
            </m:r>
            <m:r>
              <m:rPr>
                <m:sty m:val="p"/>
              </m:rPr>
              <m:t>e</m:t>
            </m:r>
            <m:r>
              <m:rPr>
                <m:sty m:val="p"/>
              </m:rPr>
              <m:t>p</m:t>
            </m:r>
          </m:sub>
        </m:sSub>
        <m:r>
          <m:rPr>
            <m:sty m:val="p"/>
          </m:rPr>
          <m:t>=</m:t>
        </m:r>
        <m:sSub>
          <m:e>
            <m:r>
              <m:rPr>
                <m:sty m:val="p"/>
              </m:rPr>
              <m:t>Σ</m:t>
            </m:r>
          </m:e>
          <m:sub>
            <m:r>
              <m:rPr>
                <m:sty m:val="p"/>
              </m:rPr>
              <m:t>g</m:t>
            </m:r>
          </m:sub>
        </m:sSub>
        <m:r>
          <m:rPr>
            <m:sty m:val="p"/>
          </m:rPr>
          <m:t>/</m:t>
        </m:r>
        <m:sSub>
          <m:e>
            <m:r>
              <m:rPr>
                <m:sty m:val="p"/>
              </m:rPr>
              <m:t>Σ</m:t>
            </m:r>
          </m:e>
          <m:sub>
            <m:r>
              <m:rPr>
                <m:sty m:val="p"/>
              </m:rPr>
              <m:t>S</m:t>
            </m:r>
            <m:r>
              <m:rPr>
                <m:sty m:val="p"/>
              </m:rPr>
              <m:t>F</m:t>
            </m:r>
            <m:r>
              <m:rPr>
                <m:sty m:val="p"/>
              </m:rPr>
              <m:t>R</m:t>
            </m:r>
          </m:sub>
        </m:sSub>
      </m:oMath>
      <w:r>
        <w:t xml:space="preserve">. Even incomplete CO coverage is more informative than substituting a deterministic Kennicutt–Schmidt law, which would erase the very efficiency scatter being tested.</w:t>
      </w:r>
    </w:p>
    <w:p>
      <w:pPr>
        <w:pStyle w:val="Compact"/>
        <w:numPr>
          <w:ilvl w:val="0"/>
          <w:numId w:val="1010"/>
        </w:numPr>
      </w:pPr>
      <w:r>
        <w:rPr>
          <w:b/>
          <w:bCs/>
        </w:rPr>
        <w:t xml:space="preserve">Exploit spatial context.</w:t>
      </w:r>
      <w:r>
        <w:t xml:space="preserve"> </w:t>
      </w:r>
      <w:r>
        <w:t xml:space="preserve">Compare arms/inter-arm regions, leading/trailing sides, bar/ring regions, projected ICM-wind direction, and truncation fronts. Compression can increase dense-gas fraction and efficiency; fresh accretion or radial transport can increase supply.</w:t>
      </w:r>
    </w:p>
    <w:p>
      <w:pPr>
        <w:pStyle w:val="Compact"/>
        <w:numPr>
          <w:ilvl w:val="0"/>
          <w:numId w:val="1010"/>
        </w:numPr>
      </w:pPr>
      <w:r>
        <w:rPr>
          <w:b/>
          <w:bCs/>
        </w:rPr>
        <w:t xml:space="preserve">Fit negative-only and two-driver models.</w:t>
      </w:r>
      <w:r>
        <w:t xml:space="preserve"> </w:t>
      </w:r>
      <w:r>
        <w:t xml:space="preserve">Use held-out galaxies, not random spaxels, for cross-validation. Spatially adjacent spaxels are not independent. Compare predictive performance and posterior driver amplitudes rather than only an information criterion on all pixels.</w:t>
      </w:r>
    </w:p>
    <w:p>
      <w:pPr>
        <w:pStyle w:val="Compact"/>
        <w:numPr>
          <w:ilvl w:val="0"/>
          <w:numId w:val="1010"/>
        </w:numPr>
      </w:pPr>
      <w:r>
        <w:rPr>
          <w:b/>
          <w:bCs/>
        </w:rPr>
        <w:t xml:space="preserve">Test response-time sensitivity.</w:t>
      </w:r>
      <w:r>
        <w:t xml:space="preserve"> </w:t>
      </w:r>
      <w:r>
        <w:t xml:space="preserve">H</w:t>
      </w:r>
      <m:oMath>
        <m:r>
          <m:t>α</m:t>
        </m:r>
      </m:oMath>
      <w:r>
        <w:t xml:space="preserve"> </w:t>
      </w:r>
      <w:r>
        <w:t xml:space="preserve">SFR averages a different time window from FUV or resolved stellar-population SFR. The positive efficiency signal should weaken if the SFR tracer varies faster than enrichment/mixing can respond.</w:t>
      </w:r>
    </w:p>
    <w:p>
      <w:pPr>
        <w:pStyle w:val="Compact"/>
        <w:numPr>
          <w:ilvl w:val="0"/>
          <w:numId w:val="1010"/>
        </w:numPr>
      </w:pPr>
      <w:r>
        <w:rPr>
          <w:b/>
          <w:bCs/>
        </w:rPr>
        <w:t xml:space="preserve">Report galaxies individually and pooled.</w:t>
      </w:r>
      <w:r>
        <w:t xml:space="preserve"> </w:t>
      </w:r>
      <w:r>
        <w:t xml:space="preserve">A pooled sign can be produced by between-galaxy offsets. Estimate within-galaxy slopes, a hierarchical population distribution, and the fraction of galaxies genuinely requiring a positive component.</w:t>
      </w:r>
    </w:p>
    <w:bookmarkEnd w:id="88"/>
    <w:bookmarkStart w:id="89" w:name="falsification-criteria"/>
    <w:p>
      <w:pPr>
        <w:pStyle w:val="Heading2"/>
      </w:pPr>
      <w:r>
        <w:t xml:space="preserve">11.4 Falsification criteria</w:t>
      </w:r>
    </w:p>
    <w:p>
      <w:pPr>
        <w:pStyle w:val="FirstParagraph"/>
      </w:pPr>
      <w:r>
        <w:t xml:space="preserve">The efficiency interpretation would be weakened if:</w:t>
      </w:r>
    </w:p>
    <w:p>
      <w:pPr>
        <w:pStyle w:val="Compact"/>
        <w:numPr>
          <w:ilvl w:val="0"/>
          <w:numId w:val="1011"/>
        </w:numPr>
      </w:pPr>
      <w:r>
        <w:t xml:space="preserve">the positive branch disappears under metallicity diagnostics insensitive to N/O or ionisation parameter;</w:t>
      </w:r>
    </w:p>
    <w:p>
      <w:pPr>
        <w:pStyle w:val="Compact"/>
        <w:numPr>
          <w:ilvl w:val="0"/>
          <w:numId w:val="1011"/>
        </w:numPr>
      </w:pPr>
      <w:r>
        <w:t xml:space="preserve">positive</w:t>
      </w:r>
      <w:r>
        <w:t xml:space="preserve"> </w:t>
      </w:r>
      <m:oMath>
        <m:r>
          <m:t>Z</m:t>
        </m:r>
      </m:oMath>
      <w:r>
        <w:t xml:space="preserve">–SFR residuals are entirely explained by between-galaxy zero-point offsets;</w:t>
      </w:r>
    </w:p>
    <w:p>
      <w:pPr>
        <w:pStyle w:val="Compact"/>
        <w:numPr>
          <w:ilvl w:val="0"/>
          <w:numId w:val="1011"/>
        </w:numPr>
      </w:pPr>
      <w:r>
        <w:t xml:space="preserve">high-SFR, high-</w:t>
      </w:r>
      <m:oMath>
        <m:r>
          <m:t>Z</m:t>
        </m:r>
      </m:oMath>
      <w:r>
        <w:t xml:space="preserve"> </w:t>
      </w:r>
      <w:r>
        <w:t xml:space="preserve">regions have higher gas mass but no shorter depletion time;</w:t>
      </w:r>
    </w:p>
    <w:p>
      <w:pPr>
        <w:pStyle w:val="Compact"/>
        <w:numPr>
          <w:ilvl w:val="0"/>
          <w:numId w:val="1011"/>
        </w:numPr>
      </w:pPr>
      <w:r>
        <w:t xml:space="preserve">the sign tracks DIG/shock classification rather than star-forming gas;</w:t>
      </w:r>
    </w:p>
    <w:p>
      <w:pPr>
        <w:pStyle w:val="Compact"/>
        <w:numPr>
          <w:ilvl w:val="0"/>
          <w:numId w:val="1011"/>
        </w:numPr>
      </w:pPr>
      <w:r>
        <w:t xml:space="preserve">a slow-dilution population model explains the residuals and their stellar-age/morphological signatures better; or</w:t>
      </w:r>
    </w:p>
    <w:p>
      <w:pPr>
        <w:pStyle w:val="Compact"/>
        <w:numPr>
          <w:ilvl w:val="0"/>
          <w:numId w:val="1011"/>
        </w:numPr>
      </w:pPr>
      <w:r>
        <w:t xml:space="preserve">the inferred efficiency fluctuation time is much shorter than the metal-mixing/enrichment response required to create the observed</w:t>
      </w:r>
      <w:r>
        <w:t xml:space="preserve"> </w:t>
      </w:r>
      <m:oMath>
        <m:r>
          <m:t>Z</m:t>
        </m:r>
      </m:oMath>
      <w:r>
        <w:t xml:space="preserve"> </w:t>
      </w:r>
      <w:r>
        <w:t xml:space="preserve">amplitude.</w:t>
      </w:r>
    </w:p>
    <w:bookmarkEnd w:id="89"/>
    <w:bookmarkEnd w:id="90"/>
    <w:bookmarkStart w:id="94" w:name="critical-synthesis"/>
    <w:p>
      <w:pPr>
        <w:pStyle w:val="Heading1"/>
      </w:pPr>
      <w:r>
        <w:t xml:space="preserve">12. Critical synthesis</w:t>
      </w:r>
    </w:p>
    <w:bookmarkStart w:id="91" w:name="what-is-robust-across-models"/>
    <w:p>
      <w:pPr>
        <w:pStyle w:val="Heading2"/>
      </w:pPr>
      <w:r>
        <w:t xml:space="preserve">12.1 What is robust across models</w:t>
      </w:r>
    </w:p>
    <w:p>
      <w:pPr>
        <w:pStyle w:val="Compact"/>
        <w:numPr>
          <w:ilvl w:val="0"/>
          <w:numId w:val="1012"/>
        </w:numPr>
      </w:pPr>
      <w:r>
        <w:t xml:space="preserve">Gas fraction or</w:t>
      </w:r>
      <w:r>
        <w:t xml:space="preserve"> </w:t>
      </w:r>
      <m:oMath>
        <m:sSub>
          <m:e>
            <m:r>
              <m:t>M</m:t>
            </m:r>
          </m:e>
          <m:sub>
            <m:r>
              <m:rPr>
                <m:sty m:val="p"/>
              </m:rPr>
              <m:t>⋆</m:t>
            </m:r>
          </m:sub>
        </m:sSub>
        <m:r>
          <m:rPr>
            <m:sty m:val="p"/>
          </m:rPr>
          <m:t>/</m:t>
        </m:r>
        <m:sSub>
          <m:e>
            <m:r>
              <m:t>M</m:t>
            </m:r>
          </m:e>
          <m:sub>
            <m:r>
              <m:rPr>
                <m:sty m:val="p"/>
              </m:rPr>
              <m:t>g</m:t>
            </m:r>
          </m:sub>
        </m:sSub>
      </m:oMath>
      <w:r>
        <w:t xml:space="preserve"> </w:t>
      </w:r>
      <w:r>
        <w:t xml:space="preserve">is the most direct state variable connecting integrated enrichment to current dilution.</w:t>
      </w:r>
    </w:p>
    <w:p>
      <w:pPr>
        <w:pStyle w:val="Compact"/>
        <w:numPr>
          <w:ilvl w:val="0"/>
          <w:numId w:val="1012"/>
        </w:numPr>
      </w:pPr>
      <w:r>
        <w:t xml:space="preserve">The SFR coordinate is a projection through efficiency, so depletion-time scatter is not nuisance scatter—it can change the sign.</w:t>
      </w:r>
    </w:p>
    <w:p>
      <w:pPr>
        <w:pStyle w:val="Compact"/>
        <w:numPr>
          <w:ilvl w:val="0"/>
          <w:numId w:val="1012"/>
        </w:numPr>
      </w:pPr>
      <w:r>
        <w:t xml:space="preserve">Equilibrium sets mean relations; non-equilibrium response and parameter scatter set covariance.</w:t>
      </w:r>
    </w:p>
    <w:p>
      <w:pPr>
        <w:pStyle w:val="Compact"/>
        <w:numPr>
          <w:ilvl w:val="0"/>
          <w:numId w:val="1012"/>
        </w:numPr>
      </w:pPr>
      <w:r>
        <w:t xml:space="preserve">A negative FMR is expected when stochastic metal-poor inflow dominates on a timescale comparable to the gas-loss/response time.</w:t>
      </w:r>
    </w:p>
    <w:p>
      <w:pPr>
        <w:pStyle w:val="Compact"/>
        <w:numPr>
          <w:ilvl w:val="0"/>
          <w:numId w:val="1012"/>
        </w:numPr>
      </w:pPr>
      <w:r>
        <w:t xml:space="preserve">A positive branch has at least three physically distinct routes: efficiency forcing, mass-loading scatter, and slow post-burst dilution. Enriched recycling is a fourth plausible route.</w:t>
      </w:r>
    </w:p>
    <w:bookmarkEnd w:id="91"/>
    <w:bookmarkStart w:id="92" w:name="what-is-not-robust"/>
    <w:p>
      <w:pPr>
        <w:pStyle w:val="Heading2"/>
      </w:pPr>
      <w:r>
        <w:t xml:space="preserve">12.2 What is not robust</w:t>
      </w:r>
    </w:p>
    <w:p>
      <w:pPr>
        <w:pStyle w:val="Compact"/>
        <w:numPr>
          <w:ilvl w:val="0"/>
          <w:numId w:val="1013"/>
        </w:numPr>
      </w:pPr>
      <w:r>
        <w:t xml:space="preserve">The numerical value of the FMR projection coefficient</w:t>
      </w:r>
      <w:r>
        <w:t xml:space="preserve"> </w:t>
      </w:r>
      <m:oMath>
        <m:r>
          <m:t>α</m:t>
        </m:r>
      </m:oMath>
      <w:r>
        <w:t xml:space="preserve"> </w:t>
      </w:r>
      <w:r>
        <w:t xml:space="preserve">is not universal. It depends on functional form, sample, SFR scale, and abundance calibration.</w:t>
      </w:r>
    </w:p>
    <w:p>
      <w:pPr>
        <w:pStyle w:val="Compact"/>
        <w:numPr>
          <w:ilvl w:val="0"/>
          <w:numId w:val="1013"/>
        </w:numPr>
      </w:pPr>
      <w:r>
        <w:t xml:space="preserve">The existence of one non-evolving global surface across all redshifts is debated and can be obscured by calibration evolution and selection.</w:t>
      </w:r>
    </w:p>
    <w:p>
      <w:pPr>
        <w:pStyle w:val="Compact"/>
        <w:numPr>
          <w:ilvl w:val="0"/>
          <w:numId w:val="1013"/>
        </w:numPr>
      </w:pPr>
      <w:r>
        <w:t xml:space="preserve">A resolved correlation is not automatically a temporal evolutionary track. Spatial mixing, radial gradients, and region age violate naive ergodicity.</w:t>
      </w:r>
    </w:p>
    <w:p>
      <w:pPr>
        <w:pStyle w:val="Compact"/>
        <w:numPr>
          <w:ilvl w:val="0"/>
          <w:numId w:val="1013"/>
        </w:numPr>
      </w:pPr>
      <w:r>
        <w:t xml:space="preserve">Instantaneous recycling and homogeneous mixing are weakest exactly where sub-kpc measurements are most interesting.</w:t>
      </w:r>
    </w:p>
    <w:p>
      <w:pPr>
        <w:pStyle w:val="Compact"/>
        <w:numPr>
          <w:ilvl w:val="0"/>
          <w:numId w:val="1013"/>
        </w:numPr>
      </w:pPr>
      <w:r>
        <w:t xml:space="preserve">Strong-line metallicity indicators share emission lines with SFR and ionisation diagnostics, creating non-physical covariance if errors and selection are not propagated jointly.</w:t>
      </w:r>
    </w:p>
    <w:bookmarkEnd w:id="92"/>
    <w:bookmarkStart w:id="93" w:name="X87555493f70a8a333f411017ccece68402c831b"/>
    <w:p>
      <w:pPr>
        <w:pStyle w:val="Heading2"/>
      </w:pPr>
      <w:r>
        <w:t xml:space="preserve">12.3 Ranking the models for the present question</w:t>
      </w:r>
    </w:p>
    <w:p>
      <w:pPr>
        <w:pStyle w:val="Compact"/>
        <w:numPr>
          <w:ilvl w:val="0"/>
          <w:numId w:val="1014"/>
        </w:numPr>
      </w:pPr>
      <w:r>
        <w:rPr>
          <w:b/>
          <w:bCs/>
        </w:rPr>
        <w:t xml:space="preserve">Best sign physics:</w:t>
      </w:r>
      <w:r>
        <w:t xml:space="preserve"> </w:t>
      </w:r>
      <w:r>
        <w:t xml:space="preserve">Wang &amp; Lilly (2021), because it changes one driver at a time and derives both signs.</w:t>
      </w:r>
    </w:p>
    <w:p>
      <w:pPr>
        <w:pStyle w:val="Compact"/>
        <w:numPr>
          <w:ilvl w:val="0"/>
          <w:numId w:val="1014"/>
        </w:numPr>
      </w:pPr>
      <w:r>
        <w:rPr>
          <w:b/>
          <w:bCs/>
        </w:rPr>
        <w:t xml:space="preserve">Best fixed-mass stochastic foundation:</w:t>
      </w:r>
      <w:r>
        <w:t xml:space="preserve"> </w:t>
      </w:r>
      <w:r>
        <w:t xml:space="preserve">Forbes et al. (2014), after adding an efficiency process or using its own mass-loading-scatter argument.</w:t>
      </w:r>
    </w:p>
    <w:p>
      <w:pPr>
        <w:pStyle w:val="Compact"/>
        <w:numPr>
          <w:ilvl w:val="0"/>
          <w:numId w:val="1014"/>
        </w:numPr>
      </w:pPr>
      <w:r>
        <w:rPr>
          <w:b/>
          <w:bCs/>
        </w:rPr>
        <w:t xml:space="preserve">Best current gas-state hierarchy:</w:t>
      </w:r>
      <w:r>
        <w:t xml:space="preserve"> </w:t>
      </w:r>
      <w:r>
        <w:t xml:space="preserve">Wang et al. (2026), because its gFMR makes the gas-to-SFR projection explicit; preprint status remains a caveat.</w:t>
      </w:r>
    </w:p>
    <w:p>
      <w:pPr>
        <w:pStyle w:val="Compact"/>
        <w:numPr>
          <w:ilvl w:val="0"/>
          <w:numId w:val="1014"/>
        </w:numPr>
      </w:pPr>
      <w:r>
        <w:rPr>
          <w:b/>
          <w:bCs/>
        </w:rPr>
        <w:t xml:space="preserve">Best resolved observationally anchored formulation:</w:t>
      </w:r>
      <w:r>
        <w:t xml:space="preserve"> </w:t>
      </w:r>
      <w:r>
        <w:t xml:space="preserve">Huang et al. (2026), because it expresses the sign as a competition of local response times and targets the MAUVE inversion.</w:t>
      </w:r>
    </w:p>
    <w:p>
      <w:pPr>
        <w:pStyle w:val="Compact"/>
        <w:numPr>
          <w:ilvl w:val="0"/>
          <w:numId w:val="1014"/>
        </w:numPr>
      </w:pPr>
      <w:r>
        <w:rPr>
          <w:b/>
          <w:bCs/>
        </w:rPr>
        <w:t xml:space="preserve">Best annular metallicity-profile model:</w:t>
      </w:r>
      <w:r>
        <w:t xml:space="preserve"> </w:t>
      </w:r>
      <w:r>
        <w:t xml:space="preserve">Carton et al. (2015), especially when gas profiles are available, though not sufficient alone for residual sign inversion.</w:t>
      </w:r>
    </w:p>
    <w:p>
      <w:pPr>
        <w:pStyle w:val="Compact"/>
        <w:numPr>
          <w:ilvl w:val="0"/>
          <w:numId w:val="1014"/>
        </w:numPr>
      </w:pPr>
      <w:r>
        <w:rPr>
          <w:b/>
          <w:bCs/>
        </w:rPr>
        <w:t xml:space="preserve">Best empirical rFMR benchmark:</w:t>
      </w:r>
      <w:r>
        <w:t xml:space="preserve"> </w:t>
      </w:r>
      <w:r>
        <w:t xml:space="preserve">Baker et al. (2023), useful as a flexible null surface but not as causal evidence.</w:t>
      </w:r>
    </w:p>
    <w:bookmarkEnd w:id="93"/>
    <w:bookmarkEnd w:id="94"/>
    <w:bookmarkStart w:id="95" w:name="conclusions"/>
    <w:p>
      <w:pPr>
        <w:pStyle w:val="Heading1"/>
      </w:pPr>
      <w:r>
        <w:t xml:space="preserve">13. Conclusions</w:t>
      </w:r>
    </w:p>
    <w:p>
      <w:pPr>
        <w:pStyle w:val="FirstParagraph"/>
      </w:pPr>
      <w:r>
        <w:t xml:space="preserve">The requested positive correlation can be produced without violating chemical conservation. The most defensible modification to both Wang et al. (2026) and Forbes et al. (2014) is to promote star-formation efficiency from a fixed mapping to a second stochastic or coherent physical driver. In the Wang inflow limit, a fixed-mass ensemble has a positive covariance whenever</w:t>
      </w:r>
      <w:r>
        <w:t xml:space="preserve"> </w:t>
      </w:r>
      <m:oMath>
        <m:r>
          <m:rPr>
            <m:sty m:val="p"/>
          </m:rPr>
          <m:t>Var</m:t>
        </m:r>
        <m:r>
          <m:rPr>
            <m:sty m:val="p"/>
          </m:rPr>
          <m:t>(</m:t>
        </m:r>
        <m:r>
          <m:rPr>
            <m:sty m:val="p"/>
          </m:rPr>
          <m:t>ln</m:t>
        </m:r>
        <m:r>
          <m:t>ϵ</m:t>
        </m:r>
        <m:r>
          <m:rPr>
            <m:sty m:val="p"/>
          </m:rPr>
          <m:t>)</m:t>
        </m:r>
        <m:r>
          <m:rPr>
            <m:sty m:val="p"/>
          </m:rPr>
          <m:t>&gt;</m:t>
        </m:r>
        <m:r>
          <m:rPr>
            <m:sty m:val="p"/>
          </m:rPr>
          <m:t>Var</m:t>
        </m:r>
        <m:r>
          <m:rPr>
            <m:sty m:val="p"/>
          </m:rPr>
          <m:t>(</m:t>
        </m:r>
        <m:r>
          <m:rPr>
            <m:sty m:val="p"/>
          </m:rPr>
          <m:t>ln</m:t>
        </m:r>
        <m:r>
          <m:rPr>
            <m:sty m:val="p"/>
          </m:rPr>
          <m:t>Φ</m:t>
        </m:r>
        <m:r>
          <m:rPr>
            <m:sty m:val="p"/>
          </m:rPr>
          <m:t>)</m:t>
        </m:r>
      </m:oMath>
      <w:r>
        <w:t xml:space="preserve"> </w:t>
      </w:r>
      <w:r>
        <w:t xml:space="preserve">under the stated independent-driver assumptions. In the time-dependent Forbes extension, the exact threshold is filtered by the efficiency and inflow coherence times relative to the gas/metal response. Forbes’s alternative equilibrium route—scatter in mass loading—also produces a positive slope and must be tested rather than overlooked.</w:t>
      </w:r>
    </w:p>
    <w:p>
      <w:pPr>
        <w:pStyle w:val="BodyText"/>
      </w:pPr>
      <w:r>
        <w:t xml:space="preserve">For MAUVE, the high-value result would not be merely another positive fitted slope. It would be evidence that the sign inversion is accompanied by the predicted transition from gas-supply-driven to efficiency-driven residuals, with consistent gas fractions, depletion times, spatial context, and response-time behaviour. That is a falsifiable physical interpretation and a natural bridge between the gFMR, global FMR, and rFMR literatures.</w:t>
      </w:r>
    </w:p>
    <w:bookmarkEnd w:id="95"/>
    <w:bookmarkStart w:id="110" w:name="references"/>
    <w:p>
      <w:pPr>
        <w:pStyle w:val="Heading1"/>
      </w:pPr>
      <w:r>
        <w:t xml:space="preserve">References</w:t>
      </w:r>
    </w:p>
    <w:p>
      <w:pPr>
        <w:pStyle w:val="FirstParagraph"/>
      </w:pPr>
      <w:r>
        <w:t xml:space="preserve">Ascasibar, Y. et al. 2015,</w:t>
      </w:r>
      <w:r>
        <w:t xml:space="preserve"> </w:t>
      </w:r>
      <w:r>
        <w:rPr>
          <w:i/>
          <w:iCs/>
        </w:rPr>
        <w:t xml:space="preserve">MNRAS</w:t>
      </w:r>
      <w:r>
        <w:t xml:space="preserve">, 448, 2126, “Understanding chemical evolution in resolved galaxies—I. The local star fraction–metallicity relation,”</w:t>
      </w:r>
      <w:r>
        <w:t xml:space="preserve"> </w:t>
      </w:r>
      <w:hyperlink r:id="rId52">
        <w:r>
          <w:rPr>
            <w:rStyle w:val="Hyperlink"/>
          </w:rPr>
          <w:t xml:space="preserve">arXiv:1406.6397</w:t>
        </w:r>
      </w:hyperlink>
      <w:r>
        <w:t xml:space="preserve">,</w:t>
      </w:r>
      <w:r>
        <w:t xml:space="preserve"> </w:t>
      </w:r>
      <w:hyperlink r:id="rId96">
        <w:r>
          <w:rPr>
            <w:rStyle w:val="Hyperlink"/>
          </w:rPr>
          <w:t xml:space="preserve">doi:10.1093/mnras/stv098</w:t>
        </w:r>
      </w:hyperlink>
      <w:r>
        <w:t xml:space="preserve">.</w:t>
      </w:r>
    </w:p>
    <w:p>
      <w:pPr>
        <w:pStyle w:val="BodyText"/>
      </w:pPr>
      <w:r>
        <w:t xml:space="preserve">Baker, W. M. et al. 2023,</w:t>
      </w:r>
      <w:r>
        <w:t xml:space="preserve"> </w:t>
      </w:r>
      <w:r>
        <w:rPr>
          <w:i/>
          <w:iCs/>
        </w:rPr>
        <w:t xml:space="preserve">MNRAS</w:t>
      </w:r>
      <w:r>
        <w:t xml:space="preserve">, 519, 1149, “The metallicity’s fundamental dependence on both local and global galactic quantities,”</w:t>
      </w:r>
      <w:r>
        <w:t xml:space="preserve"> </w:t>
      </w:r>
      <w:hyperlink r:id="rId61">
        <w:r>
          <w:rPr>
            <w:rStyle w:val="Hyperlink"/>
          </w:rPr>
          <w:t xml:space="preserve">arXiv:2210.03755</w:t>
        </w:r>
      </w:hyperlink>
      <w:r>
        <w:t xml:space="preserve">,</w:t>
      </w:r>
      <w:r>
        <w:t xml:space="preserve"> </w:t>
      </w:r>
      <w:hyperlink r:id="rId97">
        <w:r>
          <w:rPr>
            <w:rStyle w:val="Hyperlink"/>
          </w:rPr>
          <w:t xml:space="preserve">doi:10.1093/mnras/stac3594</w:t>
        </w:r>
      </w:hyperlink>
      <w:r>
        <w:t xml:space="preserve">.</w:t>
      </w:r>
    </w:p>
    <w:p>
      <w:pPr>
        <w:pStyle w:val="BodyText"/>
      </w:pPr>
      <w:r>
        <w:t xml:space="preserve">Bothwell, M. S. et al. 2013,</w:t>
      </w:r>
      <w:r>
        <w:t xml:space="preserve"> </w:t>
      </w:r>
      <w:r>
        <w:rPr>
          <w:i/>
          <w:iCs/>
        </w:rPr>
        <w:t xml:space="preserve">MNRAS</w:t>
      </w:r>
      <w:r>
        <w:t xml:space="preserve">, 433, 1425, “A fundamental relation between the metallicity, gas content and stellar mass of local galaxies,”</w:t>
      </w:r>
      <w:r>
        <w:t xml:space="preserve"> </w:t>
      </w:r>
      <w:hyperlink r:id="rId49">
        <w:r>
          <w:rPr>
            <w:rStyle w:val="Hyperlink"/>
          </w:rPr>
          <w:t xml:space="preserve">arXiv:1304.4940</w:t>
        </w:r>
      </w:hyperlink>
      <w:r>
        <w:t xml:space="preserve">.</w:t>
      </w:r>
    </w:p>
    <w:p>
      <w:pPr>
        <w:pStyle w:val="BodyText"/>
      </w:pPr>
      <w:r>
        <w:t xml:space="preserve">Bothwell, M. S. et al. 2016,</w:t>
      </w:r>
      <w:r>
        <w:t xml:space="preserve"> </w:t>
      </w:r>
      <w:r>
        <w:rPr>
          <w:i/>
          <w:iCs/>
        </w:rPr>
        <w:t xml:space="preserve">MNRAS</w:t>
      </w:r>
      <w:r>
        <w:t xml:space="preserve">, 455, 1156, “The fundamental relation between metallicity and molecular gas content,”</w:t>
      </w:r>
      <w:r>
        <w:t xml:space="preserve"> </w:t>
      </w:r>
      <w:hyperlink r:id="rId50">
        <w:r>
          <w:rPr>
            <w:rStyle w:val="Hyperlink"/>
          </w:rPr>
          <w:t xml:space="preserve">arXiv:1507.01004</w:t>
        </w:r>
      </w:hyperlink>
      <w:r>
        <w:t xml:space="preserve">.</w:t>
      </w:r>
    </w:p>
    <w:p>
      <w:pPr>
        <w:pStyle w:val="BodyText"/>
      </w:pPr>
      <w:r>
        <w:t xml:space="preserve">Carton, D. et al. 2015,</w:t>
      </w:r>
      <w:r>
        <w:t xml:space="preserve"> </w:t>
      </w:r>
      <w:r>
        <w:rPr>
          <w:i/>
          <w:iCs/>
        </w:rPr>
        <w:t xml:space="preserve">MNRAS</w:t>
      </w:r>
      <w:r>
        <w:t xml:space="preserve">, 451, 210, “Gas-phase metallicity profiles of the Bluedisk galaxies: is metallicity in a local star-formation regulated equilibrium?,”</w:t>
      </w:r>
      <w:r>
        <w:t xml:space="preserve"> </w:t>
      </w:r>
      <w:hyperlink r:id="rId56">
        <w:r>
          <w:rPr>
            <w:rStyle w:val="Hyperlink"/>
          </w:rPr>
          <w:t xml:space="preserve">arXiv:1505.02797</w:t>
        </w:r>
      </w:hyperlink>
      <w:r>
        <w:t xml:space="preserve">,</w:t>
      </w:r>
      <w:r>
        <w:t xml:space="preserve"> </w:t>
      </w:r>
      <w:hyperlink r:id="rId98">
        <w:r>
          <w:rPr>
            <w:rStyle w:val="Hyperlink"/>
          </w:rPr>
          <w:t xml:space="preserve">doi:10.1093/mnras/stv967</w:t>
        </w:r>
      </w:hyperlink>
      <w:r>
        <w:t xml:space="preserve">.</w:t>
      </w:r>
    </w:p>
    <w:p>
      <w:pPr>
        <w:pStyle w:val="BodyText"/>
      </w:pPr>
      <w:r>
        <w:t xml:space="preserve">Curti, M. et al. 2020,</w:t>
      </w:r>
      <w:r>
        <w:t xml:space="preserve"> </w:t>
      </w:r>
      <w:r>
        <w:rPr>
          <w:i/>
          <w:iCs/>
        </w:rPr>
        <w:t xml:space="preserve">MNRAS</w:t>
      </w:r>
      <w:r>
        <w:t xml:space="preserve">, 491, 944, “The mass–metallicity and the fundamental metallicity relation revisited,”</w:t>
      </w:r>
      <w:r>
        <w:t xml:space="preserve"> </w:t>
      </w:r>
      <w:hyperlink r:id="rId24">
        <w:r>
          <w:rPr>
            <w:rStyle w:val="Hyperlink"/>
          </w:rPr>
          <w:t xml:space="preserve">arXiv:1910.00597</w:t>
        </w:r>
      </w:hyperlink>
      <w:r>
        <w:t xml:space="preserve">.</w:t>
      </w:r>
    </w:p>
    <w:p>
      <w:pPr>
        <w:pStyle w:val="BodyText"/>
      </w:pPr>
      <w:r>
        <w:t xml:space="preserve">Davé, R., Finlator, K. &amp; Oppenheimer, B. D. 2012,</w:t>
      </w:r>
      <w:r>
        <w:t xml:space="preserve"> </w:t>
      </w:r>
      <w:r>
        <w:rPr>
          <w:i/>
          <w:iCs/>
        </w:rPr>
        <w:t xml:space="preserve">MNRAS</w:t>
      </w:r>
      <w:r>
        <w:t xml:space="preserve">, 421, 98, “An analytic model for the evolution of the stellar, gas and metal content of galaxies,”</w:t>
      </w:r>
      <w:r>
        <w:t xml:space="preserve"> </w:t>
      </w:r>
      <w:hyperlink r:id="rId26">
        <w:r>
          <w:rPr>
            <w:rStyle w:val="Hyperlink"/>
          </w:rPr>
          <w:t xml:space="preserve">arXiv:1108.0426</w:t>
        </w:r>
      </w:hyperlink>
      <w:r>
        <w:t xml:space="preserve">.</w:t>
      </w:r>
    </w:p>
    <w:p>
      <w:pPr>
        <w:pStyle w:val="BodyText"/>
      </w:pPr>
      <w:r>
        <w:t xml:space="preserve">Dayal, P., Ferrara, A. &amp; Dunlop, J. S. 2013,</w:t>
      </w:r>
      <w:r>
        <w:t xml:space="preserve"> </w:t>
      </w:r>
      <w:r>
        <w:rPr>
          <w:i/>
          <w:iCs/>
        </w:rPr>
        <w:t xml:space="preserve">MNRAS</w:t>
      </w:r>
      <w:r>
        <w:t xml:space="preserve">, 430, 2891, “The physics of the fundamental metallicity relation,”</w:t>
      </w:r>
      <w:r>
        <w:t xml:space="preserve"> </w:t>
      </w:r>
      <w:hyperlink r:id="rId9">
        <w:r>
          <w:rPr>
            <w:rStyle w:val="Hyperlink"/>
          </w:rPr>
          <w:t xml:space="preserve">arXiv:1202.4770</w:t>
        </w:r>
      </w:hyperlink>
      <w:r>
        <w:t xml:space="preserve">,</w:t>
      </w:r>
      <w:r>
        <w:t xml:space="preserve"> </w:t>
      </w:r>
      <w:hyperlink r:id="rId99">
        <w:r>
          <w:rPr>
            <w:rStyle w:val="Hyperlink"/>
          </w:rPr>
          <w:t xml:space="preserve">doi:10.1093/mnras/stt083</w:t>
        </w:r>
      </w:hyperlink>
      <w:r>
        <w:t xml:space="preserve">.</w:t>
      </w:r>
    </w:p>
    <w:p>
      <w:pPr>
        <w:pStyle w:val="BodyText"/>
      </w:pPr>
      <w:r>
        <w:t xml:space="preserve">Feldmann, R. 2013,</w:t>
      </w:r>
      <w:r>
        <w:t xml:space="preserve"> </w:t>
      </w:r>
      <w:r>
        <w:rPr>
          <w:i/>
          <w:iCs/>
        </w:rPr>
        <w:t xml:space="preserve">MNRAS</w:t>
      </w:r>
      <w:r>
        <w:t xml:space="preserve">, 433, 1910, “The equilibrium view on galaxy evolution,”</w:t>
      </w:r>
      <w:r>
        <w:t xml:space="preserve"> </w:t>
      </w:r>
      <w:hyperlink r:id="rId27">
        <w:r>
          <w:rPr>
            <w:rStyle w:val="Hyperlink"/>
          </w:rPr>
          <w:t xml:space="preserve">arXiv:1212.2973</w:t>
        </w:r>
      </w:hyperlink>
      <w:r>
        <w:t xml:space="preserve">.</w:t>
      </w:r>
    </w:p>
    <w:p>
      <w:pPr>
        <w:pStyle w:val="BodyText"/>
      </w:pPr>
      <w:r>
        <w:t xml:space="preserve">Forbes, J. C., Krumholz, M. R., Burkert, A. &amp; Dekel, A. 2014,</w:t>
      </w:r>
      <w:r>
        <w:t xml:space="preserve"> </w:t>
      </w:r>
      <w:r>
        <w:rPr>
          <w:i/>
          <w:iCs/>
        </w:rPr>
        <w:t xml:space="preserve">MNRAS</w:t>
      </w:r>
      <w:r>
        <w:t xml:space="preserve">, 443, 168, “On the origin of the fundamental metallicity relation and the scatter in galaxy scaling relations,”</w:t>
      </w:r>
      <w:r>
        <w:t xml:space="preserve"> </w:t>
      </w:r>
      <w:hyperlink r:id="rId10">
        <w:r>
          <w:rPr>
            <w:rStyle w:val="Hyperlink"/>
          </w:rPr>
          <w:t xml:space="preserve">arXiv:1311.1509</w:t>
        </w:r>
      </w:hyperlink>
      <w:r>
        <w:t xml:space="preserve">,</w:t>
      </w:r>
      <w:r>
        <w:t xml:space="preserve"> </w:t>
      </w:r>
      <w:hyperlink r:id="rId100">
        <w:r>
          <w:rPr>
            <w:rStyle w:val="Hyperlink"/>
          </w:rPr>
          <w:t xml:space="preserve">doi:10.1093/mnras/stu1142</w:t>
        </w:r>
      </w:hyperlink>
      <w:r>
        <w:t xml:space="preserve">.</w:t>
      </w:r>
    </w:p>
    <w:p>
      <w:pPr>
        <w:pStyle w:val="BodyText"/>
      </w:pPr>
      <w:r>
        <w:t xml:space="preserve">Harwit, M. &amp; Brisbin, D. 2015,</w:t>
      </w:r>
      <w:r>
        <w:t xml:space="preserve"> </w:t>
      </w:r>
      <w:r>
        <w:rPr>
          <w:i/>
          <w:iCs/>
        </w:rPr>
        <w:t xml:space="preserve">ApJ</w:t>
      </w:r>
      <w:r>
        <w:t xml:space="preserve">, 800, L26, “Origin of galaxy mass–metallicity–star-formation relation,”</w:t>
      </w:r>
      <w:r>
        <w:t xml:space="preserve"> </w:t>
      </w:r>
      <w:hyperlink r:id="rId37">
        <w:r>
          <w:rPr>
            <w:rStyle w:val="Hyperlink"/>
          </w:rPr>
          <w:t xml:space="preserve">arXiv:1412.2436</w:t>
        </w:r>
      </w:hyperlink>
      <w:r>
        <w:t xml:space="preserve">.</w:t>
      </w:r>
    </w:p>
    <w:p>
      <w:pPr>
        <w:pStyle w:val="BodyText"/>
      </w:pPr>
      <w:r>
        <w:t xml:space="preserve">Huang, R. et al. 2026,</w:t>
      </w:r>
      <w:r>
        <w:t xml:space="preserve"> </w:t>
      </w:r>
      <w:r>
        <w:rPr>
          <w:i/>
          <w:iCs/>
        </w:rPr>
        <w:t xml:space="preserve">MNRAS</w:t>
      </w:r>
      <w:r>
        <w:t xml:space="preserve">, 549, 1019, “MAUVE–MUSE: When metallicity follows or fights star formation—a mass-dependent inversion in Virgo galaxies,”</w:t>
      </w:r>
      <w:r>
        <w:t xml:space="preserve"> </w:t>
      </w:r>
      <w:hyperlink r:id="rId14">
        <w:r>
          <w:rPr>
            <w:rStyle w:val="Hyperlink"/>
          </w:rPr>
          <w:t xml:space="preserve">arXiv:2605.31412</w:t>
        </w:r>
      </w:hyperlink>
      <w:r>
        <w:t xml:space="preserve">,</w:t>
      </w:r>
      <w:r>
        <w:t xml:space="preserve"> </w:t>
      </w:r>
      <w:hyperlink r:id="rId101">
        <w:r>
          <w:rPr>
            <w:rStyle w:val="Hyperlink"/>
          </w:rPr>
          <w:t xml:space="preserve">doi:10.1093/mnras/stag1019</w:t>
        </w:r>
      </w:hyperlink>
      <w:r>
        <w:t xml:space="preserve">.</w:t>
      </w:r>
    </w:p>
    <w:p>
      <w:pPr>
        <w:pStyle w:val="BodyText"/>
      </w:pPr>
      <w:r>
        <w:t xml:space="preserve">Hunt, L. K. et al. 2016a,</w:t>
      </w:r>
      <w:r>
        <w:t xml:space="preserve"> </w:t>
      </w:r>
      <w:r>
        <w:rPr>
          <w:i/>
          <w:iCs/>
        </w:rPr>
        <w:t xml:space="preserve">MNRAS</w:t>
      </w:r>
      <w:r>
        <w:t xml:space="preserve">, “Coevolution of metallicity and star formation in galaxies to</w:t>
      </w:r>
      <w:r>
        <w:t xml:space="preserve"> </w:t>
      </w:r>
      <m:oMath>
        <m:r>
          <m:t>z</m:t>
        </m:r>
        <m:r>
          <m:rPr>
            <m:sty m:val="p"/>
          </m:rPr>
          <m:t>=</m:t>
        </m:r>
        <m:r>
          <m:t>3.7</m:t>
        </m:r>
      </m:oMath>
      <w:r>
        <w:t xml:space="preserve">—I. A fundamental plane,”</w:t>
      </w:r>
      <w:r>
        <w:t xml:space="preserve"> </w:t>
      </w:r>
      <w:hyperlink r:id="rId38">
        <w:r>
          <w:rPr>
            <w:rStyle w:val="Hyperlink"/>
          </w:rPr>
          <w:t xml:space="preserve">arXiv:1608.05417</w:t>
        </w:r>
      </w:hyperlink>
      <w:r>
        <w:t xml:space="preserve">,</w:t>
      </w:r>
      <w:r>
        <w:t xml:space="preserve"> </w:t>
      </w:r>
      <w:hyperlink r:id="rId102">
        <w:r>
          <w:rPr>
            <w:rStyle w:val="Hyperlink"/>
          </w:rPr>
          <w:t xml:space="preserve">doi:10.1093/mnras/stw1993</w:t>
        </w:r>
      </w:hyperlink>
      <w:r>
        <w:t xml:space="preserve">.</w:t>
      </w:r>
    </w:p>
    <w:p>
      <w:pPr>
        <w:pStyle w:val="BodyText"/>
      </w:pPr>
      <w:r>
        <w:t xml:space="preserve">Hunt, L. K. et al. 2016b,</w:t>
      </w:r>
      <w:r>
        <w:t xml:space="preserve"> </w:t>
      </w:r>
      <w:r>
        <w:rPr>
          <w:i/>
          <w:iCs/>
        </w:rPr>
        <w:t xml:space="preserve">MNRAS</w:t>
      </w:r>
      <w:r>
        <w:t xml:space="preserve">, 463, 2020, “Coevolution of metallicity and star formation in galaxies to</w:t>
      </w:r>
      <w:r>
        <w:t xml:space="preserve"> </w:t>
      </w:r>
      <m:oMath>
        <m:r>
          <m:t>z</m:t>
        </m:r>
        <m:r>
          <m:rPr>
            <m:sty m:val="p"/>
          </m:rPr>
          <m:t>=</m:t>
        </m:r>
        <m:r>
          <m:t>3.7</m:t>
        </m:r>
      </m:oMath>
      <w:r>
        <w:t xml:space="preserve">—II. A theoretical model,”</w:t>
      </w:r>
      <w:r>
        <w:t xml:space="preserve"> </w:t>
      </w:r>
      <w:hyperlink r:id="rId39">
        <w:r>
          <w:rPr>
            <w:rStyle w:val="Hyperlink"/>
          </w:rPr>
          <w:t xml:space="preserve">arXiv:1608.05418</w:t>
        </w:r>
      </w:hyperlink>
      <w:r>
        <w:t xml:space="preserve">,</w:t>
      </w:r>
      <w:r>
        <w:t xml:space="preserve"> </w:t>
      </w:r>
      <w:hyperlink r:id="rId103">
        <w:r>
          <w:rPr>
            <w:rStyle w:val="Hyperlink"/>
          </w:rPr>
          <w:t xml:space="preserve">doi:10.1093/mnras/stw2091</w:t>
        </w:r>
      </w:hyperlink>
      <w:r>
        <w:t xml:space="preserve">.</w:t>
      </w:r>
    </w:p>
    <w:p>
      <w:pPr>
        <w:pStyle w:val="BodyText"/>
      </w:pPr>
      <w:r>
        <w:t xml:space="preserve">Lara-López, M. A. et al. 2010,</w:t>
      </w:r>
      <w:r>
        <w:t xml:space="preserve"> </w:t>
      </w:r>
      <w:r>
        <w:rPr>
          <w:i/>
          <w:iCs/>
        </w:rPr>
        <w:t xml:space="preserve">A&amp;A</w:t>
      </w:r>
      <w:r>
        <w:t xml:space="preserve">, 521, L53, “A fundamental plane for field star-forming galaxies,”</w:t>
      </w:r>
      <w:r>
        <w:t xml:space="preserve"> </w:t>
      </w:r>
      <w:hyperlink r:id="rId19">
        <w:r>
          <w:rPr>
            <w:rStyle w:val="Hyperlink"/>
          </w:rPr>
          <w:t xml:space="preserve">arXiv:1005.0509</w:t>
        </w:r>
      </w:hyperlink>
      <w:r>
        <w:t xml:space="preserve">.</w:t>
      </w:r>
    </w:p>
    <w:p>
      <w:pPr>
        <w:pStyle w:val="BodyText"/>
      </w:pPr>
      <w:r>
        <w:t xml:space="preserve">Lilly, S. J. et al. 2013,</w:t>
      </w:r>
      <w:r>
        <w:t xml:space="preserve"> </w:t>
      </w:r>
      <w:r>
        <w:rPr>
          <w:i/>
          <w:iCs/>
        </w:rPr>
        <w:t xml:space="preserve">ApJ</w:t>
      </w:r>
      <w:r>
        <w:t xml:space="preserve">, 772, 119, “Gas regulation of galaxies: the evolution of the cosmic specific star formation rate, the metallicity–mass–star-formation rate relation, and the stellar content of haloes,”</w:t>
      </w:r>
      <w:r>
        <w:t xml:space="preserve"> </w:t>
      </w:r>
      <w:hyperlink r:id="rId11">
        <w:r>
          <w:rPr>
            <w:rStyle w:val="Hyperlink"/>
          </w:rPr>
          <w:t xml:space="preserve">arXiv:1303.5059</w:t>
        </w:r>
      </w:hyperlink>
      <w:r>
        <w:t xml:space="preserve">,</w:t>
      </w:r>
      <w:r>
        <w:t xml:space="preserve"> </w:t>
      </w:r>
      <w:hyperlink r:id="rId104">
        <w:r>
          <w:rPr>
            <w:rStyle w:val="Hyperlink"/>
          </w:rPr>
          <w:t xml:space="preserve">doi:10.1088/0004-637X/772/2/119</w:t>
        </w:r>
      </w:hyperlink>
      <w:r>
        <w:t xml:space="preserve">.</w:t>
      </w:r>
    </w:p>
    <w:p>
      <w:pPr>
        <w:pStyle w:val="BodyText"/>
      </w:pPr>
      <w:r>
        <w:t xml:space="preserve">Lin, Y.-T. &amp; Zu, Y. 2023,</w:t>
      </w:r>
      <w:r>
        <w:t xml:space="preserve"> </w:t>
      </w:r>
      <w:r>
        <w:rPr>
          <w:i/>
          <w:iCs/>
        </w:rPr>
        <w:t xml:space="preserve">MNRAS</w:t>
      </w:r>
      <w:r>
        <w:t xml:space="preserve">, 521, 411, “Constraints on galactic outflows from the metallicity–stellar mass–SFR relation of EAGLE simulation and SDSS galaxies,”</w:t>
      </w:r>
      <w:r>
        <w:t xml:space="preserve"> </w:t>
      </w:r>
      <w:hyperlink r:id="rId43">
        <w:r>
          <w:rPr>
            <w:rStyle w:val="Hyperlink"/>
          </w:rPr>
          <w:t xml:space="preserve">arXiv:2212.01402</w:t>
        </w:r>
      </w:hyperlink>
      <w:r>
        <w:t xml:space="preserve">,</w:t>
      </w:r>
      <w:r>
        <w:t xml:space="preserve"> </w:t>
      </w:r>
      <w:hyperlink r:id="rId105">
        <w:r>
          <w:rPr>
            <w:rStyle w:val="Hyperlink"/>
          </w:rPr>
          <w:t xml:space="preserve">doi:10.1093/mnras/stad502</w:t>
        </w:r>
      </w:hyperlink>
      <w:r>
        <w:t xml:space="preserve">.</w:t>
      </w:r>
    </w:p>
    <w:p>
      <w:pPr>
        <w:pStyle w:val="BodyText"/>
      </w:pPr>
      <w:r>
        <w:t xml:space="preserve">Magrini, L. et al. 2012,</w:t>
      </w:r>
      <w:r>
        <w:t xml:space="preserve"> </w:t>
      </w:r>
      <w:r>
        <w:rPr>
          <w:i/>
          <w:iCs/>
        </w:rPr>
        <w:t xml:space="preserve">MNRAS</w:t>
      </w:r>
      <w:r>
        <w:t xml:space="preserve">, “Scaling relations of metallicity, stellar mass and star formation rate in metal-poor starbursts—II. Theoretical models,”</w:t>
      </w:r>
      <w:r>
        <w:t xml:space="preserve"> </w:t>
      </w:r>
      <w:hyperlink r:id="rId40">
        <w:r>
          <w:rPr>
            <w:rStyle w:val="Hyperlink"/>
          </w:rPr>
          <w:t xml:space="preserve">doi:10.1111/j.1365-2966.2012.22055.x</w:t>
        </w:r>
      </w:hyperlink>
      <w:r>
        <w:t xml:space="preserve">.</w:t>
      </w:r>
    </w:p>
    <w:p>
      <w:pPr>
        <w:pStyle w:val="BodyText"/>
      </w:pPr>
      <w:r>
        <w:t xml:space="preserve">Mannucci, F. et al. 2010,</w:t>
      </w:r>
      <w:r>
        <w:t xml:space="preserve"> </w:t>
      </w:r>
      <w:r>
        <w:rPr>
          <w:i/>
          <w:iCs/>
        </w:rPr>
        <w:t xml:space="preserve">MNRAS</w:t>
      </w:r>
      <w:r>
        <w:t xml:space="preserve">, 408, 2115, “A fundamental relation between mass, star formation rate and metallicity in local and high-redshift galaxies,”</w:t>
      </w:r>
      <w:r>
        <w:t xml:space="preserve"> </w:t>
      </w:r>
      <w:hyperlink r:id="rId18">
        <w:r>
          <w:rPr>
            <w:rStyle w:val="Hyperlink"/>
          </w:rPr>
          <w:t xml:space="preserve">arXiv:1005.0006</w:t>
        </w:r>
      </w:hyperlink>
      <w:r>
        <w:t xml:space="preserve">,</w:t>
      </w:r>
      <w:r>
        <w:t xml:space="preserve"> </w:t>
      </w:r>
      <w:hyperlink r:id="rId106">
        <w:r>
          <w:rPr>
            <w:rStyle w:val="Hyperlink"/>
          </w:rPr>
          <w:t xml:space="preserve">doi:10.1111/j.1365-2966.2010.17291.x</w:t>
        </w:r>
      </w:hyperlink>
      <w:r>
        <w:t xml:space="preserve">.</w:t>
      </w:r>
    </w:p>
    <w:p>
      <w:pPr>
        <w:pStyle w:val="BodyText"/>
      </w:pPr>
      <w:r>
        <w:t xml:space="preserve">Peng, Y.-j. &amp; Maiolino, R. 2014,</w:t>
      </w:r>
      <w:r>
        <w:t xml:space="preserve"> </w:t>
      </w:r>
      <w:r>
        <w:rPr>
          <w:i/>
          <w:iCs/>
        </w:rPr>
        <w:t xml:space="preserve">MNRAS</w:t>
      </w:r>
      <w:r>
        <w:t xml:space="preserve">, 443, 3643, “The gas regulator model of galaxies: the role of inflows, outflows and star formation,”</w:t>
      </w:r>
      <w:r>
        <w:t xml:space="preserve"> </w:t>
      </w:r>
      <w:hyperlink r:id="rId35">
        <w:r>
          <w:rPr>
            <w:rStyle w:val="Hyperlink"/>
          </w:rPr>
          <w:t xml:space="preserve">arXiv:1402.5964</w:t>
        </w:r>
      </w:hyperlink>
      <w:r>
        <w:t xml:space="preserve">.</w:t>
      </w:r>
    </w:p>
    <w:p>
      <w:pPr>
        <w:pStyle w:val="BodyText"/>
      </w:pPr>
      <w:r>
        <w:t xml:space="preserve">Pipino, A., Lilly, S. J. &amp; Carollo, C. M. 2014,</w:t>
      </w:r>
      <w:r>
        <w:t xml:space="preserve"> </w:t>
      </w:r>
      <w:r>
        <w:rPr>
          <w:i/>
          <w:iCs/>
        </w:rPr>
        <w:t xml:space="preserve">MNRAS</w:t>
      </w:r>
      <w:r>
        <w:t xml:space="preserve">, 441, 1444, “On the metallicity of galaxies in the gas-regulator model,”</w:t>
      </w:r>
      <w:r>
        <w:t xml:space="preserve"> </w:t>
      </w:r>
      <w:hyperlink r:id="rId31">
        <w:r>
          <w:rPr>
            <w:rStyle w:val="Hyperlink"/>
          </w:rPr>
          <w:t xml:space="preserve">arXiv:1403.6146</w:t>
        </w:r>
      </w:hyperlink>
      <w:r>
        <w:t xml:space="preserve">.</w:t>
      </w:r>
    </w:p>
    <w:p>
      <w:pPr>
        <w:pStyle w:val="BodyText"/>
      </w:pPr>
      <w:r>
        <w:t xml:space="preserve">Sánchez Almeida, J. &amp; Sánchez-Menguiano, L. 2019,</w:t>
      </w:r>
      <w:r>
        <w:t xml:space="preserve"> </w:t>
      </w:r>
      <w:r>
        <w:rPr>
          <w:i/>
          <w:iCs/>
        </w:rPr>
        <w:t xml:space="preserve">ApJL</w:t>
      </w:r>
      <w:r>
        <w:t xml:space="preserve">, “The fundamental metallicity relation emerges from the local anti-correlation between star formation rate and gas-phase metallicity existing in disk galaxies,”</w:t>
      </w:r>
      <w:r>
        <w:t xml:space="preserve"> </w:t>
      </w:r>
      <w:hyperlink r:id="rId58">
        <w:r>
          <w:rPr>
            <w:rStyle w:val="Hyperlink"/>
          </w:rPr>
          <w:t xml:space="preserve">arXiv:1905.05826</w:t>
        </w:r>
      </w:hyperlink>
      <w:r>
        <w:t xml:space="preserve">,</w:t>
      </w:r>
      <w:r>
        <w:t xml:space="preserve"> </w:t>
      </w:r>
      <w:hyperlink r:id="rId107">
        <w:r>
          <w:rPr>
            <w:rStyle w:val="Hyperlink"/>
          </w:rPr>
          <w:t xml:space="preserve">doi:10.3847/2041-8213/ab218d</w:t>
        </w:r>
      </w:hyperlink>
      <w:r>
        <w:t xml:space="preserve">.</w:t>
      </w:r>
    </w:p>
    <w:p>
      <w:pPr>
        <w:pStyle w:val="BodyText"/>
      </w:pPr>
      <w:r>
        <w:t xml:space="preserve">Sharda, P. et al. 2021,</w:t>
      </w:r>
      <w:r>
        <w:t xml:space="preserve"> </w:t>
      </w:r>
      <w:r>
        <w:rPr>
          <w:i/>
          <w:iCs/>
        </w:rPr>
        <w:t xml:space="preserve">MNRAS</w:t>
      </w:r>
      <w:r>
        <w:t xml:space="preserve">, 502, 5935, “On the origin of the mass–metallicity gradient relation in the local Universe,”</w:t>
      </w:r>
      <w:r>
        <w:t xml:space="preserve"> </w:t>
      </w:r>
      <w:hyperlink r:id="rId63">
        <w:r>
          <w:rPr>
            <w:rStyle w:val="Hyperlink"/>
          </w:rPr>
          <w:t xml:space="preserve">arXiv:2102.09733</w:t>
        </w:r>
      </w:hyperlink>
      <w:r>
        <w:t xml:space="preserve">.</w:t>
      </w:r>
    </w:p>
    <w:p>
      <w:pPr>
        <w:pStyle w:val="BodyText"/>
      </w:pPr>
      <w:r>
        <w:t xml:space="preserve">Wang, E. &amp; Lilly, S. J. 2021,</w:t>
      </w:r>
      <w:r>
        <w:t xml:space="preserve"> </w:t>
      </w:r>
      <w:r>
        <w:rPr>
          <w:i/>
          <w:iCs/>
        </w:rPr>
        <w:t xml:space="preserve">ApJ</w:t>
      </w:r>
      <w:r>
        <w:t xml:space="preserve">, 910, 137, “Gas-phase metallicity as a diagnostic of the drivers of star formation on different spatial scales,”</w:t>
      </w:r>
      <w:r>
        <w:t xml:space="preserve"> </w:t>
      </w:r>
      <w:hyperlink r:id="rId13">
        <w:r>
          <w:rPr>
            <w:rStyle w:val="Hyperlink"/>
          </w:rPr>
          <w:t xml:space="preserve">arXiv:2009.01935</w:t>
        </w:r>
      </w:hyperlink>
      <w:r>
        <w:t xml:space="preserve">,</w:t>
      </w:r>
      <w:r>
        <w:t xml:space="preserve"> </w:t>
      </w:r>
      <w:hyperlink r:id="rId108">
        <w:r>
          <w:rPr>
            <w:rStyle w:val="Hyperlink"/>
          </w:rPr>
          <w:t xml:space="preserve">doi:10.3847/1538-4357/abe413</w:t>
        </w:r>
      </w:hyperlink>
      <w:r>
        <w:t xml:space="preserve">.</w:t>
      </w:r>
    </w:p>
    <w:p>
      <w:pPr>
        <w:pStyle w:val="BodyText"/>
      </w:pPr>
      <w:r>
        <w:t xml:space="preserve">Wang, K. 2026,</w:t>
      </w:r>
      <w:r>
        <w:t xml:space="preserve"> </w:t>
      </w:r>
      <w:r>
        <w:rPr>
          <w:i/>
          <w:iCs/>
        </w:rPr>
        <w:t xml:space="preserve">MNRAS</w:t>
      </w:r>
      <w:r>
        <w:t xml:space="preserve">, 545, staf2113, “The origin of the galaxy size–stellar metallicity relation—I. A semi-analytical perspective,”</w:t>
      </w:r>
      <w:r>
        <w:t xml:space="preserve"> </w:t>
      </w:r>
      <w:hyperlink r:id="rId45">
        <w:r>
          <w:rPr>
            <w:rStyle w:val="Hyperlink"/>
          </w:rPr>
          <w:t xml:space="preserve">arXiv:2510.02573</w:t>
        </w:r>
      </w:hyperlink>
      <w:r>
        <w:t xml:space="preserve">,</w:t>
      </w:r>
      <w:r>
        <w:t xml:space="preserve"> </w:t>
      </w:r>
      <w:hyperlink r:id="rId109">
        <w:r>
          <w:rPr>
            <w:rStyle w:val="Hyperlink"/>
          </w:rPr>
          <w:t xml:space="preserve">doi:10.1093/mnras/staf2113</w:t>
        </w:r>
      </w:hyperlink>
      <w:r>
        <w:t xml:space="preserve">.</w:t>
      </w:r>
    </w:p>
    <w:p>
      <w:pPr>
        <w:pStyle w:val="BodyText"/>
      </w:pPr>
      <w:r>
        <w:t xml:space="preserve">Wang, K. et al. 2026, arXiv preprint v1, “Inflow-driven galaxy evolution—I. Revealing the physics of the fundamental metallicity relation,”</w:t>
      </w:r>
      <w:r>
        <w:t xml:space="preserve"> </w:t>
      </w:r>
      <w:hyperlink r:id="rId12">
        <w:r>
          <w:rPr>
            <w:rStyle w:val="Hyperlink"/>
          </w:rPr>
          <w:t xml:space="preserve">arXiv:2608.04784</w:t>
        </w:r>
      </w:hyperlink>
      <w:r>
        <w:t xml:space="preserve">.</w:t>
      </w:r>
    </w:p>
    <w:p>
      <w:pPr>
        <w:pStyle w:val="BodyText"/>
      </w:pPr>
      <w:r>
        <w:t xml:space="preserve">Yates, R. M., Kauffmann, G. &amp; Guo, Q. 2012,</w:t>
      </w:r>
      <w:r>
        <w:t xml:space="preserve"> </w:t>
      </w:r>
      <w:r>
        <w:rPr>
          <w:i/>
          <w:iCs/>
        </w:rPr>
        <w:t xml:space="preserve">MNRAS</w:t>
      </w:r>
      <w:r>
        <w:t xml:space="preserve">, 422, 215, “The relation between metallicity, stellar mass and star formation in galaxies,”</w:t>
      </w:r>
      <w:r>
        <w:t xml:space="preserve"> </w:t>
      </w:r>
      <w:hyperlink r:id="rId67">
        <w:r>
          <w:rPr>
            <w:rStyle w:val="Hyperlink"/>
          </w:rPr>
          <w:t xml:space="preserve">arXiv:1107.3145</w:t>
        </w:r>
      </w:hyperlink>
      <w:r>
        <w:t xml:space="preserve">.</w:t>
      </w:r>
    </w:p>
    <w:p>
      <w:pPr>
        <w:pStyle w:val="BodyText"/>
      </w:pPr>
      <w:r>
        <w:t xml:space="preserve">Yates, R. M. &amp; Kauffmann, G. 2014,</w:t>
      </w:r>
      <w:r>
        <w:t xml:space="preserve"> </w:t>
      </w:r>
      <w:r>
        <w:rPr>
          <w:i/>
          <w:iCs/>
        </w:rPr>
        <w:t xml:space="preserve">MNRAS</w:t>
      </w:r>
      <w:r>
        <w:t xml:space="preserve">, “Dilution in elliptical galaxies: implications for the relation between metallicity, stellar mass and star formation rate,”</w:t>
      </w:r>
      <w:r>
        <w:t xml:space="preserve"> </w:t>
      </w:r>
      <w:hyperlink r:id="rId68">
        <w:r>
          <w:rPr>
            <w:rStyle w:val="Hyperlink"/>
          </w:rPr>
          <w:t xml:space="preserve">arXiv:1310.5151</w:t>
        </w:r>
      </w:hyperlink>
      <w:r>
        <w:t xml:space="preserve">.</w:t>
      </w:r>
    </w:p>
    <w:p>
      <w:pPr>
        <w:pStyle w:val="BodyText"/>
      </w:pPr>
      <w:r>
        <w:t xml:space="preserve">Zahid, H. J. et al. 2012,</w:t>
      </w:r>
      <w:r>
        <w:t xml:space="preserve"> </w:t>
      </w:r>
      <w:r>
        <w:rPr>
          <w:i/>
          <w:iCs/>
        </w:rPr>
        <w:t xml:space="preserve">ApJ</w:t>
      </w:r>
      <w:r>
        <w:t xml:space="preserve">, 757, 54, “A census of oxygen in star-forming galaxies: an empirical model linking metallicities, star formation rates, and outflows,”</w:t>
      </w:r>
      <w:r>
        <w:t xml:space="preserve"> </w:t>
      </w:r>
      <w:hyperlink r:id="rId41">
        <w:r>
          <w:rPr>
            <w:rStyle w:val="Hyperlink"/>
          </w:rPr>
          <w:t xml:space="preserve">arXiv:1207.5509</w:t>
        </w:r>
      </w:hyperlink>
      <w:r>
        <w:t xml:space="preserve">.</w:t>
      </w:r>
    </w:p>
    <w:bookmarkEnd w:id="110"/>
    <w:bookmarkStart w:id="111" w:name="ai-and-reproducibility-disclosure"/>
    <w:p>
      <w:pPr>
        <w:pStyle w:val="Heading1"/>
      </w:pPr>
      <w:r>
        <w:t xml:space="preserve">AI and reproducibility disclosure</w:t>
      </w:r>
    </w:p>
    <w:p>
      <w:pPr>
        <w:pStyle w:val="FirstParagraph"/>
      </w:pPr>
      <w:r>
        <w:t xml:space="preserve">OpenAI Codex assisted with the online literature search, equation extraction, synthesis, numerical experiment, figure generation, and document production. The review prioritised primary papers and marks Wang et al. (2026) as a new preprint. The numerical experiment is deterministic given the recorded random seeds and parameters; its source script and CSV scan are retained with the working materials. Scientific interpretation, paper selection, and any use in a manuscript should receive domain-expert review, particularly for yield conventions, metallicity calibration, and the equivalence—or non-equivalence—of spatial and temporal residuals.</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hyperlink" Id="rId29" Target="https://academic.oup.com/mnras/article/430/4/2891/1101320" TargetMode="External" /><Relationship Type="http://schemas.openxmlformats.org/officeDocument/2006/relationships/hyperlink" Id="rId18" Target="https://arxiv.org/abs/1005.0006" TargetMode="External" /><Relationship Type="http://schemas.openxmlformats.org/officeDocument/2006/relationships/hyperlink" Id="rId19" Target="https://arxiv.org/abs/1005.0509" TargetMode="External" /><Relationship Type="http://schemas.openxmlformats.org/officeDocument/2006/relationships/hyperlink" Id="rId67" Target="https://arxiv.org/abs/1107.3145" TargetMode="External" /><Relationship Type="http://schemas.openxmlformats.org/officeDocument/2006/relationships/hyperlink" Id="rId26" Target="https://arxiv.org/abs/1108.0426" TargetMode="External" /><Relationship Type="http://schemas.openxmlformats.org/officeDocument/2006/relationships/hyperlink" Id="rId9" Target="https://arxiv.org/abs/1202.4770" TargetMode="External" /><Relationship Type="http://schemas.openxmlformats.org/officeDocument/2006/relationships/hyperlink" Id="rId41" Target="https://arxiv.org/abs/1207.5509" TargetMode="External" /><Relationship Type="http://schemas.openxmlformats.org/officeDocument/2006/relationships/hyperlink" Id="rId27" Target="https://arxiv.org/abs/1212.2973" TargetMode="External" /><Relationship Type="http://schemas.openxmlformats.org/officeDocument/2006/relationships/hyperlink" Id="rId11" Target="https://arxiv.org/abs/1303.5059" TargetMode="External" /><Relationship Type="http://schemas.openxmlformats.org/officeDocument/2006/relationships/hyperlink" Id="rId49" Target="https://arxiv.org/abs/1304.4940" TargetMode="External" /><Relationship Type="http://schemas.openxmlformats.org/officeDocument/2006/relationships/hyperlink" Id="rId68" Target="https://arxiv.org/abs/1310.5151" TargetMode="External" /><Relationship Type="http://schemas.openxmlformats.org/officeDocument/2006/relationships/hyperlink" Id="rId10" Target="https://arxiv.org/abs/1311.1509" TargetMode="External" /><Relationship Type="http://schemas.openxmlformats.org/officeDocument/2006/relationships/hyperlink" Id="rId35" Target="https://arxiv.org/abs/1402.5964" TargetMode="External" /><Relationship Type="http://schemas.openxmlformats.org/officeDocument/2006/relationships/hyperlink" Id="rId31" Target="https://arxiv.org/abs/1403.6146" TargetMode="External" /><Relationship Type="http://schemas.openxmlformats.org/officeDocument/2006/relationships/hyperlink" Id="rId52" Target="https://arxiv.org/abs/1406.6397" TargetMode="External" /><Relationship Type="http://schemas.openxmlformats.org/officeDocument/2006/relationships/hyperlink" Id="rId37" Target="https://arxiv.org/abs/1412.2436" TargetMode="External" /><Relationship Type="http://schemas.openxmlformats.org/officeDocument/2006/relationships/hyperlink" Id="rId56" Target="https://arxiv.org/abs/1505.02797" TargetMode="External" /><Relationship Type="http://schemas.openxmlformats.org/officeDocument/2006/relationships/hyperlink" Id="rId50" Target="https://arxiv.org/abs/1507.01004" TargetMode="External" /><Relationship Type="http://schemas.openxmlformats.org/officeDocument/2006/relationships/hyperlink" Id="rId38" Target="https://arxiv.org/abs/1608.05417" TargetMode="External" /><Relationship Type="http://schemas.openxmlformats.org/officeDocument/2006/relationships/hyperlink" Id="rId39" Target="https://arxiv.org/abs/1608.05418" TargetMode="External" /><Relationship Type="http://schemas.openxmlformats.org/officeDocument/2006/relationships/hyperlink" Id="rId58" Target="https://arxiv.org/abs/1905.05826" TargetMode="External" /><Relationship Type="http://schemas.openxmlformats.org/officeDocument/2006/relationships/hyperlink" Id="rId24" Target="https://arxiv.org/abs/1910.00597" TargetMode="External" /><Relationship Type="http://schemas.openxmlformats.org/officeDocument/2006/relationships/hyperlink" Id="rId13" Target="https://arxiv.org/abs/2009.01935" TargetMode="External" /><Relationship Type="http://schemas.openxmlformats.org/officeDocument/2006/relationships/hyperlink" Id="rId63" Target="https://arxiv.org/abs/2102.09733" TargetMode="External" /><Relationship Type="http://schemas.openxmlformats.org/officeDocument/2006/relationships/hyperlink" Id="rId61" Target="https://arxiv.org/abs/2210.03755" TargetMode="External" /><Relationship Type="http://schemas.openxmlformats.org/officeDocument/2006/relationships/hyperlink" Id="rId43" Target="https://arxiv.org/abs/2212.01402" TargetMode="External" /><Relationship Type="http://schemas.openxmlformats.org/officeDocument/2006/relationships/hyperlink" Id="rId45" Target="https://arxiv.org/abs/2510.02573" TargetMode="External" /><Relationship Type="http://schemas.openxmlformats.org/officeDocument/2006/relationships/hyperlink" Id="rId14" Target="https://arxiv.org/abs/2605.31412" TargetMode="External" /><Relationship Type="http://schemas.openxmlformats.org/officeDocument/2006/relationships/hyperlink" Id="rId12" Target="https://arxiv.org/abs/2608.04784" TargetMode="External" /><Relationship Type="http://schemas.openxmlformats.org/officeDocument/2006/relationships/hyperlink" Id="rId46" Target="https://arxiv.org/pdf/2608.04784" TargetMode="External" /><Relationship Type="http://schemas.openxmlformats.org/officeDocument/2006/relationships/hyperlink" Id="rId104" Target="https://doi.org/10.1088/0004-637X/772/2/119" TargetMode="External" /><Relationship Type="http://schemas.openxmlformats.org/officeDocument/2006/relationships/hyperlink" Id="rId97" Target="https://doi.org/10.1093/mnras/stac3594" TargetMode="External" /><Relationship Type="http://schemas.openxmlformats.org/officeDocument/2006/relationships/hyperlink" Id="rId105" Target="https://doi.org/10.1093/mnras/stad502" TargetMode="External" /><Relationship Type="http://schemas.openxmlformats.org/officeDocument/2006/relationships/hyperlink" Id="rId109" Target="https://doi.org/10.1093/mnras/staf2113" TargetMode="External" /><Relationship Type="http://schemas.openxmlformats.org/officeDocument/2006/relationships/hyperlink" Id="rId101" Target="https://doi.org/10.1093/mnras/stag1019" TargetMode="External" /><Relationship Type="http://schemas.openxmlformats.org/officeDocument/2006/relationships/hyperlink" Id="rId99" Target="https://doi.org/10.1093/mnras/stt083" TargetMode="External" /><Relationship Type="http://schemas.openxmlformats.org/officeDocument/2006/relationships/hyperlink" Id="rId100" Target="https://doi.org/10.1093/mnras/stu1142" TargetMode="External" /><Relationship Type="http://schemas.openxmlformats.org/officeDocument/2006/relationships/hyperlink" Id="rId96" Target="https://doi.org/10.1093/mnras/stv098" TargetMode="External" /><Relationship Type="http://schemas.openxmlformats.org/officeDocument/2006/relationships/hyperlink" Id="rId98" Target="https://doi.org/10.1093/mnras/stv967" TargetMode="External" /><Relationship Type="http://schemas.openxmlformats.org/officeDocument/2006/relationships/hyperlink" Id="rId102" Target="https://doi.org/10.1093/mnras/stw1993" TargetMode="External" /><Relationship Type="http://schemas.openxmlformats.org/officeDocument/2006/relationships/hyperlink" Id="rId103" Target="https://doi.org/10.1093/mnras/stw2091" TargetMode="External" /><Relationship Type="http://schemas.openxmlformats.org/officeDocument/2006/relationships/hyperlink" Id="rId106" Target="https://doi.org/10.1111/j.1365-2966.2010.17291.x" TargetMode="External" /><Relationship Type="http://schemas.openxmlformats.org/officeDocument/2006/relationships/hyperlink" Id="rId40" Target="https://doi.org/10.1111/j.1365-2966.2012.22055.x" TargetMode="External" /><Relationship Type="http://schemas.openxmlformats.org/officeDocument/2006/relationships/hyperlink" Id="rId108" Target="https://doi.org/10.3847/1538-4357/abe413" TargetMode="External" /><Relationship Type="http://schemas.openxmlformats.org/officeDocument/2006/relationships/hyperlink" Id="rId107" Target="https://doi.org/10.3847/2041-8213/ab218d" TargetMode="External" /><Relationship Type="http://schemas.openxmlformats.org/officeDocument/2006/relationships/hyperlink" Id="rId33" Target="https://www.mso.anu.edu.au/~krumholz/publications/2014/forbes14a.pdf" TargetMode="External" /></Relationships>
</file>

<file path=word/_rels/footnotes.xml.rels><?xml version="1.0" encoding="UTF-8"?><Relationships xmlns="http://schemas.openxmlformats.org/package/2006/relationships"><Relationship Type="http://schemas.openxmlformats.org/officeDocument/2006/relationships/hyperlink" Id="rId29" Target="https://academic.oup.com/mnras/article/430/4/2891/1101320" TargetMode="External" /><Relationship Type="http://schemas.openxmlformats.org/officeDocument/2006/relationships/hyperlink" Id="rId18" Target="https://arxiv.org/abs/1005.0006" TargetMode="External" /><Relationship Type="http://schemas.openxmlformats.org/officeDocument/2006/relationships/hyperlink" Id="rId19" Target="https://arxiv.org/abs/1005.0509" TargetMode="External" /><Relationship Type="http://schemas.openxmlformats.org/officeDocument/2006/relationships/hyperlink" Id="rId67" Target="https://arxiv.org/abs/1107.3145" TargetMode="External" /><Relationship Type="http://schemas.openxmlformats.org/officeDocument/2006/relationships/hyperlink" Id="rId26" Target="https://arxiv.org/abs/1108.0426" TargetMode="External" /><Relationship Type="http://schemas.openxmlformats.org/officeDocument/2006/relationships/hyperlink" Id="rId9" Target="https://arxiv.org/abs/1202.4770" TargetMode="External" /><Relationship Type="http://schemas.openxmlformats.org/officeDocument/2006/relationships/hyperlink" Id="rId41" Target="https://arxiv.org/abs/1207.5509" TargetMode="External" /><Relationship Type="http://schemas.openxmlformats.org/officeDocument/2006/relationships/hyperlink" Id="rId27" Target="https://arxiv.org/abs/1212.2973" TargetMode="External" /><Relationship Type="http://schemas.openxmlformats.org/officeDocument/2006/relationships/hyperlink" Id="rId11" Target="https://arxiv.org/abs/1303.5059" TargetMode="External" /><Relationship Type="http://schemas.openxmlformats.org/officeDocument/2006/relationships/hyperlink" Id="rId49" Target="https://arxiv.org/abs/1304.4940" TargetMode="External" /><Relationship Type="http://schemas.openxmlformats.org/officeDocument/2006/relationships/hyperlink" Id="rId68" Target="https://arxiv.org/abs/1310.5151" TargetMode="External" /><Relationship Type="http://schemas.openxmlformats.org/officeDocument/2006/relationships/hyperlink" Id="rId10" Target="https://arxiv.org/abs/1311.1509" TargetMode="External" /><Relationship Type="http://schemas.openxmlformats.org/officeDocument/2006/relationships/hyperlink" Id="rId35" Target="https://arxiv.org/abs/1402.5964" TargetMode="External" /><Relationship Type="http://schemas.openxmlformats.org/officeDocument/2006/relationships/hyperlink" Id="rId31" Target="https://arxiv.org/abs/1403.6146" TargetMode="External" /><Relationship Type="http://schemas.openxmlformats.org/officeDocument/2006/relationships/hyperlink" Id="rId52" Target="https://arxiv.org/abs/1406.6397" TargetMode="External" /><Relationship Type="http://schemas.openxmlformats.org/officeDocument/2006/relationships/hyperlink" Id="rId37" Target="https://arxiv.org/abs/1412.2436" TargetMode="External" /><Relationship Type="http://schemas.openxmlformats.org/officeDocument/2006/relationships/hyperlink" Id="rId56" Target="https://arxiv.org/abs/1505.02797" TargetMode="External" /><Relationship Type="http://schemas.openxmlformats.org/officeDocument/2006/relationships/hyperlink" Id="rId50" Target="https://arxiv.org/abs/1507.01004" TargetMode="External" /><Relationship Type="http://schemas.openxmlformats.org/officeDocument/2006/relationships/hyperlink" Id="rId38" Target="https://arxiv.org/abs/1608.05417" TargetMode="External" /><Relationship Type="http://schemas.openxmlformats.org/officeDocument/2006/relationships/hyperlink" Id="rId39" Target="https://arxiv.org/abs/1608.05418" TargetMode="External" /><Relationship Type="http://schemas.openxmlformats.org/officeDocument/2006/relationships/hyperlink" Id="rId58" Target="https://arxiv.org/abs/1905.05826" TargetMode="External" /><Relationship Type="http://schemas.openxmlformats.org/officeDocument/2006/relationships/hyperlink" Id="rId24" Target="https://arxiv.org/abs/1910.00597" TargetMode="External" /><Relationship Type="http://schemas.openxmlformats.org/officeDocument/2006/relationships/hyperlink" Id="rId13" Target="https://arxiv.org/abs/2009.01935" TargetMode="External" /><Relationship Type="http://schemas.openxmlformats.org/officeDocument/2006/relationships/hyperlink" Id="rId63" Target="https://arxiv.org/abs/2102.09733" TargetMode="External" /><Relationship Type="http://schemas.openxmlformats.org/officeDocument/2006/relationships/hyperlink" Id="rId61" Target="https://arxiv.org/abs/2210.03755" TargetMode="External" /><Relationship Type="http://schemas.openxmlformats.org/officeDocument/2006/relationships/hyperlink" Id="rId43" Target="https://arxiv.org/abs/2212.01402" TargetMode="External" /><Relationship Type="http://schemas.openxmlformats.org/officeDocument/2006/relationships/hyperlink" Id="rId45" Target="https://arxiv.org/abs/2510.02573" TargetMode="External" /><Relationship Type="http://schemas.openxmlformats.org/officeDocument/2006/relationships/hyperlink" Id="rId14" Target="https://arxiv.org/abs/2605.31412" TargetMode="External" /><Relationship Type="http://schemas.openxmlformats.org/officeDocument/2006/relationships/hyperlink" Id="rId12" Target="https://arxiv.org/abs/2608.04784" TargetMode="External" /><Relationship Type="http://schemas.openxmlformats.org/officeDocument/2006/relationships/hyperlink" Id="rId46" Target="https://arxiv.org/pdf/2608.04784" TargetMode="External" /><Relationship Type="http://schemas.openxmlformats.org/officeDocument/2006/relationships/hyperlink" Id="rId104" Target="https://doi.org/10.1088/0004-637X/772/2/119" TargetMode="External" /><Relationship Type="http://schemas.openxmlformats.org/officeDocument/2006/relationships/hyperlink" Id="rId97" Target="https://doi.org/10.1093/mnras/stac3594" TargetMode="External" /><Relationship Type="http://schemas.openxmlformats.org/officeDocument/2006/relationships/hyperlink" Id="rId105" Target="https://doi.org/10.1093/mnras/stad502" TargetMode="External" /><Relationship Type="http://schemas.openxmlformats.org/officeDocument/2006/relationships/hyperlink" Id="rId109" Target="https://doi.org/10.1093/mnras/staf2113" TargetMode="External" /><Relationship Type="http://schemas.openxmlformats.org/officeDocument/2006/relationships/hyperlink" Id="rId101" Target="https://doi.org/10.1093/mnras/stag1019" TargetMode="External" /><Relationship Type="http://schemas.openxmlformats.org/officeDocument/2006/relationships/hyperlink" Id="rId99" Target="https://doi.org/10.1093/mnras/stt083" TargetMode="External" /><Relationship Type="http://schemas.openxmlformats.org/officeDocument/2006/relationships/hyperlink" Id="rId100" Target="https://doi.org/10.1093/mnras/stu1142" TargetMode="External" /><Relationship Type="http://schemas.openxmlformats.org/officeDocument/2006/relationships/hyperlink" Id="rId96" Target="https://doi.org/10.1093/mnras/stv098" TargetMode="External" /><Relationship Type="http://schemas.openxmlformats.org/officeDocument/2006/relationships/hyperlink" Id="rId98" Target="https://doi.org/10.1093/mnras/stv967" TargetMode="External" /><Relationship Type="http://schemas.openxmlformats.org/officeDocument/2006/relationships/hyperlink" Id="rId102" Target="https://doi.org/10.1093/mnras/stw1993" TargetMode="External" /><Relationship Type="http://schemas.openxmlformats.org/officeDocument/2006/relationships/hyperlink" Id="rId103" Target="https://doi.org/10.1093/mnras/stw2091" TargetMode="External" /><Relationship Type="http://schemas.openxmlformats.org/officeDocument/2006/relationships/hyperlink" Id="rId106" Target="https://doi.org/10.1111/j.1365-2966.2010.17291.x" TargetMode="External" /><Relationship Type="http://schemas.openxmlformats.org/officeDocument/2006/relationships/hyperlink" Id="rId40" Target="https://doi.org/10.1111/j.1365-2966.2012.22055.x" TargetMode="External" /><Relationship Type="http://schemas.openxmlformats.org/officeDocument/2006/relationships/hyperlink" Id="rId108" Target="https://doi.org/10.3847/1538-4357/abe413" TargetMode="External" /><Relationship Type="http://schemas.openxmlformats.org/officeDocument/2006/relationships/hyperlink" Id="rId107" Target="https://doi.org/10.3847/2041-8213/ab218d" TargetMode="External" /><Relationship Type="http://schemas.openxmlformats.org/officeDocument/2006/relationships/hyperlink" Id="rId33" Target="https://www.mso.anu.edu.au/~krumholz/publications/2014/forbes14a.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Models of the FMR, rFMR, and gFMR</dc:title>
  <dc:creator/>
  <dc:language>en-AU</dc:language>
  <cp:keywords/>
  <dcterms:created xsi:type="dcterms:W3CDTF">2026-08-13T02:25:10Z</dcterms:created>
  <dcterms:modified xsi:type="dcterms:W3CDTF">2026-08-13T02:25:10Z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August 2026</vt:lpwstr>
  </property>
  <property fmtid="{D5CDD505-2E9C-101B-9397-08002B2CF9AE}" pid="3" name="subtitle">
    <vt:lpwstr>A physics-first literature review and a two-driver route to positive SFR–metallicity correlations at fixed mass</vt:lpwstr>
  </property>
  <property fmtid="{D5CDD505-2E9C-101B-9397-08002B2CF9AE}" pid="4" name="toc">
    <vt:lpwstr>True</vt:lpwstr>
  </property>
  <property fmtid="{D5CDD505-2E9C-101B-9397-08002B2CF9AE}" pid="5" name="toc-depth">
    <vt:lpwstr>3</vt:lpwstr>
  </property>
</Properties>
</file>