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青岚工作室新品发布项目方案</w:t>
      </w:r>
    </w:p>
    <w:p>
      <w:r>
        <w:t>版本：v1.0｜日期：2026-09-30｜受众：管理层与项目团队</w:t>
      </w:r>
    </w:p>
    <w:p>
      <w:pPr>
        <w:pStyle w:val="Heading1"/>
      </w:pPr>
      <w:r>
        <w:t>项目目标</w:t>
      </w:r>
    </w:p>
    <w:p>
      <w:r>
        <w:t>在 2026 年第四季度完成新品发布，提升客户试用转化并建立可复用的发布流程。</w:t>
      </w:r>
    </w:p>
    <w:p>
      <w:pPr>
        <w:pStyle w:val="Heading1"/>
      </w:pPr>
      <w:r>
        <w:t>方案范围</w:t>
      </w:r>
    </w:p>
    <w:p>
      <w:r>
        <w:t>覆盖需求确认、产品设计、渠道准备、灰度发布和复盘五个阶段。</w:t>
      </w:r>
    </w:p>
    <w:p>
      <w:pPr>
        <w:pStyle w:val="Heading1"/>
      </w:pPr>
      <w:r>
        <w:t>关键里程碑</w:t>
      </w:r>
    </w:p>
    <w:p>
      <w:r>
        <w:t>需求确认：已完成；设计评审：2026-10-09；灰度发布：2026-10-23；正式发布：2026-11-06。</w:t>
      </w:r>
    </w:p>
    <w:p>
      <w:pPr>
        <w:pStyle w:val="Heading1"/>
      </w:pPr>
      <w:r>
        <w:t>主要风险</w:t>
      </w:r>
    </w:p>
    <w:p>
      <w:r>
        <w:t>设计资源不足；渠道素材审批周期不确定；埋点口径需在灰度前确认。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