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ind w:hanging="0" w:start="0"/>
        <w:rPr>
          <w:rFonts w:ascii="FreeSans" w:hAnsi="FreeSans"/>
          <w:sz w:val="24"/>
          <w:szCs w:val="24"/>
        </w:rPr>
      </w:pPr>
      <w:r>
        <w:rPr>
          <w:rFonts w:cs="Times New Roman" w:ascii="FreeSans" w:hAnsi="FreeSans"/>
          <w:b/>
          <w:bCs/>
          <w:sz w:val="24"/>
          <w:szCs w:val="24"/>
        </w:rPr>
        <w:t>Оп</w:t>
      </w:r>
      <w:r>
        <w:rPr>
          <w:rFonts w:cs="Times New Roman" w:ascii="FreeSans" w:hAnsi="FreeSans"/>
          <w:b/>
          <w:bCs/>
          <w:sz w:val="24"/>
          <w:szCs w:val="24"/>
        </w:rPr>
        <w:t>исать</w:t>
      </w:r>
      <w:r>
        <w:rPr>
          <w:rFonts w:cs="Times New Roman" w:ascii="FreeSans" w:hAnsi="FreeSans"/>
          <w:b/>
          <w:bCs/>
          <w:sz w:val="24"/>
          <w:szCs w:val="24"/>
        </w:rPr>
        <w:t xml:space="preserve"> варианты использования в соответствии с требованиями 1-11</w:t>
      </w:r>
      <w:r>
        <w:rPr>
          <w:rFonts w:ascii="FreeSans" w:hAnsi="FreeSans"/>
          <w:sz w:val="24"/>
          <w:szCs w:val="24"/>
        </w:rPr>
        <w:t> </w:t>
      </w:r>
      <w:r>
        <w:rPr>
          <w:rFonts w:ascii="FreeSans" w:hAnsi="FreeSans"/>
          <w:b/>
          <w:sz w:val="24"/>
          <w:szCs w:val="24"/>
        </w:rPr>
        <w:t>ex.00.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UC SLCT. Выбрать услугу мастера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Основное действующее лицо (Actor)</w:t>
      </w:r>
      <w:r>
        <w:rPr>
          <w:rFonts w:ascii="FreeSans" w:hAnsi="FreeSans"/>
          <w:sz w:val="24"/>
          <w:szCs w:val="24"/>
        </w:rPr>
        <w:t xml:space="preserve"> – Клиент.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Бизнес-цель</w:t>
      </w:r>
      <w:r>
        <w:rPr>
          <w:rFonts w:ascii="FreeSans" w:hAnsi="FreeSans"/>
          <w:sz w:val="24"/>
          <w:szCs w:val="24"/>
        </w:rPr>
        <w:t xml:space="preserve"> – получение необходимой услуги.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Цель UC</w:t>
      </w:r>
      <w:r>
        <w:rPr>
          <w:rFonts w:ascii="FreeSans" w:hAnsi="FreeSans"/>
          <w:sz w:val="24"/>
          <w:szCs w:val="24"/>
        </w:rPr>
        <w:t xml:space="preserve"> – Выбрать подходящую услугу и мастера.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Идентификатор и название</w:t>
      </w:r>
      <w:r>
        <w:rPr>
          <w:rFonts w:ascii="FreeSans" w:hAnsi="FreeSans"/>
          <w:sz w:val="24"/>
          <w:szCs w:val="24"/>
        </w:rPr>
        <w:t xml:space="preserve"> – SLCT. Выбрать услугу мастера.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Роль и интерес актора</w:t>
      </w:r>
      <w:r>
        <w:rPr>
          <w:rFonts w:ascii="FreeSans" w:hAnsi="FreeSans"/>
          <w:sz w:val="24"/>
          <w:szCs w:val="24"/>
        </w:rPr>
        <w:t xml:space="preserve"> – Подобрать услугу и мастера, которые наилучшим образом соответствуют его запросу (цена, качество, специализация).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Другие заинтересованные стороны</w:t>
      </w:r>
      <w:r>
        <w:rPr>
          <w:rFonts w:ascii="FreeSans" w:hAnsi="FreeSans"/>
          <w:sz w:val="24"/>
          <w:szCs w:val="24"/>
        </w:rPr>
        <w:t xml:space="preserve"> – мастер: оказать выбранную клиентом услугу в соответствии с запросом; менеджер/администратор: осуществить контроль выбора услуги; директор сети: развить бизнес за счет автоматизации записи.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Предусловия</w:t>
      </w:r>
      <w:r>
        <w:rPr>
          <w:rFonts w:ascii="FreeSans" w:hAnsi="FreeSans"/>
          <w:sz w:val="24"/>
          <w:szCs w:val="24"/>
        </w:rPr>
        <w:t xml:space="preserve"> – у клиента открыт интерфейс записи на услугу (сайт/мобильное приложение), сформирован список услуг и мастеров.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Триггер</w:t>
      </w:r>
      <w:r>
        <w:rPr>
          <w:rFonts w:ascii="FreeSans" w:hAnsi="FreeSans"/>
          <w:sz w:val="24"/>
          <w:szCs w:val="24"/>
        </w:rPr>
        <w:t xml:space="preserve"> – Клиент нажимает кнопку «Выбрать услугу» на сайте.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Постусловия: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Минимальные гарантии:</w:t>
      </w:r>
      <w:r>
        <w:rPr>
          <w:rFonts w:ascii="FreeSans" w:hAnsi="FreeSans"/>
          <w:sz w:val="24"/>
          <w:szCs w:val="24"/>
        </w:rPr>
        <w:t xml:space="preserve"> Система отображает уведомление об ошибке, если не может загрузить каталог. Данные фильтров (если пользователь их применял) не сбрасываются.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Гарантии успеха:</w:t>
      </w:r>
      <w:r>
        <w:rPr>
          <w:rFonts w:ascii="FreeSans" w:hAnsi="FreeSans"/>
          <w:sz w:val="24"/>
          <w:szCs w:val="24"/>
        </w:rPr>
        <w:t xml:space="preserve"> Выбор клиента (услуга и/или мастер) зафиксирован в системе (например, в сессии или как черновик записи). Система готова к переходу на следующий шаг — бронирование слота.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UC BKNG. Забронировать выбранную услугу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Основное действующее лицо (Actor)</w:t>
      </w:r>
      <w:r>
        <w:rPr>
          <w:rFonts w:ascii="FreeSans" w:hAnsi="FreeSans"/>
          <w:sz w:val="24"/>
          <w:szCs w:val="24"/>
        </w:rPr>
        <w:t xml:space="preserve"> – Клиент.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Бизнес-цель</w:t>
      </w:r>
      <w:r>
        <w:rPr>
          <w:rFonts w:ascii="FreeSans" w:hAnsi="FreeSans"/>
          <w:sz w:val="24"/>
          <w:szCs w:val="24"/>
        </w:rPr>
        <w:t xml:space="preserve"> – получение необходимой услуги.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Цель UC</w:t>
      </w:r>
      <w:r>
        <w:rPr>
          <w:rFonts w:ascii="FreeSans" w:hAnsi="FreeSans"/>
          <w:sz w:val="24"/>
          <w:szCs w:val="24"/>
        </w:rPr>
        <w:t xml:space="preserve"> – Получить нужную услугу в удобное время.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Идентификатор и название</w:t>
      </w:r>
      <w:r>
        <w:rPr>
          <w:rFonts w:ascii="FreeSans" w:hAnsi="FreeSans"/>
          <w:sz w:val="24"/>
          <w:szCs w:val="24"/>
        </w:rPr>
        <w:t xml:space="preserve"> – BKNG. Забронировать выбранную услугу.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Роль и интерес актора</w:t>
      </w:r>
      <w:r>
        <w:rPr>
          <w:rFonts w:ascii="FreeSans" w:hAnsi="FreeSans"/>
          <w:sz w:val="24"/>
          <w:szCs w:val="24"/>
        </w:rPr>
        <w:t xml:space="preserve"> – Быстро и без ошибок записаться на нужную услугу в удобное время.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Другие заинтересованные стороны</w:t>
      </w:r>
      <w:r>
        <w:rPr>
          <w:rFonts w:ascii="FreeSans" w:hAnsi="FreeSans"/>
          <w:sz w:val="24"/>
          <w:szCs w:val="24"/>
        </w:rPr>
        <w:t xml:space="preserve"> – мастер: оказать услугу в доступный слот без накладок по времени; менеджер/администратор: осуществить контроль бронирования услуги; директор сети: развить бизнес за счет автоматизации записи.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Предусловия</w:t>
      </w:r>
      <w:r>
        <w:rPr>
          <w:rFonts w:ascii="FreeSans" w:hAnsi="FreeSans"/>
          <w:sz w:val="24"/>
          <w:szCs w:val="24"/>
        </w:rPr>
        <w:t xml:space="preserve"> – у клиента открыт интерфейс записи на услугу (сайт/мобильное приложение), сформировано расписание мастеров на интересующий клиента день.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Триггер</w:t>
      </w:r>
      <w:r>
        <w:rPr>
          <w:rFonts w:ascii="FreeSans" w:hAnsi="FreeSans"/>
          <w:sz w:val="24"/>
          <w:szCs w:val="24"/>
        </w:rPr>
        <w:t xml:space="preserve"> – Клиент нажимает кнопку «Записаться» на сайте.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Постусловия: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Минимальные гарантии:</w:t>
      </w:r>
      <w:r>
        <w:rPr>
          <w:rFonts w:ascii="FreeSans" w:hAnsi="FreeSans"/>
          <w:sz w:val="24"/>
          <w:szCs w:val="24"/>
        </w:rPr>
        <w:t xml:space="preserve"> Данные, введенные пользователем на последнем шаге, автоматически сохраняются в черновике на 1 час. Даже при сбое система не превысит установленные лимиты (например, не забронирует мастеру больше 8 часов в день, даже если из-за ошибки счётчик не обновился).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Гарантии успеха:</w:t>
      </w:r>
      <w:r>
        <w:rPr>
          <w:rFonts w:ascii="FreeSans" w:hAnsi="FreeSans"/>
          <w:sz w:val="24"/>
          <w:szCs w:val="24"/>
        </w:rPr>
        <w:t xml:space="preserve"> Запись клиента внесена в систему и отображена в расписании мастера, временной слот помечен как «занятый».</w:t>
      </w:r>
    </w:p>
    <w:p>
      <w:pPr>
        <w:pStyle w:val="BodyText"/>
        <w:numPr>
          <w:ilvl w:val="0"/>
          <w:numId w:val="0"/>
        </w:numPr>
        <w:ind w:hanging="0" w:start="0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Выдели отдельный (-ые) UC со связью «включение» (include) или</w:t>
      </w:r>
      <w:r>
        <w:rPr>
          <w:rFonts w:ascii="FreeSans" w:hAnsi="FreeSans"/>
          <w:sz w:val="24"/>
          <w:szCs w:val="24"/>
        </w:rPr>
        <w:t> </w:t>
      </w:r>
      <w:r>
        <w:rPr>
          <w:rFonts w:ascii="FreeSans" w:hAnsi="FreeSans"/>
          <w:b/>
          <w:sz w:val="24"/>
          <w:szCs w:val="24"/>
        </w:rPr>
        <w:t>«расширение» (extend). Укажи тип связи для каждого выделенного UC.</w:t>
      </w:r>
    </w:p>
    <w:p>
      <w:pPr>
        <w:pStyle w:val="BodyText"/>
        <w:rPr>
          <w:rFonts w:ascii="FreeSans" w:hAnsi="FreeSans"/>
          <w:b/>
          <w:bCs/>
          <w:sz w:val="24"/>
          <w:szCs w:val="24"/>
        </w:rPr>
      </w:pPr>
      <w:r>
        <w:rPr>
          <w:rFonts w:ascii="FreeSans" w:hAnsi="FreeSans"/>
          <w:b/>
          <w:bCs/>
          <w:sz w:val="24"/>
          <w:szCs w:val="24"/>
        </w:rPr>
        <w:t>Связи: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b/>
          <w:bCs/>
          <w:sz w:val="24"/>
          <w:szCs w:val="24"/>
        </w:rPr>
      </w:pPr>
      <w:r>
        <w:rPr>
          <w:rFonts w:ascii="FreeSans" w:hAnsi="FreeSans"/>
          <w:b/>
          <w:bCs/>
          <w:sz w:val="24"/>
          <w:szCs w:val="24"/>
        </w:rPr>
        <w:t>Включение (include):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UC BKNG. Забронировать выбранную услугу включает UC SLCT. Выбрать услугу мастера.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b/>
          <w:bCs/>
          <w:sz w:val="24"/>
          <w:szCs w:val="24"/>
        </w:rPr>
      </w:pPr>
      <w:r>
        <w:rPr>
          <w:rFonts w:ascii="FreeSans" w:hAnsi="FreeSans"/>
          <w:b/>
          <w:bCs/>
          <w:sz w:val="24"/>
          <w:szCs w:val="24"/>
        </w:rPr>
        <w:t>Расширение (extend):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UC BKNG. Забронировать выбранную услугу может быть расширен: a) UC PAY. Оплатить онлайн (при условии, что для услуги доступна предоплата). b) UC ADD_OPT. Выбрать дополнительные опции (при условии, что для услуги есть дополнительные опции).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start="1418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Результат UC BKNG (сущность «Запись») может быть расширен: a) UC CANCEL. Отменить запись (при условии, что клиент решил отменить визит).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ind w:start="360"/>
        <w:rPr>
          <w:rFonts w:ascii="FreeSans" w:hAnsi="FreeSans" w:cs="Times New Roman"/>
          <w:sz w:val="24"/>
          <w:szCs w:val="24"/>
        </w:rPr>
      </w:pPr>
      <w:r>
        <w:rPr>
          <w:rFonts w:cs="Times New Roman" w:ascii="FreeSans" w:hAnsi="FreeSans"/>
          <w:sz w:val="24"/>
          <w:szCs w:val="24"/>
        </w:rPr>
      </w:r>
    </w:p>
    <w:p>
      <w:pPr>
        <w:pStyle w:val="Normal"/>
        <w:ind w:start="360"/>
        <w:rPr>
          <w:rFonts w:ascii="FreeSans" w:hAnsi="FreeSans" w:cs="Times New Roman"/>
          <w:sz w:val="28"/>
          <w:szCs w:val="28"/>
        </w:rPr>
      </w:pPr>
      <w:r>
        <w:rPr>
          <w:rFonts w:cs="Times New Roman" w:ascii="FreeSans" w:hAnsi="FreeSans"/>
          <w:sz w:val="28"/>
          <w:szCs w:val="28"/>
        </w:rPr>
      </w:r>
    </w:p>
    <w:p>
      <w:pPr>
        <w:pStyle w:val="Normal"/>
        <w:ind w:start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imbus Sans">
    <w:charset w:val="01" w:characterSet="utf-8"/>
    <w:family w:val="swiss"/>
    <w:pitch w:val="variable"/>
  </w:font>
  <w:font w:name="Nimbus Mono PS">
    <w:charset w:val="01" w:characterSet="utf-8"/>
    <w:family w:val="modern"/>
    <w:pitch w:val="fixed"/>
  </w:font>
  <w:font w:name="FreeSans">
    <w:charset w:val="01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615a5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15a5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15a5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15a5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15a5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15a5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15a5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15a5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15a5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15a5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615a5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615a5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615a51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615a51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615a51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615a51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615a51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615a51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615a5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615a5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15a5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15a51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15a5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15a51"/>
    <w:rPr>
      <w:b/>
      <w:bCs/>
      <w:smallCaps/>
      <w:color w:themeColor="accent1" w:themeShade="bf" w:val="2F5496"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615a5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15a5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15a5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15a5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15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imbus Mono PS" w:hAnsi="Nimbus Mono PS" w:eastAsia="Nimbus Mono PS" w:cs="Free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56340-ACA7-4982-BBC9-8454B8A61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LibreOffice/26.2.1.2$Linux_X86_64 LibreOffice_project/620$Build-2</Application>
  <AppVersion>15.0000</AppVersion>
  <Pages>2</Pages>
  <Words>415</Words>
  <Characters>2660</Characters>
  <CharactersWithSpaces>3033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2025-09-15T21:34:00Z</dcterms:created>
  <dc:creator>Дарья Гончарова</dc:creator>
  <dc:description/>
  <dc:language>ru-RU</dc:language>
  <cp:lastModifiedBy/>
  <dcterms:modified xsi:type="dcterms:W3CDTF">2026-03-22T12:13:08Z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