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2qfl0fj2ecu3" w:id="0"/>
      <w:bookmarkEnd w:id="0"/>
      <w:r w:rsidDel="00000000" w:rsidR="00000000" w:rsidRPr="00000000">
        <w:rPr>
          <w:rtl w:val="0"/>
        </w:rPr>
        <w:t xml:space="preserve">Information Technology Policy Manual</w:t>
      </w:r>
    </w:p>
    <w:p w:rsidR="00000000" w:rsidDel="00000000" w:rsidP="00000000" w:rsidRDefault="00000000" w:rsidRPr="00000000" w14:paraId="00000002">
      <w:pPr>
        <w:pStyle w:val="Heading1"/>
        <w:rPr>
          <w:rFonts w:ascii="Times New Roman" w:cs="Times New Roman" w:eastAsia="Times New Roman" w:hAnsi="Times New Roman"/>
          <w:sz w:val="24"/>
          <w:szCs w:val="24"/>
        </w:rPr>
      </w:pPr>
      <w:bookmarkStart w:colFirst="0" w:colLast="0" w:name="_58sgztbvatfo"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zn84fh4xzxk">
            <w:r w:rsidDel="00000000" w:rsidR="00000000" w:rsidRPr="00000000">
              <w:rPr>
                <w:b w:val="0"/>
                <w:color w:val="1155cc"/>
                <w:u w:val="single"/>
                <w:rtl w:val="0"/>
              </w:rPr>
              <w:t xml:space="preserve">1. Purpose and Scope</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b3vhd9ew6a80">
            <w:r w:rsidDel="00000000" w:rsidR="00000000" w:rsidRPr="00000000">
              <w:rPr>
                <w:b w:val="0"/>
                <w:color w:val="1155cc"/>
                <w:u w:val="single"/>
                <w:rtl w:val="0"/>
              </w:rPr>
              <w:t xml:space="preserve">2. Backup and Disaster Recovery Policy</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ncxdyd5eoj83">
            <w:r w:rsidDel="00000000" w:rsidR="00000000" w:rsidRPr="00000000">
              <w:rPr>
                <w:color w:val="1155cc"/>
                <w:u w:val="single"/>
                <w:rtl w:val="0"/>
              </w:rPr>
              <w:t xml:space="preserve">2.1 Purpose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en5wyx4kgsg">
            <w:r w:rsidDel="00000000" w:rsidR="00000000" w:rsidRPr="00000000">
              <w:rPr>
                <w:color w:val="1155cc"/>
                <w:u w:val="single"/>
                <w:rtl w:val="0"/>
              </w:rPr>
              <w:t xml:space="preserve">2.2 Backup Policy</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vh8i2ulimgc0">
            <w:r w:rsidDel="00000000" w:rsidR="00000000" w:rsidRPr="00000000">
              <w:rPr>
                <w:color w:val="1155cc"/>
                <w:u w:val="single"/>
                <w:rtl w:val="0"/>
              </w:rPr>
              <w:t xml:space="preserve">2.3 Disaster Recovery Policy</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yk1rrq6k95o3">
            <w:r w:rsidDel="00000000" w:rsidR="00000000" w:rsidRPr="00000000">
              <w:rPr>
                <w:color w:val="1155cc"/>
                <w:u w:val="single"/>
                <w:rtl w:val="0"/>
              </w:rPr>
              <w:t xml:space="preserve">3. User Setup and Termination Policy</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t93029s24nz7">
            <w:r w:rsidDel="00000000" w:rsidR="00000000" w:rsidRPr="00000000">
              <w:rPr>
                <w:color w:val="1155cc"/>
                <w:u w:val="single"/>
                <w:rtl w:val="0"/>
              </w:rPr>
              <w:t xml:space="preserve">3.1 Purpose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xhtlmgqc8mwp">
            <w:r w:rsidDel="00000000" w:rsidR="00000000" w:rsidRPr="00000000">
              <w:rPr>
                <w:color w:val="1155cc"/>
                <w:u w:val="single"/>
                <w:rtl w:val="0"/>
              </w:rPr>
              <w:t xml:space="preserve">3.2 User Setup</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ck2xnvg7hwp4">
            <w:r w:rsidDel="00000000" w:rsidR="00000000" w:rsidRPr="00000000">
              <w:rPr>
                <w:color w:val="1155cc"/>
                <w:u w:val="single"/>
                <w:rtl w:val="0"/>
              </w:rPr>
              <w:t xml:space="preserve">3.3 User Termination</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xm898v9mk7kp">
            <w:r w:rsidDel="00000000" w:rsidR="00000000" w:rsidRPr="00000000">
              <w:rPr>
                <w:b w:val="0"/>
                <w:color w:val="1155cc"/>
                <w:u w:val="single"/>
                <w:rtl w:val="0"/>
              </w:rPr>
              <w:t xml:space="preserve">4. Physical and Logical Security Policy</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rwxofykdel3r">
            <w:r w:rsidDel="00000000" w:rsidR="00000000" w:rsidRPr="00000000">
              <w:rPr>
                <w:color w:val="1155cc"/>
                <w:u w:val="single"/>
                <w:rtl w:val="0"/>
              </w:rPr>
              <w:t xml:space="preserve">4.1 Purpose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ybhm75tdr8yy">
            <w:r w:rsidDel="00000000" w:rsidR="00000000" w:rsidRPr="00000000">
              <w:rPr>
                <w:color w:val="1155cc"/>
                <w:u w:val="single"/>
                <w:rtl w:val="0"/>
              </w:rPr>
              <w:t xml:space="preserve">4.2 Physical Security</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brasiful3agn">
            <w:r w:rsidDel="00000000" w:rsidR="00000000" w:rsidRPr="00000000">
              <w:rPr>
                <w:color w:val="1155cc"/>
                <w:u w:val="single"/>
                <w:rtl w:val="0"/>
              </w:rPr>
              <w:t xml:space="preserve">4.3 Logical Security</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jmklebmll0jv">
            <w:r w:rsidDel="00000000" w:rsidR="00000000" w:rsidRPr="00000000">
              <w:rPr>
                <w:b w:val="0"/>
                <w:color w:val="1155cc"/>
                <w:u w:val="single"/>
                <w:rtl w:val="0"/>
              </w:rPr>
              <w:t xml:space="preserve">5. Cybersecurity Policy</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uxjpxs7j2c6">
            <w:r w:rsidDel="00000000" w:rsidR="00000000" w:rsidRPr="00000000">
              <w:rPr>
                <w:color w:val="1155cc"/>
                <w:u w:val="single"/>
                <w:rtl w:val="0"/>
              </w:rPr>
              <w:t xml:space="preserve">5.1 Purpose</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6sw1fobmkt9e">
            <w:r w:rsidDel="00000000" w:rsidR="00000000" w:rsidRPr="00000000">
              <w:rPr>
                <w:color w:val="1155cc"/>
                <w:u w:val="single"/>
                <w:rtl w:val="0"/>
              </w:rPr>
              <w:t xml:space="preserve">5.2 Threat Monitoring and Prevention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q4084wh135b1">
            <w:r w:rsidDel="00000000" w:rsidR="00000000" w:rsidRPr="00000000">
              <w:rPr>
                <w:color w:val="1155cc"/>
                <w:u w:val="single"/>
                <w:rtl w:val="0"/>
              </w:rPr>
              <w:t xml:space="preserve">5.3 Incident Response</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sx6ob1j5kz8z">
            <w:r w:rsidDel="00000000" w:rsidR="00000000" w:rsidRPr="00000000">
              <w:rPr>
                <w:color w:val="1155cc"/>
                <w:u w:val="single"/>
                <w:rtl w:val="0"/>
              </w:rPr>
              <w:t xml:space="preserve">5.4 Employee Awareness and Training</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xl5c3oei32ky">
            <w:r w:rsidDel="00000000" w:rsidR="00000000" w:rsidRPr="00000000">
              <w:rPr>
                <w:color w:val="1155cc"/>
                <w:u w:val="single"/>
                <w:rtl w:val="0"/>
              </w:rPr>
              <w:t xml:space="preserve">5.5 Vendor Security</w:t>
            </w:r>
          </w:hyperlink>
          <w:r w:rsidDel="00000000" w:rsidR="00000000" w:rsidRPr="00000000">
            <w:rPr>
              <w:rtl w:val="0"/>
            </w:rPr>
          </w:r>
        </w:p>
        <w:p w:rsidR="00000000" w:rsidDel="00000000" w:rsidP="00000000" w:rsidRDefault="00000000" w:rsidRPr="00000000" w14:paraId="00000016">
          <w:pPr>
            <w:widowControl w:val="0"/>
            <w:spacing w:before="60" w:line="240" w:lineRule="auto"/>
            <w:rPr>
              <w:b w:val="0"/>
              <w:color w:val="1155cc"/>
              <w:u w:val="single"/>
            </w:rPr>
          </w:pPr>
          <w:hyperlink w:anchor="_z5aig0qjvklu">
            <w:r w:rsidDel="00000000" w:rsidR="00000000" w:rsidRPr="00000000">
              <w:rPr>
                <w:b w:val="0"/>
                <w:color w:val="1155cc"/>
                <w:u w:val="single"/>
                <w:rtl w:val="0"/>
              </w:rPr>
              <w:t xml:space="preserve">6. Compliance and Enforcement</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4nzzl4qj63bm">
            <w:r w:rsidDel="00000000" w:rsidR="00000000" w:rsidRPr="00000000">
              <w:rPr>
                <w:color w:val="1155cc"/>
                <w:u w:val="single"/>
                <w:rtl w:val="0"/>
              </w:rPr>
              <w:t xml:space="preserve">6.1 Audits and Compliance</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c6d88rv7xfuf">
            <w:r w:rsidDel="00000000" w:rsidR="00000000" w:rsidRPr="00000000">
              <w:rPr>
                <w:color w:val="1155cc"/>
                <w:u w:val="single"/>
                <w:rtl w:val="0"/>
              </w:rPr>
              <w:t xml:space="preserve">6.2 Non-Compliance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b w:val="1"/>
          <w:sz w:val="24"/>
          <w:szCs w:val="24"/>
        </w:rPr>
      </w:pPr>
      <w:bookmarkStart w:colFirst="0" w:colLast="0" w:name="_3zn84fh4xzxk" w:id="2"/>
      <w:bookmarkEnd w:id="2"/>
      <w:r w:rsidDel="00000000" w:rsidR="00000000" w:rsidRPr="00000000">
        <w:rPr>
          <w:rtl w:val="0"/>
        </w:rPr>
        <w:t xml:space="preserve">1. Purpose and Scope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Technology (IT) Policy Manual outlines the policies and procedures for managing IT systems and assets to ensure efficient, secure, and compliant operations. It applies to all employees, contractors, and third-party vendors who interact with the company’s IT systems, including but not limited to hardware, software, networks, and data.</w:t>
      </w:r>
    </w:p>
    <w:p w:rsidR="00000000" w:rsidDel="00000000" w:rsidP="00000000" w:rsidRDefault="00000000" w:rsidRPr="00000000" w14:paraId="0000001E">
      <w:pPr>
        <w:pStyle w:val="Heading1"/>
        <w:rPr/>
      </w:pPr>
      <w:bookmarkStart w:colFirst="0" w:colLast="0" w:name="_b3vhd9ew6a80" w:id="3"/>
      <w:bookmarkEnd w:id="3"/>
      <w:r w:rsidDel="00000000" w:rsidR="00000000" w:rsidRPr="00000000">
        <w:rPr>
          <w:rtl w:val="0"/>
        </w:rPr>
        <w:t xml:space="preserve">2. Backup and Disaster Recovery Policy</w:t>
      </w:r>
    </w:p>
    <w:p w:rsidR="00000000" w:rsidDel="00000000" w:rsidP="00000000" w:rsidRDefault="00000000" w:rsidRPr="00000000" w14:paraId="0000001F">
      <w:pPr>
        <w:pStyle w:val="Heading2"/>
        <w:rPr/>
      </w:pPr>
      <w:bookmarkStart w:colFirst="0" w:colLast="0" w:name="_ncxdyd5eoj83" w:id="4"/>
      <w:bookmarkEnd w:id="4"/>
      <w:r w:rsidDel="00000000" w:rsidR="00000000" w:rsidRPr="00000000">
        <w:rPr>
          <w:rtl w:val="0"/>
        </w:rPr>
        <w:t xml:space="preserve">2.1 Purpose</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ensures that company data and critical systems are regularly backed up and can be recovered in the event of a disaster, minimizing downtime and data loss.</w:t>
      </w:r>
    </w:p>
    <w:p w:rsidR="00000000" w:rsidDel="00000000" w:rsidP="00000000" w:rsidRDefault="00000000" w:rsidRPr="00000000" w14:paraId="00000021">
      <w:pPr>
        <w:pStyle w:val="Heading2"/>
        <w:ind w:firstLine="720"/>
        <w:rPr/>
      </w:pPr>
      <w:bookmarkStart w:colFirst="0" w:colLast="0" w:name="_en5wyx4kgsg" w:id="5"/>
      <w:bookmarkEnd w:id="5"/>
      <w:r w:rsidDel="00000000" w:rsidR="00000000" w:rsidRPr="00000000">
        <w:rPr>
          <w:rtl w:val="0"/>
        </w:rPr>
        <w:t xml:space="preserve">2.2 Backup Policy</w:t>
      </w:r>
    </w:p>
    <w:p w:rsidR="00000000" w:rsidDel="00000000" w:rsidP="00000000" w:rsidRDefault="00000000" w:rsidRPr="00000000" w14:paraId="00000022">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All critical data and systems must be backed up at least daily. Non-critical data can be backed up weekly.</w:t>
      </w:r>
    </w:p>
    <w:p w:rsidR="00000000" w:rsidDel="00000000" w:rsidP="00000000" w:rsidRDefault="00000000" w:rsidRPr="00000000" w14:paraId="00000023">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Backups should be stored in multiple locations, including on-site for quick recovery and off-site or in the cloud for disaster recovery.</w:t>
      </w:r>
    </w:p>
    <w:p w:rsidR="00000000" w:rsidDel="00000000" w:rsidP="00000000" w:rsidRDefault="00000000" w:rsidRPr="00000000" w14:paraId="00000024">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Retention: Backups must be retained for a minimum of 90 days. Older backups may be archived for compliance or regulatory purposes.</w:t>
      </w:r>
    </w:p>
    <w:p w:rsidR="00000000" w:rsidDel="00000000" w:rsidP="00000000" w:rsidRDefault="00000000" w:rsidRPr="00000000" w14:paraId="00000025">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Disaster recovery plans and backup restore procedures must be tested semi-annually to ensure data can be successfully restored.</w:t>
      </w:r>
    </w:p>
    <w:p w:rsidR="00000000" w:rsidDel="00000000" w:rsidP="00000000" w:rsidRDefault="00000000" w:rsidRPr="00000000" w14:paraId="00000026">
      <w:pPr>
        <w:pStyle w:val="Heading2"/>
        <w:ind w:firstLine="720"/>
        <w:rPr/>
      </w:pPr>
      <w:bookmarkStart w:colFirst="0" w:colLast="0" w:name="_vh8i2ulimgc0" w:id="6"/>
      <w:bookmarkEnd w:id="6"/>
      <w:r w:rsidDel="00000000" w:rsidR="00000000" w:rsidRPr="00000000">
        <w:rPr>
          <w:rtl w:val="0"/>
        </w:rPr>
        <w:t xml:space="preserve">2.3 Disaster Recovery Policy</w:t>
      </w:r>
    </w:p>
    <w:p w:rsidR="00000000" w:rsidDel="00000000" w:rsidP="00000000" w:rsidRDefault="00000000" w:rsidRPr="00000000" w14:paraId="00000027">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Disaster Recovery Plan (DRP): A documented disaster recovery plan must be developed and reviewed annually. The plan should include detailed recovery procedures for critical systems, communication protocols, and roles/responsibilities.</w:t>
      </w:r>
    </w:p>
    <w:p w:rsidR="00000000" w:rsidDel="00000000" w:rsidP="00000000" w:rsidRDefault="00000000" w:rsidRPr="00000000" w14:paraId="00000028">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Recovery Time Objectives (RTO) &amp; Recovery Point Objectives (RPO): Define RTO and RPO for each critical system to ensure systems can be recovered within the acceptable time and data loss limits.</w:t>
      </w:r>
    </w:p>
    <w:p w:rsidR="00000000" w:rsidDel="00000000" w:rsidP="00000000" w:rsidRDefault="00000000" w:rsidRPr="00000000" w14:paraId="0000002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 Response: In the event of a disaster, an incident response team must be activated to manage the recovery process.</w:t>
      </w:r>
    </w:p>
    <w:p w:rsidR="00000000" w:rsidDel="00000000" w:rsidP="00000000" w:rsidRDefault="00000000" w:rsidRPr="00000000" w14:paraId="0000002A">
      <w:pPr>
        <w:pStyle w:val="Heading1"/>
        <w:rPr/>
      </w:pPr>
      <w:bookmarkStart w:colFirst="0" w:colLast="0" w:name="_yk1rrq6k95o3" w:id="7"/>
      <w:bookmarkEnd w:id="7"/>
      <w:r w:rsidDel="00000000" w:rsidR="00000000" w:rsidRPr="00000000">
        <w:rPr>
          <w:rtl w:val="0"/>
        </w:rPr>
        <w:t xml:space="preserve">3. User Setup and Termination Policy</w:t>
      </w:r>
    </w:p>
    <w:p w:rsidR="00000000" w:rsidDel="00000000" w:rsidP="00000000" w:rsidRDefault="00000000" w:rsidRPr="00000000" w14:paraId="0000002B">
      <w:pPr>
        <w:pStyle w:val="Heading2"/>
        <w:ind w:firstLine="720"/>
        <w:rPr/>
      </w:pPr>
      <w:bookmarkStart w:colFirst="0" w:colLast="0" w:name="_t93029s24nz7" w:id="8"/>
      <w:bookmarkEnd w:id="8"/>
      <w:r w:rsidDel="00000000" w:rsidR="00000000" w:rsidRPr="00000000">
        <w:rPr>
          <w:rtl w:val="0"/>
        </w:rPr>
        <w:t xml:space="preserve">3.1 Purpose</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governs the procedures for setting up new user accounts, modifying existing accounts, and terminating accounts to maintain security and data integrity.</w:t>
      </w:r>
    </w:p>
    <w:p w:rsidR="00000000" w:rsidDel="00000000" w:rsidP="00000000" w:rsidRDefault="00000000" w:rsidRPr="00000000" w14:paraId="0000002D">
      <w:pPr>
        <w:pStyle w:val="Heading2"/>
        <w:ind w:firstLine="720"/>
        <w:rPr/>
      </w:pPr>
      <w:bookmarkStart w:colFirst="0" w:colLast="0" w:name="_xhtlmgqc8mwp" w:id="9"/>
      <w:bookmarkEnd w:id="9"/>
      <w:r w:rsidDel="00000000" w:rsidR="00000000" w:rsidRPr="00000000">
        <w:rPr>
          <w:rtl w:val="0"/>
        </w:rPr>
        <w:t xml:space="preserve">3.2 User Setup</w:t>
      </w:r>
    </w:p>
    <w:p w:rsidR="00000000" w:rsidDel="00000000" w:rsidP="00000000" w:rsidRDefault="00000000" w:rsidRPr="00000000" w14:paraId="0000002E">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Authorization: All user accounts must be authorized by department heads and approved by IT management.</w:t>
      </w:r>
    </w:p>
    <w:p w:rsidR="00000000" w:rsidDel="00000000" w:rsidP="00000000" w:rsidRDefault="00000000" w:rsidRPr="00000000" w14:paraId="0000002F">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 Users should only be granted access to the systems and data necessary to perform their job functions (Principle of Least Privilege).</w:t>
      </w:r>
    </w:p>
    <w:p w:rsidR="00000000" w:rsidDel="00000000" w:rsidP="00000000" w:rsidRDefault="00000000" w:rsidRPr="00000000" w14:paraId="00000030">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Creation: User accounts must be created with unique identifiers and strong, complex passwords. Two-factor authentication (2FA) is required for all accounts with access to critical systems.</w:t>
      </w:r>
    </w:p>
    <w:p w:rsidR="00000000" w:rsidDel="00000000" w:rsidP="00000000" w:rsidRDefault="00000000" w:rsidRPr="00000000" w14:paraId="00000031">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New users must complete IT security training before accessing the network and systems.</w:t>
      </w:r>
    </w:p>
    <w:p w:rsidR="00000000" w:rsidDel="00000000" w:rsidP="00000000" w:rsidRDefault="00000000" w:rsidRPr="00000000" w14:paraId="00000032">
      <w:pPr>
        <w:pStyle w:val="Heading2"/>
        <w:ind w:firstLine="720"/>
        <w:rPr/>
      </w:pPr>
      <w:bookmarkStart w:colFirst="0" w:colLast="0" w:name="_ck2xnvg7hwp4" w:id="10"/>
      <w:bookmarkEnd w:id="10"/>
      <w:r w:rsidDel="00000000" w:rsidR="00000000" w:rsidRPr="00000000">
        <w:rPr>
          <w:rtl w:val="0"/>
        </w:rPr>
        <w:t xml:space="preserve">3.3 User Termination</w:t>
      </w:r>
    </w:p>
    <w:p w:rsidR="00000000" w:rsidDel="00000000" w:rsidP="00000000" w:rsidRDefault="00000000" w:rsidRPr="00000000" w14:paraId="0000003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Deactivation: Upon employee or contractor termination, user accounts must be deactivated immediately to prevent unauthorized access.</w:t>
      </w:r>
    </w:p>
    <w:p w:rsidR="00000000" w:rsidDel="00000000" w:rsidP="00000000" w:rsidRDefault="00000000" w:rsidRPr="00000000" w14:paraId="0000003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Revocation: Access to company networks, email, VPN, cloud services, and physical devices must be revoked within 24 hours of termination.</w:t>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Handling: Data and files owned or managed by terminated users must be transferred to their supervisor or archived as required by the company's data retention policy.</w:t>
      </w:r>
    </w:p>
    <w:p w:rsidR="00000000" w:rsidDel="00000000" w:rsidP="00000000" w:rsidRDefault="00000000" w:rsidRPr="00000000" w14:paraId="00000036">
      <w:pPr>
        <w:pStyle w:val="Heading1"/>
        <w:rPr>
          <w:rFonts w:ascii="Times New Roman" w:cs="Times New Roman" w:eastAsia="Times New Roman" w:hAnsi="Times New Roman"/>
          <w:sz w:val="24"/>
          <w:szCs w:val="24"/>
        </w:rPr>
      </w:pPr>
      <w:bookmarkStart w:colFirst="0" w:colLast="0" w:name="_xm898v9mk7kp" w:id="11"/>
      <w:bookmarkEnd w:id="11"/>
      <w:r w:rsidDel="00000000" w:rsidR="00000000" w:rsidRPr="00000000">
        <w:rPr>
          <w:rtl w:val="0"/>
        </w:rPr>
        <w:t xml:space="preserve">4. Physical and Logical Security Policy</w:t>
      </w:r>
      <w:r w:rsidDel="00000000" w:rsidR="00000000" w:rsidRPr="00000000">
        <w:rPr>
          <w:rtl w:val="0"/>
        </w:rPr>
      </w:r>
    </w:p>
    <w:p w:rsidR="00000000" w:rsidDel="00000000" w:rsidP="00000000" w:rsidRDefault="00000000" w:rsidRPr="00000000" w14:paraId="00000037">
      <w:pPr>
        <w:pStyle w:val="Heading2"/>
        <w:ind w:left="720" w:firstLine="0"/>
        <w:rPr/>
      </w:pPr>
      <w:bookmarkStart w:colFirst="0" w:colLast="0" w:name="_rwxofykdel3r" w:id="12"/>
      <w:bookmarkEnd w:id="12"/>
      <w:r w:rsidDel="00000000" w:rsidR="00000000" w:rsidRPr="00000000">
        <w:rPr>
          <w:rtl w:val="0"/>
        </w:rPr>
        <w:t xml:space="preserve">4.1 Purpose</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defines the requirements for protecting the company’s physical and digital assets from unauthorized access, tampering, or theft.</w:t>
      </w:r>
    </w:p>
    <w:p w:rsidR="00000000" w:rsidDel="00000000" w:rsidP="00000000" w:rsidRDefault="00000000" w:rsidRPr="00000000" w14:paraId="00000039">
      <w:pPr>
        <w:pStyle w:val="Heading2"/>
        <w:ind w:firstLine="720"/>
        <w:rPr/>
      </w:pPr>
      <w:bookmarkStart w:colFirst="0" w:colLast="0" w:name="_ybhm75tdr8yy" w:id="13"/>
      <w:bookmarkEnd w:id="13"/>
      <w:r w:rsidDel="00000000" w:rsidR="00000000" w:rsidRPr="00000000">
        <w:rPr>
          <w:rtl w:val="0"/>
        </w:rPr>
        <w:t xml:space="preserve">4.2 Physical Security</w:t>
      </w:r>
    </w:p>
    <w:p w:rsidR="00000000" w:rsidDel="00000000" w:rsidP="00000000" w:rsidRDefault="00000000" w:rsidRPr="00000000" w14:paraId="0000003A">
      <w:pPr>
        <w:numPr>
          <w:ilvl w:val="0"/>
          <w:numId w:val="7"/>
        </w:numPr>
        <w:ind w:left="1440" w:hanging="360"/>
        <w:rPr/>
      </w:pPr>
      <w:r w:rsidDel="00000000" w:rsidR="00000000" w:rsidRPr="00000000">
        <w:rPr>
          <w:rtl w:val="0"/>
        </w:rPr>
        <w:t xml:space="preserve">Access Control: Physical access to server rooms, data centers, and other sensitive areas must be restricted to authorized personnel only.</w:t>
      </w:r>
    </w:p>
    <w:p w:rsidR="00000000" w:rsidDel="00000000" w:rsidP="00000000" w:rsidRDefault="00000000" w:rsidRPr="00000000" w14:paraId="0000003B">
      <w:pPr>
        <w:numPr>
          <w:ilvl w:val="0"/>
          <w:numId w:val="7"/>
        </w:numPr>
        <w:ind w:left="1440" w:hanging="360"/>
        <w:rPr/>
      </w:pPr>
      <w:r w:rsidDel="00000000" w:rsidR="00000000" w:rsidRPr="00000000">
        <w:rPr>
          <w:rtl w:val="0"/>
        </w:rPr>
        <w:t xml:space="preserve">Surveillance: Security cameras must be installed at entry points of sensitive areas and monitored regularly.</w:t>
      </w:r>
    </w:p>
    <w:p w:rsidR="00000000" w:rsidDel="00000000" w:rsidP="00000000" w:rsidRDefault="00000000" w:rsidRPr="00000000" w14:paraId="0000003C">
      <w:pPr>
        <w:numPr>
          <w:ilvl w:val="0"/>
          <w:numId w:val="7"/>
        </w:numPr>
        <w:ind w:left="1440" w:hanging="360"/>
        <w:rPr/>
      </w:pPr>
      <w:r w:rsidDel="00000000" w:rsidR="00000000" w:rsidRPr="00000000">
        <w:rPr>
          <w:rtl w:val="0"/>
        </w:rPr>
        <w:t xml:space="preserve">Visitor Policy: Visitors to sensitive areas must be logged, and their access should be escorted by authorized personnel.</w:t>
      </w:r>
    </w:p>
    <w:p w:rsidR="00000000" w:rsidDel="00000000" w:rsidP="00000000" w:rsidRDefault="00000000" w:rsidRPr="00000000" w14:paraId="0000003D">
      <w:pPr>
        <w:numPr>
          <w:ilvl w:val="0"/>
          <w:numId w:val="7"/>
        </w:numPr>
        <w:ind w:left="1440" w:hanging="360"/>
        <w:rPr/>
      </w:pPr>
      <w:r w:rsidDel="00000000" w:rsidR="00000000" w:rsidRPr="00000000">
        <w:rPr>
          <w:rtl w:val="0"/>
        </w:rPr>
        <w:t xml:space="preserve">Device Security: All company laptops, workstations, and mobile devices must have encryption enabled and be physically secured when not in use (e.g., lockable cabinets or cable locks).</w:t>
      </w:r>
    </w:p>
    <w:p w:rsidR="00000000" w:rsidDel="00000000" w:rsidP="00000000" w:rsidRDefault="00000000" w:rsidRPr="00000000" w14:paraId="0000003E">
      <w:pPr>
        <w:pStyle w:val="Heading2"/>
        <w:ind w:firstLine="720"/>
        <w:rPr/>
      </w:pPr>
      <w:bookmarkStart w:colFirst="0" w:colLast="0" w:name="_brasiful3agn" w:id="14"/>
      <w:bookmarkEnd w:id="14"/>
      <w:r w:rsidDel="00000000" w:rsidR="00000000" w:rsidRPr="00000000">
        <w:rPr>
          <w:rtl w:val="0"/>
        </w:rPr>
        <w:t xml:space="preserve">4.3 Logical Security</w:t>
      </w:r>
    </w:p>
    <w:p w:rsidR="00000000" w:rsidDel="00000000" w:rsidP="00000000" w:rsidRDefault="00000000" w:rsidRPr="00000000" w14:paraId="0000003F">
      <w:pPr>
        <w:pStyle w:val="Heading3"/>
        <w:numPr>
          <w:ilvl w:val="0"/>
          <w:numId w:val="9"/>
        </w:numPr>
        <w:ind w:left="1440" w:hanging="360"/>
        <w:rPr/>
      </w:pPr>
      <w:bookmarkStart w:colFirst="0" w:colLast="0" w:name="_q833kaqpmm7g" w:id="15"/>
      <w:bookmarkEnd w:id="15"/>
      <w:r w:rsidDel="00000000" w:rsidR="00000000" w:rsidRPr="00000000">
        <w:rPr>
          <w:rtl w:val="0"/>
        </w:rPr>
        <w:t xml:space="preserve">Authentication: Multi-factor authentication (MFA) must be implemented for all critical systems and services.</w:t>
      </w:r>
    </w:p>
    <w:p w:rsidR="00000000" w:rsidDel="00000000" w:rsidP="00000000" w:rsidRDefault="00000000" w:rsidRPr="00000000" w14:paraId="00000040">
      <w:pPr>
        <w:numPr>
          <w:ilvl w:val="0"/>
          <w:numId w:val="9"/>
        </w:numPr>
        <w:ind w:left="1440" w:hanging="360"/>
        <w:rPr/>
      </w:pPr>
      <w:r w:rsidDel="00000000" w:rsidR="00000000" w:rsidRPr="00000000">
        <w:rPr>
          <w:rtl w:val="0"/>
        </w:rPr>
        <w:t xml:space="preserve">Password Management: Passwords must meet complexity requirements (minimum length, special characters, etc.), and users must change their passwords every 90 days.</w:t>
      </w:r>
    </w:p>
    <w:p w:rsidR="00000000" w:rsidDel="00000000" w:rsidP="00000000" w:rsidRDefault="00000000" w:rsidRPr="00000000" w14:paraId="00000041">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Lockout: After a predefined number of failed login attempts, user accounts must be locked to prevent brute force attacks.</w:t>
      </w:r>
    </w:p>
    <w:p w:rsidR="00000000" w:rsidDel="00000000" w:rsidP="00000000" w:rsidRDefault="00000000" w:rsidRPr="00000000" w14:paraId="0000004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 Sensitive data, both in transit and at rest, must be encrypted using industry-standard encryption algorithms.</w:t>
      </w:r>
    </w:p>
    <w:p w:rsidR="00000000" w:rsidDel="00000000" w:rsidP="00000000" w:rsidRDefault="00000000" w:rsidRPr="00000000" w14:paraId="00000043">
      <w:pPr>
        <w:pStyle w:val="Heading1"/>
        <w:rPr>
          <w:rFonts w:ascii="Times New Roman" w:cs="Times New Roman" w:eastAsia="Times New Roman" w:hAnsi="Times New Roman"/>
          <w:sz w:val="24"/>
          <w:szCs w:val="24"/>
        </w:rPr>
      </w:pPr>
      <w:bookmarkStart w:colFirst="0" w:colLast="0" w:name="_jmklebmll0jv" w:id="16"/>
      <w:bookmarkEnd w:id="16"/>
      <w:r w:rsidDel="00000000" w:rsidR="00000000" w:rsidRPr="00000000">
        <w:rPr>
          <w:rtl w:val="0"/>
        </w:rPr>
        <w:t xml:space="preserve">5. Cybersecurity Policy</w:t>
      </w:r>
      <w:r w:rsidDel="00000000" w:rsidR="00000000" w:rsidRPr="00000000">
        <w:rPr>
          <w:rtl w:val="0"/>
        </w:rPr>
      </w:r>
    </w:p>
    <w:p w:rsidR="00000000" w:rsidDel="00000000" w:rsidP="00000000" w:rsidRDefault="00000000" w:rsidRPr="00000000" w14:paraId="00000044">
      <w:pPr>
        <w:pStyle w:val="Heading2"/>
        <w:ind w:firstLine="720"/>
        <w:rPr/>
      </w:pPr>
      <w:bookmarkStart w:colFirst="0" w:colLast="0" w:name="_uxjpxs7j2c6" w:id="17"/>
      <w:bookmarkEnd w:id="17"/>
      <w:r w:rsidDel="00000000" w:rsidR="00000000" w:rsidRPr="00000000">
        <w:rPr>
          <w:rtl w:val="0"/>
        </w:rPr>
        <w:t xml:space="preserve">5.1 Purpose</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aims to protect the company’s digital infrastructure, networks, and data from cyber threats, including malware, phishing, and unauthorized access.</w:t>
      </w:r>
    </w:p>
    <w:p w:rsidR="00000000" w:rsidDel="00000000" w:rsidP="00000000" w:rsidRDefault="00000000" w:rsidRPr="00000000" w14:paraId="00000046">
      <w:pPr>
        <w:pStyle w:val="Heading2"/>
        <w:ind w:firstLine="720"/>
        <w:rPr/>
      </w:pPr>
      <w:bookmarkStart w:colFirst="0" w:colLast="0" w:name="_6sw1fobmkt9e" w:id="18"/>
      <w:bookmarkEnd w:id="18"/>
      <w:r w:rsidDel="00000000" w:rsidR="00000000" w:rsidRPr="00000000">
        <w:rPr>
          <w:rtl w:val="0"/>
        </w:rPr>
        <w:t xml:space="preserve">5.2 Threat Monitoring and Prevention</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Firewall &amp; Intrusion Detection: Firewalls, intrusion detection/prevention systems (IDS/IPS), and antivirus software must be deployed and updated regularly.</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Patch Management: All systems, applications, and software must be patched promptly when security updates are available.</w:t>
      </w:r>
    </w:p>
    <w:p w:rsidR="00000000" w:rsidDel="00000000" w:rsidP="00000000" w:rsidRDefault="00000000" w:rsidRPr="00000000" w14:paraId="00000049">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Malware Protection: Anti-malware software must be installed and updated on all company systems. Regular scans must be performed to detect and remove malware.</w:t>
      </w:r>
    </w:p>
    <w:p w:rsidR="00000000" w:rsidDel="00000000" w:rsidP="00000000" w:rsidRDefault="00000000" w:rsidRPr="00000000" w14:paraId="0000004A">
      <w:pPr>
        <w:pStyle w:val="Heading2"/>
        <w:ind w:firstLine="720"/>
        <w:rPr/>
      </w:pPr>
      <w:bookmarkStart w:colFirst="0" w:colLast="0" w:name="_q4084wh135b1" w:id="19"/>
      <w:bookmarkEnd w:id="19"/>
      <w:r w:rsidDel="00000000" w:rsidR="00000000" w:rsidRPr="00000000">
        <w:rPr>
          <w:rtl w:val="0"/>
        </w:rPr>
        <w:t xml:space="preserve">5.3 Incident Response</w:t>
      </w:r>
    </w:p>
    <w:p w:rsidR="00000000" w:rsidDel="00000000" w:rsidP="00000000" w:rsidRDefault="00000000" w:rsidRPr="00000000" w14:paraId="0000004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 Reporting: Any cybersecurity incidents (e.g., phishing attempts, suspicious activity) must be reported to the IT department immediately.</w:t>
      </w:r>
    </w:p>
    <w:p w:rsidR="00000000" w:rsidDel="00000000" w:rsidP="00000000" w:rsidRDefault="00000000" w:rsidRPr="00000000" w14:paraId="0000004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 Response Plan (IRP): The company must maintain a documented IRP, detailing steps for containing and mitigating incidents, investigating the root cause, and reporting breaches to appropriate authorities.</w:t>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Forensics: After a cybersecurity incident, logs and other relevant data must be preserved for forensic analysis.</w:t>
      </w:r>
    </w:p>
    <w:p w:rsidR="00000000" w:rsidDel="00000000" w:rsidP="00000000" w:rsidRDefault="00000000" w:rsidRPr="00000000" w14:paraId="0000004E">
      <w:pPr>
        <w:pStyle w:val="Heading2"/>
        <w:ind w:firstLine="720"/>
        <w:rPr/>
      </w:pPr>
      <w:bookmarkStart w:colFirst="0" w:colLast="0" w:name="_sx6ob1j5kz8z" w:id="20"/>
      <w:bookmarkEnd w:id="20"/>
      <w:r w:rsidDel="00000000" w:rsidR="00000000" w:rsidRPr="00000000">
        <w:rPr>
          <w:rtl w:val="0"/>
        </w:rPr>
        <w:t xml:space="preserve">5.4 Employee Awareness and Training</w:t>
      </w:r>
    </w:p>
    <w:p w:rsidR="00000000" w:rsidDel="00000000" w:rsidP="00000000" w:rsidRDefault="00000000" w:rsidRPr="00000000" w14:paraId="0000004F">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Phishing Simulations: The IT department should conduct regular phishing simulations to raise awareness and test employee response.</w:t>
      </w:r>
    </w:p>
    <w:p w:rsidR="00000000" w:rsidDel="00000000" w:rsidP="00000000" w:rsidRDefault="00000000" w:rsidRPr="00000000" w14:paraId="00000050">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Awareness: All employees must complete annual cybersecurity awareness training, covering topics such as password hygiene, social engineering, and safe internet practices.</w:t>
      </w:r>
    </w:p>
    <w:p w:rsidR="00000000" w:rsidDel="00000000" w:rsidP="00000000" w:rsidRDefault="00000000" w:rsidRPr="00000000" w14:paraId="00000051">
      <w:pPr>
        <w:pStyle w:val="Heading2"/>
        <w:ind w:firstLine="720"/>
        <w:rPr/>
      </w:pPr>
      <w:bookmarkStart w:colFirst="0" w:colLast="0" w:name="_xl5c3oei32ky" w:id="21"/>
      <w:bookmarkEnd w:id="21"/>
      <w:r w:rsidDel="00000000" w:rsidR="00000000" w:rsidRPr="00000000">
        <w:rPr>
          <w:rtl w:val="0"/>
        </w:rPr>
        <w:t xml:space="preserve">5.5 Vendor Security</w:t>
      </w:r>
    </w:p>
    <w:p w:rsidR="00000000" w:rsidDel="00000000" w:rsidP="00000000" w:rsidRDefault="00000000" w:rsidRPr="00000000" w14:paraId="00000052">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Third-Party Assessments: All vendors with access to company systems or data must undergo security assessments to ensure they meet company security standards.</w:t>
      </w:r>
    </w:p>
    <w:p w:rsidR="00000000" w:rsidDel="00000000" w:rsidP="00000000" w:rsidRDefault="00000000" w:rsidRPr="00000000" w14:paraId="00000053">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Sharing: Vendors must comply with the company’s data handling and security policies. Contracts must include data protection clauses.</w:t>
      </w:r>
    </w:p>
    <w:p w:rsidR="00000000" w:rsidDel="00000000" w:rsidP="00000000" w:rsidRDefault="00000000" w:rsidRPr="00000000" w14:paraId="00000054">
      <w:pPr>
        <w:pStyle w:val="Heading1"/>
        <w:rPr>
          <w:rFonts w:ascii="Times New Roman" w:cs="Times New Roman" w:eastAsia="Times New Roman" w:hAnsi="Times New Roman"/>
          <w:sz w:val="24"/>
          <w:szCs w:val="24"/>
        </w:rPr>
      </w:pPr>
      <w:bookmarkStart w:colFirst="0" w:colLast="0" w:name="_z5aig0qjvklu" w:id="22"/>
      <w:bookmarkEnd w:id="22"/>
      <w:r w:rsidDel="00000000" w:rsidR="00000000" w:rsidRPr="00000000">
        <w:rPr>
          <w:rtl w:val="0"/>
        </w:rPr>
        <w:t xml:space="preserve">6. Compliance and Enforcement</w:t>
      </w:r>
      <w:r w:rsidDel="00000000" w:rsidR="00000000" w:rsidRPr="00000000">
        <w:rPr>
          <w:rtl w:val="0"/>
        </w:rPr>
      </w:r>
    </w:p>
    <w:p w:rsidR="00000000" w:rsidDel="00000000" w:rsidP="00000000" w:rsidRDefault="00000000" w:rsidRPr="00000000" w14:paraId="00000055">
      <w:pPr>
        <w:pStyle w:val="Heading2"/>
        <w:ind w:firstLine="720"/>
        <w:rPr/>
      </w:pPr>
      <w:bookmarkStart w:colFirst="0" w:colLast="0" w:name="_4nzzl4qj63bm" w:id="23"/>
      <w:bookmarkEnd w:id="23"/>
      <w:r w:rsidDel="00000000" w:rsidR="00000000" w:rsidRPr="00000000">
        <w:rPr>
          <w:rtl w:val="0"/>
        </w:rPr>
        <w:t xml:space="preserve">6.1 Audits and Compliance</w:t>
      </w:r>
    </w:p>
    <w:p w:rsidR="00000000" w:rsidDel="00000000" w:rsidP="00000000" w:rsidRDefault="00000000" w:rsidRPr="00000000" w14:paraId="0000005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Audits: IT security policies and procedures will be reviewed and audited annually to ensure compliance with regulatory requirements and industry best practices.</w:t>
      </w:r>
    </w:p>
    <w:p w:rsidR="00000000" w:rsidDel="00000000" w:rsidP="00000000" w:rsidRDefault="00000000" w:rsidRPr="00000000" w14:paraId="0000005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Audits: The company may also be subject to external audits, particularly in industries where data protection regulations (e.g., GDPR, HIPAA) are applicable.</w:t>
      </w:r>
    </w:p>
    <w:p w:rsidR="00000000" w:rsidDel="00000000" w:rsidP="00000000" w:rsidRDefault="00000000" w:rsidRPr="00000000" w14:paraId="00000058">
      <w:pPr>
        <w:pStyle w:val="Heading2"/>
        <w:ind w:firstLine="720"/>
        <w:rPr/>
      </w:pPr>
      <w:bookmarkStart w:colFirst="0" w:colLast="0" w:name="_c6d88rv7xfuf" w:id="24"/>
      <w:bookmarkEnd w:id="24"/>
      <w:r w:rsidDel="00000000" w:rsidR="00000000" w:rsidRPr="00000000">
        <w:rPr>
          <w:rtl w:val="0"/>
        </w:rPr>
        <w:t xml:space="preserve">6.2 Non-Compliance</w:t>
      </w:r>
    </w:p>
    <w:p w:rsidR="00000000" w:rsidDel="00000000" w:rsidP="00000000" w:rsidRDefault="00000000" w:rsidRPr="00000000" w14:paraId="00000059">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Disciplinary Action: Non-compliance with this policy, whether accidental or intentional, may result in disciplinary action, up to and including termination of employment.</w:t>
      </w:r>
    </w:p>
    <w:p w:rsidR="00000000" w:rsidDel="00000000" w:rsidP="00000000" w:rsidRDefault="00000000" w:rsidRPr="00000000" w14:paraId="0000005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Legal Action: Any actions leading to data breaches or regulatory violations may result in legal consequences for the company and responsible individuals.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Review Date: [Insert Date]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Review Date: [Insert Date]</w:t>
      </w:r>
    </w:p>
    <w:p w:rsidR="00000000" w:rsidDel="00000000" w:rsidP="00000000" w:rsidRDefault="00000000" w:rsidRPr="00000000" w14:paraId="0000005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Times New Roman" w:cs="Times New Roman" w:eastAsia="Times New Roman" w:hAnsi="Times New Roman"/>
          <w:i w:val="1"/>
          <w:sz w:val="24"/>
          <w:szCs w:val="24"/>
          <w:rtl w:val="0"/>
        </w:rPr>
        <w:t xml:space="preserve">This IT Policy Manual serves as the foundation for maintaining a secure, resilient, and efficient technology environment. All employees are expected to comply with these policies to protect company assets and data.</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ind w:firstLine="720"/>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