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color w:val="141F2B"/>
          <w:sz w:val="36"/>
        </w:rPr>
        <w:t>Cross-Platform Colon Cancer Proliferation Classification via Leakage-Free ML</w:t>
      </w:r>
    </w:p>
    <w:p>
      <w:pPr>
        <w:spacing w:after="240"/>
      </w:pPr>
      <w:r>
        <w:rPr>
          <w:rFonts w:ascii="Calibri" w:hAnsi="Calibri"/>
          <w:i/>
          <w:color w:val="5A5A5A"/>
          <w:sz w:val="23"/>
        </w:rPr>
        <w:t>Independent computational biology research report prepared for peer-reviewed journal submission</w:t>
      </w:r>
    </w:p>
    <w:tbl>
      <w:tblPr>
        <w:tblW w:type="auto" w:w="0"/>
        <w:jc w:val="left"/>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4939"/>
        <w:gridCol w:w="4939"/>
      </w:tblGrid>
      <w:tr>
        <w:tc>
          <w:tcPr>
            <w:tcW w:type="dxa" w:w="4939"/>
            <w:vAlign w:val="center"/>
          </w:tcPr>
          <w:p>
            <w:pPr>
              <w:spacing w:after="0"/>
            </w:pPr>
            <w:r/>
            <w:r>
              <w:rPr>
                <w:rFonts w:ascii="Calibri" w:hAnsi="Calibri"/>
                <w:b/>
                <w:color w:val="5A5A5A"/>
                <w:sz w:val="17"/>
              </w:rPr>
              <w:t>Prepared by</w:t>
            </w:r>
          </w:p>
        </w:tc>
        <w:tc>
          <w:tcPr>
            <w:tcW w:type="dxa" w:w="4939"/>
            <w:vAlign w:val="center"/>
          </w:tcPr>
          <w:p>
            <w:pPr>
              <w:spacing w:after="0"/>
            </w:pPr>
            <w:r/>
            <w:r>
              <w:rPr>
                <w:rFonts w:ascii="Calibri" w:hAnsi="Calibri"/>
                <w:b w:val="0"/>
                <w:color w:val="141F2B"/>
                <w:sz w:val="17"/>
              </w:rPr>
              <w:t>Rohan Saindane</w:t>
            </w:r>
          </w:p>
        </w:tc>
      </w:tr>
      <w:tr>
        <w:tc>
          <w:tcPr>
            <w:tcW w:type="dxa" w:w="4939"/>
            <w:vAlign w:val="center"/>
          </w:tcPr>
          <w:p>
            <w:pPr>
              <w:spacing w:after="0"/>
            </w:pPr>
            <w:r/>
            <w:r>
              <w:rPr>
                <w:rFonts w:ascii="Calibri" w:hAnsi="Calibri"/>
                <w:b/>
                <w:color w:val="5A5A5A"/>
                <w:sz w:val="17"/>
              </w:rPr>
              <w:t>Date</w:t>
            </w:r>
          </w:p>
        </w:tc>
        <w:tc>
          <w:tcPr>
            <w:tcW w:type="dxa" w:w="4939"/>
            <w:vAlign w:val="center"/>
          </w:tcPr>
          <w:p>
            <w:pPr>
              <w:spacing w:after="0"/>
            </w:pPr>
            <w:r/>
            <w:r>
              <w:rPr>
                <w:rFonts w:ascii="Calibri" w:hAnsi="Calibri"/>
                <w:b w:val="0"/>
                <w:color w:val="141F2B"/>
                <w:sz w:val="17"/>
              </w:rPr>
              <w:t>June 2026</w:t>
            </w:r>
          </w:p>
        </w:tc>
      </w:tr>
      <w:tr>
        <w:tc>
          <w:tcPr>
            <w:tcW w:type="dxa" w:w="4939"/>
            <w:vAlign w:val="center"/>
          </w:tcPr>
          <w:p>
            <w:pPr>
              <w:spacing w:after="0"/>
            </w:pPr>
            <w:r/>
            <w:r>
              <w:rPr>
                <w:rFonts w:ascii="Calibri" w:hAnsi="Calibri"/>
                <w:b/>
                <w:color w:val="5A5A5A"/>
                <w:sz w:val="17"/>
              </w:rPr>
              <w:t>Dataset</w:t>
            </w:r>
          </w:p>
        </w:tc>
        <w:tc>
          <w:tcPr>
            <w:tcW w:type="dxa" w:w="4939"/>
            <w:vAlign w:val="center"/>
          </w:tcPr>
          <w:p>
            <w:pPr>
              <w:spacing w:after="0"/>
            </w:pPr>
            <w:r/>
            <w:r>
              <w:rPr>
                <w:rFonts w:ascii="Calibri" w:hAnsi="Calibri"/>
                <w:b w:val="0"/>
                <w:color w:val="141F2B"/>
                <w:sz w:val="17"/>
              </w:rPr>
              <w:t>GEO_PAN</w:t>
            </w:r>
          </w:p>
        </w:tc>
      </w:tr>
      <w:tr>
        <w:tc>
          <w:tcPr>
            <w:tcW w:type="dxa" w:w="4939"/>
            <w:vAlign w:val="center"/>
          </w:tcPr>
          <w:p>
            <w:pPr>
              <w:spacing w:after="0"/>
            </w:pPr>
            <w:r/>
            <w:r>
              <w:rPr>
                <w:rFonts w:ascii="Calibri" w:hAnsi="Calibri"/>
                <w:b/>
                <w:color w:val="5A5A5A"/>
                <w:sz w:val="17"/>
              </w:rPr>
              <w:t>Status</w:t>
            </w:r>
          </w:p>
        </w:tc>
        <w:tc>
          <w:tcPr>
            <w:tcW w:type="dxa" w:w="4939"/>
            <w:vAlign w:val="center"/>
          </w:tcPr>
          <w:p>
            <w:pPr>
              <w:spacing w:after="0"/>
            </w:pPr>
            <w:r/>
            <w:r>
              <w:rPr>
                <w:rFonts w:ascii="Calibri" w:hAnsi="Calibri"/>
                <w:b w:val="0"/>
                <w:color w:val="141F2B"/>
                <w:sz w:val="17"/>
              </w:rPr>
              <w:t>Leakage-corrected journal submission draft</w:t>
            </w:r>
          </w:p>
        </w:tc>
      </w:tr>
    </w:tbl>
    <w:p>
      <w:pPr>
        <w:pStyle w:val="Heading1"/>
        <w:keepNext/>
        <w:spacing w:before="240" w:after="100"/>
      </w:pPr>
    </w:p>
    <w:p>
      <w:pPr>
        <w:spacing w:before="0" w:after="140" w:line="283" w:lineRule="auto"/>
      </w:pPr>
      <w:r>
        <w:rPr>
          <w:rFonts w:ascii="Calibri" w:hAnsi="Calibri"/>
          <w:color w:val="141F2B"/>
          <w:sz w:val="20"/>
        </w:rPr>
        <w:t>High AUC is not always high utility. This study reports ROC-AUCs above 0.97 for colon cancer proliferation classification across independent cohorts, but the task itself is easier than typical clinical ML problems: the proliferation median split gives a Cohen's d of 2.3, meaning the two classes barely overlap. Proliferation drives broad transcriptional changes, so thousands of non-target genes correlate with the label. With that caveat stated upfront, I compared four calibration strategies (Platt Scaling, Isotonic Regression, QN+Platt, QN-only) across four model classes. The ten cell-cycle genes defining the target were removed from the feature set to prevent leakage. All preprocessing was wrapped in scikit-learn Pipelines so training and validation never mixed. Classifiers trained on GEO microarray data (GSE39582, n = 585) and validated on TCGA-COAD (RNA-seq, n = 322) and CPTAC-COAD (n = 105) gave ROC-AUCs above 0.97 on external cohorts after quantile normalization and Platt scaling. Tree-based models needed minimal calibration (AUC 0.973, Accuracy 0.915), while Logistic Regression benefited from QN+Platt for cross-platform alignment (AUC 0.972). A drug screen (GDSC2, 295 drugs, 969 cell lines, Bonferroni-corrected Mann-Whitney U) identified Trametinib as the top hit (p = 1.8e-12). All five top hits target the MAPK/ERK pathway. On CPTAC-COAD (n = 105), Random Forest had a calibrated AUC of 0.9487 and accuracy of 0.8679. High proliferation was linked to shorter survival in GEO (log-rank p = 0.037) and TCGA (log-rank p = 0.034). Code: https://github.com/Ronisnotasianfr/ColoGrowth-ML.</w:t>
      </w:r>
    </w:p>
    <w:p>
      <w:pPr>
        <w:pStyle w:val="Heading1"/>
        <w:keepNext/>
        <w:spacing w:before="240" w:after="100"/>
      </w:pPr>
    </w:p>
    <w:p>
      <w:pPr>
        <w:spacing w:before="0" w:after="140" w:line="283" w:lineRule="auto"/>
      </w:pPr>
      <w:r>
        <w:rPr>
          <w:rFonts w:ascii="Calibri" w:hAnsi="Calibri"/>
          <w:color w:val="141F2B"/>
          <w:sz w:val="20"/>
        </w:rPr>
        <w:t>Proliferation rate correlates with survival and chemotherapy response in colorectal cancer. Clinicians estimate it through Ki-67 immunohistochemistry or tumor staging, but both have limitations. Ki-67 scoring has inter-observer variability, and staging is too coarse to capture the transcriptomic consequences of cell-cycle deregulation. The consensus molecular subtypes (CMS1-4) capture some of this heterogeneity (Guinney et al., 2015), and the TCGA network has described the genomic landscape of colon adenocarcinoma in detail (TCGA Network, 2012), but neither framework provides a direct, quantitative proliferation score from gene expression data that generalizes across microarray and RNA-seq platforms.</w:t>
      </w:r>
    </w:p>
    <w:p>
      <w:pPr>
        <w:spacing w:before="0" w:after="140" w:line="283" w:lineRule="auto"/>
      </w:pPr>
      <w:r>
        <w:rPr>
          <w:rFonts w:ascii="Calibri" w:hAnsi="Calibri"/>
          <w:color w:val="141F2B"/>
          <w:sz w:val="20"/>
        </w:rPr>
        <w:t>I trained four classifiers on GEO microarray data (GSE39582, Marisa et al., 2013) to predict high versus low proliferation from gene expression plus clinical covariates. The target was defined as the mean z-score of ten cell-cycle genes drawn from the Whitfield et al. (2002) cell-cycle catalogue. Those ten genes were removed from the feature set before any splitting, so the models had to learn broader transcriptional patterns associated with proliferation rather than reconstructing the label from the same genes. External validation was done on TCGA-COAD RNA-seq (n = 322) and CPTAC-COAD (n = 105), two independent cohorts on a different sequencing platform. The goal was to see whether a leakage-free classifier could generalize across platforms and whether the proliferation signal carried prognostic information beyond established clinical variables.</w:t>
      </w:r>
    </w:p>
    <w:p>
      <w:r>
        <w:br w:type="page"/>
      </w:r>
    </w:p>
    <w:p>
      <w:pPr>
        <w:pStyle w:val="Heading1"/>
        <w:keepNext/>
        <w:spacing w:before="240" w:after="100"/>
      </w:pPr>
    </w:p>
    <w:p>
      <w:pPr>
        <w:spacing w:before="0" w:after="140" w:line="283" w:lineRule="auto"/>
      </w:pPr>
      <w:r>
        <w:rPr>
          <w:rFonts w:ascii="Calibri" w:hAnsi="Calibri"/>
          <w:color w:val="141F2B"/>
          <w:sz w:val="20"/>
        </w:rPr>
        <w:t>The GEO_PAN dataset has 823 samples and 22182 features after removing the ten signature genes. Clinical covariates are age, sex, and stage. Target class balance: 411 low, 412 high. I used an 80/20 stratified split: 658 training, 165 holdout.</w:t>
      </w:r>
    </w:p>
    <w:tbl>
      <w:tblPr>
        <w:tblW w:type="auto" w:w="0"/>
        <w:jc w:val="center"/>
        <w:tblLook w:firstColumn="1" w:firstRow="1" w:lastColumn="0" w:lastRow="0" w:noHBand="0" w:noVBand="1" w:val="04A0"/>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2469"/>
        <w:gridCol w:w="2469"/>
        <w:gridCol w:w="2469"/>
        <w:gridCol w:w="2469"/>
      </w:tblGrid>
      <w:tr>
        <w:trPr>
          <w:tblHeader w:val="true"/>
        </w:trPr>
        <w:tc>
          <w:tcPr>
            <w:tcW w:type="dxa" w:w="2469"/>
            <w:shd w:fill="F4F6F9"/>
            <w:vAlign w:val="center"/>
          </w:tcPr>
          <w:p>
            <w:pPr>
              <w:spacing w:after="0"/>
            </w:pPr>
            <w:r/>
            <w:r>
              <w:rPr>
                <w:rFonts w:ascii="Calibri" w:hAnsi="Calibri"/>
                <w:b/>
                <w:color w:val="141F2B"/>
                <w:sz w:val="17"/>
              </w:rPr>
              <w:t>Dataset file</w:t>
            </w:r>
          </w:p>
        </w:tc>
        <w:tc>
          <w:tcPr>
            <w:tcW w:type="dxa" w:w="2469"/>
            <w:shd w:fill="F4F6F9"/>
            <w:vAlign w:val="center"/>
          </w:tcPr>
          <w:p>
            <w:pPr>
              <w:spacing w:after="0"/>
            </w:pPr>
            <w:r/>
            <w:r>
              <w:rPr>
                <w:rFonts w:ascii="Calibri" w:hAnsi="Calibri"/>
                <w:b/>
                <w:color w:val="141F2B"/>
                <w:sz w:val="17"/>
              </w:rPr>
              <w:t>Samples</w:t>
            </w:r>
          </w:p>
        </w:tc>
        <w:tc>
          <w:tcPr>
            <w:tcW w:type="dxa" w:w="2469"/>
            <w:shd w:fill="F4F6F9"/>
            <w:vAlign w:val="center"/>
          </w:tcPr>
          <w:p>
            <w:pPr>
              <w:spacing w:after="0"/>
            </w:pPr>
            <w:r/>
            <w:r>
              <w:rPr>
                <w:rFonts w:ascii="Calibri" w:hAnsi="Calibri"/>
                <w:b/>
                <w:color w:val="141F2B"/>
                <w:sz w:val="17"/>
              </w:rPr>
              <w:t>Features/columns</w:t>
            </w:r>
          </w:p>
        </w:tc>
        <w:tc>
          <w:tcPr>
            <w:tcW w:type="dxa" w:w="2469"/>
            <w:shd w:fill="F4F6F9"/>
            <w:vAlign w:val="center"/>
          </w:tcPr>
          <w:p>
            <w:pPr>
              <w:spacing w:after="0"/>
            </w:pPr>
            <w:r/>
            <w:r>
              <w:rPr>
                <w:rFonts w:ascii="Calibri" w:hAnsi="Calibri"/>
                <w:b/>
                <w:color w:val="141F2B"/>
                <w:sz w:val="17"/>
              </w:rPr>
              <w:t>Class balance</w:t>
            </w:r>
          </w:p>
        </w:tc>
      </w:tr>
      <w:tr>
        <w:tc>
          <w:tcPr>
            <w:tcW w:type="dxa" w:w="2469"/>
            <w:vAlign w:val="center"/>
          </w:tcPr>
          <w:p>
            <w:pPr>
              <w:spacing w:after="0"/>
            </w:pPr>
            <w:r/>
            <w:r>
              <w:rPr>
                <w:rFonts w:ascii="Calibri" w:hAnsi="Calibri"/>
                <w:b w:val="0"/>
                <w:sz w:val="17"/>
              </w:rPr>
              <w:t>geo_pan_X_features / y_target</w:t>
            </w:r>
          </w:p>
        </w:tc>
        <w:tc>
          <w:tcPr>
            <w:tcW w:type="dxa" w:w="2469"/>
            <w:vAlign w:val="center"/>
          </w:tcPr>
          <w:p>
            <w:pPr>
              <w:spacing w:after="0"/>
            </w:pPr>
            <w:r/>
            <w:r>
              <w:rPr>
                <w:rFonts w:ascii="Calibri" w:hAnsi="Calibri"/>
                <w:b w:val="0"/>
                <w:sz w:val="17"/>
              </w:rPr>
              <w:t>823</w:t>
            </w:r>
          </w:p>
        </w:tc>
        <w:tc>
          <w:tcPr>
            <w:tcW w:type="dxa" w:w="2469"/>
            <w:vAlign w:val="center"/>
          </w:tcPr>
          <w:p>
            <w:pPr>
              <w:spacing w:after="0"/>
            </w:pPr>
            <w:r/>
            <w:r>
              <w:rPr>
                <w:rFonts w:ascii="Calibri" w:hAnsi="Calibri"/>
                <w:b w:val="0"/>
                <w:sz w:val="17"/>
              </w:rPr>
              <w:t>22182</w:t>
            </w:r>
          </w:p>
        </w:tc>
        <w:tc>
          <w:tcPr>
            <w:tcW w:type="dxa" w:w="2469"/>
            <w:vAlign w:val="center"/>
          </w:tcPr>
          <w:p>
            <w:pPr>
              <w:spacing w:after="0"/>
            </w:pPr>
            <w:r/>
            <w:r>
              <w:rPr>
                <w:rFonts w:ascii="Calibri" w:hAnsi="Calibri"/>
                <w:b w:val="0"/>
                <w:sz w:val="17"/>
              </w:rPr>
              <w:t>411 low, 412 high</w:t>
            </w:r>
          </w:p>
        </w:tc>
      </w:tr>
      <w:tr>
        <w:tc>
          <w:tcPr>
            <w:tcW w:type="dxa" w:w="2469"/>
            <w:vAlign w:val="center"/>
          </w:tcPr>
          <w:p>
            <w:pPr>
              <w:spacing w:after="0"/>
            </w:pPr>
            <w:r/>
            <w:r>
              <w:rPr>
                <w:rFonts w:ascii="Calibri" w:hAnsi="Calibri"/>
                <w:b w:val="0"/>
                <w:sz w:val="17"/>
              </w:rPr>
              <w:t>Training pool (80% stratified split)</w:t>
            </w:r>
          </w:p>
        </w:tc>
        <w:tc>
          <w:tcPr>
            <w:tcW w:type="dxa" w:w="2469"/>
            <w:vAlign w:val="center"/>
          </w:tcPr>
          <w:p>
            <w:pPr>
              <w:spacing w:after="0"/>
            </w:pPr>
            <w:r/>
            <w:r>
              <w:rPr>
                <w:rFonts w:ascii="Calibri" w:hAnsi="Calibri"/>
                <w:b w:val="0"/>
                <w:sz w:val="17"/>
              </w:rPr>
              <w:t>658</w:t>
            </w:r>
          </w:p>
        </w:tc>
        <w:tc>
          <w:tcPr>
            <w:tcW w:type="dxa" w:w="2469"/>
            <w:vAlign w:val="center"/>
          </w:tcPr>
          <w:p>
            <w:pPr>
              <w:spacing w:after="0"/>
            </w:pPr>
            <w:r/>
            <w:r>
              <w:rPr>
                <w:rFonts w:ascii="Calibri" w:hAnsi="Calibri"/>
                <w:b w:val="0"/>
                <w:sz w:val="17"/>
              </w:rPr>
              <w:t>22182</w:t>
            </w:r>
          </w:p>
        </w:tc>
        <w:tc>
          <w:tcPr>
            <w:tcW w:type="dxa" w:w="2469"/>
            <w:vAlign w:val="center"/>
          </w:tcPr>
          <w:p>
            <w:pPr>
              <w:spacing w:after="0"/>
            </w:pPr>
            <w:r/>
            <w:r>
              <w:rPr>
                <w:rFonts w:ascii="Calibri" w:hAnsi="Calibri"/>
                <w:b w:val="0"/>
                <w:sz w:val="17"/>
              </w:rPr>
              <w:t>Stratified by class</w:t>
            </w:r>
          </w:p>
        </w:tc>
      </w:tr>
      <w:tr>
        <w:tc>
          <w:tcPr>
            <w:tcW w:type="dxa" w:w="2469"/>
            <w:vAlign w:val="center"/>
          </w:tcPr>
          <w:p>
            <w:pPr>
              <w:spacing w:after="0"/>
            </w:pPr>
            <w:r/>
            <w:r>
              <w:rPr>
                <w:rFonts w:ascii="Calibri" w:hAnsi="Calibri"/>
                <w:b w:val="0"/>
                <w:sz w:val="17"/>
              </w:rPr>
              <w:t>Holdout test (20% stratified split)</w:t>
            </w:r>
          </w:p>
        </w:tc>
        <w:tc>
          <w:tcPr>
            <w:tcW w:type="dxa" w:w="2469"/>
            <w:vAlign w:val="center"/>
          </w:tcPr>
          <w:p>
            <w:pPr>
              <w:spacing w:after="0"/>
            </w:pPr>
            <w:r/>
            <w:r>
              <w:rPr>
                <w:rFonts w:ascii="Calibri" w:hAnsi="Calibri"/>
                <w:b w:val="0"/>
                <w:sz w:val="17"/>
              </w:rPr>
              <w:t>165</w:t>
            </w:r>
          </w:p>
        </w:tc>
        <w:tc>
          <w:tcPr>
            <w:tcW w:type="dxa" w:w="2469"/>
            <w:vAlign w:val="center"/>
          </w:tcPr>
          <w:p>
            <w:pPr>
              <w:spacing w:after="0"/>
            </w:pPr>
            <w:r/>
            <w:r>
              <w:rPr>
                <w:rFonts w:ascii="Calibri" w:hAnsi="Calibri"/>
                <w:b w:val="0"/>
                <w:sz w:val="17"/>
              </w:rPr>
              <w:t>22182</w:t>
            </w:r>
          </w:p>
        </w:tc>
        <w:tc>
          <w:tcPr>
            <w:tcW w:type="dxa" w:w="2469"/>
            <w:vAlign w:val="center"/>
          </w:tcPr>
          <w:p>
            <w:pPr>
              <w:spacing w:after="0"/>
            </w:pPr>
            <w:r/>
            <w:r>
              <w:rPr>
                <w:rFonts w:ascii="Calibri" w:hAnsi="Calibri"/>
                <w:b w:val="0"/>
                <w:sz w:val="17"/>
              </w:rPr>
              <w:t>Stratified by class</w:t>
            </w:r>
          </w:p>
        </w:tc>
      </w:tr>
    </w:tbl>
    <w:p>
      <w:pPr>
        <w:spacing w:before="60" w:after="160"/>
        <w:jc w:val="center"/>
      </w:pPr>
      <w:r>
        <w:rPr>
          <w:rFonts w:ascii="Calibri" w:hAnsi="Calibri"/>
          <w:i/>
          <w:color w:val="5A5A5A"/>
          <w:sz w:val="17"/>
        </w:rPr>
        <w:t>Table 1. Processed data files used for this leakage-corrected report.</w:t>
      </w:r>
    </w:p>
    <w:p>
      <w:pPr>
        <w:spacing w:before="0" w:after="140" w:line="283" w:lineRule="auto"/>
      </w:pPr>
      <w:r>
        <w:rPr>
          <w:rFonts w:ascii="Calibri" w:hAnsi="Calibri"/>
          <w:color w:val="141F2B"/>
          <w:sz w:val="20"/>
        </w:rPr>
        <w:t>I used a multi-cohort design. GEO microarray data was split into training and holdout for internal evaluation. TCGA and CPTAC were held back entirely during training for external validation. TCGA-COAD (n = 322) was split in half: one half for Platt scaling calibration, the other for evaluation. Platt scaling fits a logistic regression on the raw model probabilities to correct the threshold shift between microarray and RNA-seq platforms. Different platforms have different dynamic ranges, so the model's confidence scores can shift even when the ranking stays correct. Platt scaling fixes the threshold without changing the ranking. CPTAC-COAD (n = 105) was split the same way for a second external check. Feature selection, scaling, and model training used only GEO data.</w:t>
      </w:r>
    </w:p>
    <w:p>
      <w:pPr>
        <w:spacing w:before="0" w:after="140" w:line="283" w:lineRule="auto"/>
      </w:pPr>
      <w:r>
        <w:rPr>
          <w:rFonts w:ascii="Calibri" w:hAnsi="Calibri"/>
          <w:color w:val="141F2B"/>
          <w:sz w:val="20"/>
        </w:rPr>
        <w:t>The three-way validation data-flow schematic is detailed in Figure 7.</w:t>
      </w:r>
    </w:p>
    <w:p>
      <w:pPr>
        <w:spacing w:before="80" w:after="80" w:line="220" w:lineRule="exact"/>
      </w:pPr>
      <w:r>
        <w:rPr>
          <w:rFonts w:ascii="Consolas" w:hAnsi="Consolas"/>
          <w:color w:val="141F2B"/>
          <w:sz w:val="16"/>
        </w:rPr>
        <w:t>GEO Cohort (n=585):</w:t>
        <w:br/>
        <w:t xml:space="preserve">    Training Pool (80%, n=468, 5-fold CV)</w:t>
        <w:br/>
        <w:t xml:space="preserve">    Holdout (20%, n=117, final evaluation)</w:t>
        <w:br/>
        <w:br/>
        <w:t>External Validation (RNA-seq platforms):</w:t>
        <w:br/>
        <w:t xml:space="preserve">    TCGA-COAD (n=322):  50% Platt calibration + 50% evaluation</w:t>
        <w:br/>
        <w:t xml:space="preserve">    CPTAC-COAD (n=105): 50% Platt calibration + 50% evaluation</w:t>
      </w:r>
    </w:p>
    <w:p>
      <w:pPr>
        <w:spacing w:before="60" w:after="160"/>
        <w:jc w:val="center"/>
      </w:pPr>
      <w:r>
        <w:rPr>
          <w:rFonts w:ascii="Calibri" w:hAnsi="Calibri"/>
          <w:i/>
          <w:color w:val="5A5A5A"/>
          <w:sz w:val="17"/>
        </w:rPr>
        <w:t>Figure 7. Three-way cohort validation and probability calibration workflow schematic.</w:t>
      </w:r>
    </w:p>
    <w:p>
      <w:pPr>
        <w:spacing w:before="0" w:after="140" w:line="283" w:lineRule="auto"/>
      </w:pPr>
      <w:r>
        <w:rPr>
          <w:rFonts w:ascii="Calibri" w:hAnsi="Calibri"/>
          <w:color w:val="141F2B"/>
          <w:sz w:val="20"/>
        </w:rPr>
        <w:t>I chose these four models for different reasons. Logistic Regression lets me look at the coefficients and see which genes drive the prediction. Random Forest and XGBoost can pick up non-linear interactions. I added the MLP to test whether deep learning helps on a dataset with only 585 samples, though I suspected it would not. Each model went into a Pipeline: standardize, filter low-variance genes, select the 500 best by ANOVA F-score, then classify. I learned why nested CV matters the hard way. My first pass used single-shot feature selection on the whole training pool before cross-validation. The CV scores looked great. The holdout performance was noticeably worse. The feature selection had peeked at all the data, leaking information across folds. Wrapping everything inside a Pipeline and using nested five-fold CV fixed this. The inner fold selects features on 4/5 of the data, and the outer fold tests on the held-out 1/5. It is slower but the numbers are honest.</w:t>
      </w:r>
    </w:p>
    <w:p>
      <w:pPr>
        <w:spacing w:before="0" w:after="140" w:line="283" w:lineRule="auto"/>
      </w:pPr>
      <w:r>
        <w:rPr>
          <w:rFonts w:ascii="Calibri" w:hAnsi="Calibri"/>
          <w:color w:val="141F2B"/>
          <w:sz w:val="20"/>
        </w:rPr>
        <w:t>I defined the target as the mean z-score of ten cell-cycle genes: MKI67, PCNA, TOP2A, MCM2, MCM6, AURKA, BUB1, CCNB1, CDK1, and BIRC5. These ten genes were removed from the feature matrix before any splitting. Leaving them in would let the classifier cheat by reconstructing the label from the same genes used to define it. I also wrapped all preprocessing inside scikit-learn Pipelines so that scaling, variance filtering, and feature selection refit from scratch inside each cross-validation fold. This prevents the model from seeing information from the test fold during training.</w:t>
      </w:r>
    </w:p>
    <w:p>
      <w:pPr>
        <w:spacing w:before="0" w:after="140" w:line="283" w:lineRule="auto"/>
      </w:pPr>
      <w:r>
        <w:rPr>
          <w:rFonts w:ascii="Calibri" w:hAnsi="Calibri"/>
          <w:color w:val="141F2B"/>
          <w:sz w:val="20"/>
        </w:rPr>
        <w:t>GridSearchCV parameter search spaces and optimal configurations are shown in Table 2.</w:t>
      </w:r>
    </w:p>
    <w:tbl>
      <w:tblPr>
        <w:tblW w:type="auto" w:w="0"/>
        <w:jc w:val="center"/>
        <w:tblLook w:firstColumn="1" w:firstRow="1" w:lastColumn="0" w:lastRow="0" w:noHBand="0" w:noVBand="1" w:val="04A0"/>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1976"/>
        <w:gridCol w:w="1976"/>
        <w:gridCol w:w="1976"/>
        <w:gridCol w:w="1976"/>
        <w:gridCol w:w="1976"/>
      </w:tblGrid>
      <w:tr>
        <w:trPr>
          <w:tblHeader w:val="true"/>
        </w:trPr>
        <w:tc>
          <w:tcPr>
            <w:tcW w:type="dxa" w:w="1976"/>
            <w:shd w:fill="F4F6F9"/>
            <w:vAlign w:val="center"/>
          </w:tcPr>
          <w:p>
            <w:pPr>
              <w:spacing w:after="0"/>
            </w:pPr>
            <w:r/>
            <w:r>
              <w:rPr>
                <w:rFonts w:ascii="Calibri" w:hAnsi="Calibri"/>
                <w:b/>
                <w:color w:val="141F2B"/>
                <w:sz w:val="16"/>
              </w:rPr>
              <w:t>Model</w:t>
            </w:r>
          </w:p>
        </w:tc>
        <w:tc>
          <w:tcPr>
            <w:tcW w:type="dxa" w:w="1976"/>
            <w:shd w:fill="F4F6F9"/>
            <w:vAlign w:val="center"/>
          </w:tcPr>
          <w:p>
            <w:pPr>
              <w:spacing w:after="0"/>
            </w:pPr>
            <w:r/>
            <w:r>
              <w:rPr>
                <w:rFonts w:ascii="Calibri" w:hAnsi="Calibri"/>
                <w:b/>
                <w:color w:val="141F2B"/>
                <w:sz w:val="16"/>
              </w:rPr>
              <w:t>Hyperparameter</w:t>
            </w:r>
          </w:p>
        </w:tc>
        <w:tc>
          <w:tcPr>
            <w:tcW w:type="dxa" w:w="1976"/>
            <w:shd w:fill="F4F6F9"/>
            <w:vAlign w:val="center"/>
          </w:tcPr>
          <w:p>
            <w:pPr>
              <w:spacing w:after="0"/>
            </w:pPr>
            <w:r/>
            <w:r>
              <w:rPr>
                <w:rFonts w:ascii="Calibri" w:hAnsi="Calibri"/>
                <w:b/>
                <w:color w:val="141F2B"/>
                <w:sz w:val="16"/>
              </w:rPr>
              <w:t>Search Range</w:t>
            </w:r>
          </w:p>
        </w:tc>
        <w:tc>
          <w:tcPr>
            <w:tcW w:type="dxa" w:w="1976"/>
            <w:shd w:fill="F4F6F9"/>
            <w:vAlign w:val="center"/>
          </w:tcPr>
          <w:p>
            <w:pPr>
              <w:spacing w:after="0"/>
            </w:pPr>
            <w:r/>
            <w:r>
              <w:rPr>
                <w:rFonts w:ascii="Calibri" w:hAnsi="Calibri"/>
                <w:b/>
                <w:color w:val="141F2B"/>
                <w:sz w:val="16"/>
              </w:rPr>
              <w:t>Selected</w:t>
            </w:r>
          </w:p>
        </w:tc>
        <w:tc>
          <w:tcPr>
            <w:tcW w:type="dxa" w:w="1976"/>
            <w:shd w:fill="F4F6F9"/>
            <w:vAlign w:val="center"/>
          </w:tcPr>
          <w:p>
            <w:pPr>
              <w:spacing w:after="0"/>
            </w:pPr>
            <w:r/>
            <w:r>
              <w:rPr>
                <w:rFonts w:ascii="Calibri" w:hAnsi="Calibri"/>
                <w:b/>
                <w:color w:val="141F2B"/>
                <w:sz w:val="16"/>
              </w:rPr>
              <w:t>Notes</w:t>
            </w:r>
          </w:p>
        </w:tc>
      </w:tr>
      <w:tr>
        <w:tc>
          <w:tcPr>
            <w:tcW w:type="dxa" w:w="1976"/>
            <w:vAlign w:val="center"/>
          </w:tcPr>
          <w:p>
            <w:pPr>
              <w:spacing w:after="0"/>
            </w:pPr>
            <w:r/>
            <w:r>
              <w:rPr>
                <w:rFonts w:ascii="Calibri" w:hAnsi="Calibri"/>
                <w:b w:val="0"/>
                <w:sz w:val="16"/>
              </w:rPr>
              <w:t>Logistic Regression</w:t>
            </w:r>
          </w:p>
        </w:tc>
        <w:tc>
          <w:tcPr>
            <w:tcW w:type="dxa" w:w="1976"/>
            <w:vAlign w:val="center"/>
          </w:tcPr>
          <w:p>
            <w:pPr>
              <w:spacing w:after="0"/>
            </w:pPr>
            <w:r/>
            <w:r>
              <w:rPr>
                <w:rFonts w:ascii="Calibri" w:hAnsi="Calibri"/>
                <w:b w:val="0"/>
                <w:sz w:val="16"/>
              </w:rPr>
              <w:t>C (Regularization)</w:t>
            </w:r>
          </w:p>
        </w:tc>
        <w:tc>
          <w:tcPr>
            <w:tcW w:type="dxa" w:w="1976"/>
            <w:vAlign w:val="center"/>
          </w:tcPr>
          <w:p>
            <w:pPr>
              <w:spacing w:after="0"/>
            </w:pPr>
            <w:r/>
            <w:r>
              <w:rPr>
                <w:rFonts w:ascii="Calibri" w:hAnsi="Calibri"/>
                <w:b w:val="0"/>
                <w:sz w:val="16"/>
              </w:rPr>
              <w:t>[0.01, 0.1, 1.0, 10.0]</w:t>
            </w:r>
          </w:p>
        </w:tc>
        <w:tc>
          <w:tcPr>
            <w:tcW w:type="dxa" w:w="1976"/>
            <w:vAlign w:val="center"/>
          </w:tcPr>
          <w:p>
            <w:pPr>
              <w:spacing w:after="0"/>
            </w:pPr>
            <w:r/>
            <w:r>
              <w:rPr>
                <w:rFonts w:ascii="Calibri" w:hAnsi="Calibri"/>
                <w:b w:val="0"/>
                <w:sz w:val="16"/>
              </w:rPr>
              <w:t>0.1</w:t>
            </w:r>
          </w:p>
        </w:tc>
        <w:tc>
          <w:tcPr>
            <w:tcW w:type="dxa" w:w="1976"/>
            <w:vAlign w:val="center"/>
          </w:tcPr>
          <w:p>
            <w:pPr>
              <w:spacing w:after="0"/>
            </w:pPr>
            <w:r/>
            <w:r>
              <w:rPr>
                <w:rFonts w:ascii="Calibri" w:hAnsi="Calibri"/>
                <w:b w:val="0"/>
                <w:sz w:val="16"/>
              </w:rPr>
              <w:t>L2 penalty, liblinear solver</w:t>
            </w:r>
          </w:p>
        </w:tc>
      </w:tr>
      <w:tr>
        <w:tc>
          <w:tcPr>
            <w:tcW w:type="dxa" w:w="1976"/>
            <w:vAlign w:val="center"/>
          </w:tcPr>
          <w:p>
            <w:pPr>
              <w:spacing w:after="0"/>
            </w:pPr>
            <w:r/>
            <w:r>
              <w:rPr>
                <w:rFonts w:ascii="Calibri" w:hAnsi="Calibri"/>
                <w:b w:val="0"/>
                <w:sz w:val="16"/>
              </w:rPr>
              <w:t>Random Forest</w:t>
            </w:r>
          </w:p>
        </w:tc>
        <w:tc>
          <w:tcPr>
            <w:tcW w:type="dxa" w:w="1976"/>
            <w:vAlign w:val="center"/>
          </w:tcPr>
          <w:p>
            <w:pPr>
              <w:spacing w:after="0"/>
            </w:pPr>
            <w:r/>
            <w:r>
              <w:rPr>
                <w:rFonts w:ascii="Calibri" w:hAnsi="Calibri"/>
                <w:b w:val="0"/>
                <w:sz w:val="16"/>
              </w:rPr>
              <w:t>n_estimators</w:t>
            </w:r>
          </w:p>
        </w:tc>
        <w:tc>
          <w:tcPr>
            <w:tcW w:type="dxa" w:w="1976"/>
            <w:vAlign w:val="center"/>
          </w:tcPr>
          <w:p>
            <w:pPr>
              <w:spacing w:after="0"/>
            </w:pPr>
            <w:r/>
            <w:r>
              <w:rPr>
                <w:rFonts w:ascii="Calibri" w:hAnsi="Calibri"/>
                <w:b w:val="0"/>
                <w:sz w:val="16"/>
              </w:rPr>
              <w:t>[100, 200]</w:t>
            </w:r>
          </w:p>
        </w:tc>
        <w:tc>
          <w:tcPr>
            <w:tcW w:type="dxa" w:w="1976"/>
            <w:vAlign w:val="center"/>
          </w:tcPr>
          <w:p>
            <w:pPr>
              <w:spacing w:after="0"/>
            </w:pPr>
            <w:r/>
            <w:r>
              <w:rPr>
                <w:rFonts w:ascii="Calibri" w:hAnsi="Calibri"/>
                <w:b w:val="0"/>
                <w:sz w:val="16"/>
              </w:rPr>
              <w:t>100</w:t>
            </w:r>
          </w:p>
        </w:tc>
        <w:tc>
          <w:tcPr>
            <w:tcW w:type="dxa" w:w="1976"/>
            <w:vAlign w:val="center"/>
          </w:tcPr>
          <w:p>
            <w:pPr>
              <w:spacing w:after="0"/>
            </w:pPr>
            <w:r/>
            <w:r>
              <w:rPr>
                <w:rFonts w:ascii="Calibri" w:hAnsi="Calibri"/>
                <w:b w:val="0"/>
                <w:sz w:val="16"/>
              </w:rPr>
              <w:t>Ensemble size</w:t>
            </w:r>
          </w:p>
        </w:tc>
      </w:tr>
      <w:tr>
        <w:tc>
          <w:tcPr>
            <w:tcW w:type="dxa" w:w="1976"/>
            <w:vAlign w:val="center"/>
          </w:tcPr>
          <w:p>
            <w:pPr>
              <w:spacing w:after="0"/>
            </w:pPr>
            <w:r/>
            <w:r>
              <w:rPr>
                <w:rFonts w:ascii="Calibri" w:hAnsi="Calibri"/>
                <w:b w:val="0"/>
                <w:sz w:val="16"/>
              </w:rPr>
              <w:t>Random Forest</w:t>
            </w:r>
          </w:p>
        </w:tc>
        <w:tc>
          <w:tcPr>
            <w:tcW w:type="dxa" w:w="1976"/>
            <w:vAlign w:val="center"/>
          </w:tcPr>
          <w:p>
            <w:pPr>
              <w:spacing w:after="0"/>
            </w:pPr>
            <w:r/>
            <w:r>
              <w:rPr>
                <w:rFonts w:ascii="Calibri" w:hAnsi="Calibri"/>
                <w:b w:val="0"/>
                <w:sz w:val="16"/>
              </w:rPr>
              <w:t>max_depth</w:t>
            </w:r>
          </w:p>
        </w:tc>
        <w:tc>
          <w:tcPr>
            <w:tcW w:type="dxa" w:w="1976"/>
            <w:vAlign w:val="center"/>
          </w:tcPr>
          <w:p>
            <w:pPr>
              <w:spacing w:after="0"/>
            </w:pPr>
            <w:r/>
            <w:r>
              <w:rPr>
                <w:rFonts w:ascii="Calibri" w:hAnsi="Calibri"/>
                <w:b w:val="0"/>
                <w:sz w:val="16"/>
              </w:rPr>
              <w:t>[5, 10, None]</w:t>
            </w:r>
          </w:p>
        </w:tc>
        <w:tc>
          <w:tcPr>
            <w:tcW w:type="dxa" w:w="1976"/>
            <w:vAlign w:val="center"/>
          </w:tcPr>
          <w:p>
            <w:pPr>
              <w:spacing w:after="0"/>
            </w:pPr>
            <w:r/>
            <w:r>
              <w:rPr>
                <w:rFonts w:ascii="Calibri" w:hAnsi="Calibri"/>
                <w:b w:val="0"/>
                <w:sz w:val="16"/>
              </w:rPr>
              <w:t>5</w:t>
            </w:r>
          </w:p>
        </w:tc>
        <w:tc>
          <w:tcPr>
            <w:tcW w:type="dxa" w:w="1976"/>
            <w:vAlign w:val="center"/>
          </w:tcPr>
          <w:p>
            <w:pPr>
              <w:spacing w:after="0"/>
            </w:pPr>
            <w:r/>
            <w:r>
              <w:rPr>
                <w:rFonts w:ascii="Calibri" w:hAnsi="Calibri"/>
                <w:b w:val="0"/>
                <w:sz w:val="16"/>
              </w:rPr>
              <w:t>Tree depth limit</w:t>
            </w:r>
          </w:p>
        </w:tc>
      </w:tr>
      <w:tr>
        <w:tc>
          <w:tcPr>
            <w:tcW w:type="dxa" w:w="1976"/>
            <w:vAlign w:val="center"/>
          </w:tcPr>
          <w:p>
            <w:pPr>
              <w:spacing w:after="0"/>
            </w:pPr>
            <w:r/>
            <w:r>
              <w:rPr>
                <w:rFonts w:ascii="Calibri" w:hAnsi="Calibri"/>
                <w:b w:val="0"/>
                <w:sz w:val="16"/>
              </w:rPr>
              <w:t>Random Forest</w:t>
            </w:r>
          </w:p>
        </w:tc>
        <w:tc>
          <w:tcPr>
            <w:tcW w:type="dxa" w:w="1976"/>
            <w:vAlign w:val="center"/>
          </w:tcPr>
          <w:p>
            <w:pPr>
              <w:spacing w:after="0"/>
            </w:pPr>
            <w:r/>
            <w:r>
              <w:rPr>
                <w:rFonts w:ascii="Calibri" w:hAnsi="Calibri"/>
                <w:b w:val="0"/>
                <w:sz w:val="16"/>
              </w:rPr>
              <w:t>min_samples_leaf</w:t>
            </w:r>
          </w:p>
        </w:tc>
        <w:tc>
          <w:tcPr>
            <w:tcW w:type="dxa" w:w="1976"/>
            <w:vAlign w:val="center"/>
          </w:tcPr>
          <w:p>
            <w:pPr>
              <w:spacing w:after="0"/>
            </w:pPr>
            <w:r/>
            <w:r>
              <w:rPr>
                <w:rFonts w:ascii="Calibri" w:hAnsi="Calibri"/>
                <w:b w:val="0"/>
                <w:sz w:val="16"/>
              </w:rPr>
              <w:t>[2, 4]</w:t>
            </w:r>
          </w:p>
        </w:tc>
        <w:tc>
          <w:tcPr>
            <w:tcW w:type="dxa" w:w="1976"/>
            <w:vAlign w:val="center"/>
          </w:tcPr>
          <w:p>
            <w:pPr>
              <w:spacing w:after="0"/>
            </w:pPr>
            <w:r/>
            <w:r>
              <w:rPr>
                <w:rFonts w:ascii="Calibri" w:hAnsi="Calibri"/>
                <w:b w:val="0"/>
                <w:sz w:val="16"/>
              </w:rPr>
              <w:t>2</w:t>
            </w:r>
          </w:p>
        </w:tc>
        <w:tc>
          <w:tcPr>
            <w:tcW w:type="dxa" w:w="1976"/>
            <w:vAlign w:val="center"/>
          </w:tcPr>
          <w:p>
            <w:pPr>
              <w:spacing w:after="0"/>
            </w:pPr>
            <w:r/>
            <w:r>
              <w:rPr>
                <w:rFonts w:ascii="Calibri" w:hAnsi="Calibri"/>
                <w:b w:val="0"/>
                <w:sz w:val="16"/>
              </w:rPr>
              <w:t>Leaf node size</w:t>
            </w:r>
          </w:p>
        </w:tc>
      </w:tr>
      <w:tr>
        <w:tc>
          <w:tcPr>
            <w:tcW w:type="dxa" w:w="1976"/>
            <w:vAlign w:val="center"/>
          </w:tcPr>
          <w:p>
            <w:pPr>
              <w:spacing w:after="0"/>
            </w:pPr>
            <w:r/>
            <w:r>
              <w:rPr>
                <w:rFonts w:ascii="Calibri" w:hAnsi="Calibri"/>
                <w:b w:val="0"/>
                <w:sz w:val="16"/>
              </w:rPr>
              <w:t>XGBoost</w:t>
            </w:r>
          </w:p>
        </w:tc>
        <w:tc>
          <w:tcPr>
            <w:tcW w:type="dxa" w:w="1976"/>
            <w:vAlign w:val="center"/>
          </w:tcPr>
          <w:p>
            <w:pPr>
              <w:spacing w:after="0"/>
            </w:pPr>
            <w:r/>
            <w:r>
              <w:rPr>
                <w:rFonts w:ascii="Calibri" w:hAnsi="Calibri"/>
                <w:b w:val="0"/>
                <w:sz w:val="16"/>
              </w:rPr>
              <w:t>n_estimators</w:t>
            </w:r>
          </w:p>
        </w:tc>
        <w:tc>
          <w:tcPr>
            <w:tcW w:type="dxa" w:w="1976"/>
            <w:vAlign w:val="center"/>
          </w:tcPr>
          <w:p>
            <w:pPr>
              <w:spacing w:after="0"/>
            </w:pPr>
            <w:r/>
            <w:r>
              <w:rPr>
                <w:rFonts w:ascii="Calibri" w:hAnsi="Calibri"/>
                <w:b w:val="0"/>
                <w:sz w:val="16"/>
              </w:rPr>
              <w:t>[100, 200]</w:t>
            </w:r>
          </w:p>
        </w:tc>
        <w:tc>
          <w:tcPr>
            <w:tcW w:type="dxa" w:w="1976"/>
            <w:vAlign w:val="center"/>
          </w:tcPr>
          <w:p>
            <w:pPr>
              <w:spacing w:after="0"/>
            </w:pPr>
            <w:r/>
            <w:r>
              <w:rPr>
                <w:rFonts w:ascii="Calibri" w:hAnsi="Calibri"/>
                <w:b w:val="0"/>
                <w:sz w:val="16"/>
              </w:rPr>
              <w:t>200</w:t>
            </w:r>
          </w:p>
        </w:tc>
        <w:tc>
          <w:tcPr>
            <w:tcW w:type="dxa" w:w="1976"/>
            <w:vAlign w:val="center"/>
          </w:tcPr>
          <w:p>
            <w:pPr>
              <w:spacing w:after="0"/>
            </w:pPr>
            <w:r/>
            <w:r>
              <w:rPr>
                <w:rFonts w:ascii="Calibri" w:hAnsi="Calibri"/>
                <w:b w:val="0"/>
                <w:sz w:val="16"/>
              </w:rPr>
              <w:t>Boosting iterations</w:t>
            </w:r>
          </w:p>
        </w:tc>
      </w:tr>
      <w:tr>
        <w:tc>
          <w:tcPr>
            <w:tcW w:type="dxa" w:w="1976"/>
            <w:vAlign w:val="center"/>
          </w:tcPr>
          <w:p>
            <w:pPr>
              <w:spacing w:after="0"/>
            </w:pPr>
            <w:r/>
            <w:r>
              <w:rPr>
                <w:rFonts w:ascii="Calibri" w:hAnsi="Calibri"/>
                <w:b w:val="0"/>
                <w:sz w:val="16"/>
              </w:rPr>
              <w:t>XGBoost</w:t>
            </w:r>
          </w:p>
        </w:tc>
        <w:tc>
          <w:tcPr>
            <w:tcW w:type="dxa" w:w="1976"/>
            <w:vAlign w:val="center"/>
          </w:tcPr>
          <w:p>
            <w:pPr>
              <w:spacing w:after="0"/>
            </w:pPr>
            <w:r/>
            <w:r>
              <w:rPr>
                <w:rFonts w:ascii="Calibri" w:hAnsi="Calibri"/>
                <w:b w:val="0"/>
                <w:sz w:val="16"/>
              </w:rPr>
              <w:t>max_depth</w:t>
            </w:r>
          </w:p>
        </w:tc>
        <w:tc>
          <w:tcPr>
            <w:tcW w:type="dxa" w:w="1976"/>
            <w:vAlign w:val="center"/>
          </w:tcPr>
          <w:p>
            <w:pPr>
              <w:spacing w:after="0"/>
            </w:pPr>
            <w:r/>
            <w:r>
              <w:rPr>
                <w:rFonts w:ascii="Calibri" w:hAnsi="Calibri"/>
                <w:b w:val="0"/>
                <w:sz w:val="16"/>
              </w:rPr>
              <w:t>[3, 5, 7]</w:t>
            </w:r>
          </w:p>
        </w:tc>
        <w:tc>
          <w:tcPr>
            <w:tcW w:type="dxa" w:w="1976"/>
            <w:vAlign w:val="center"/>
          </w:tcPr>
          <w:p>
            <w:pPr>
              <w:spacing w:after="0"/>
            </w:pPr>
            <w:r/>
            <w:r>
              <w:rPr>
                <w:rFonts w:ascii="Calibri" w:hAnsi="Calibri"/>
                <w:b w:val="0"/>
                <w:sz w:val="16"/>
              </w:rPr>
              <w:t>5</w:t>
            </w:r>
          </w:p>
        </w:tc>
        <w:tc>
          <w:tcPr>
            <w:tcW w:type="dxa" w:w="1976"/>
            <w:vAlign w:val="center"/>
          </w:tcPr>
          <w:p>
            <w:pPr>
              <w:spacing w:after="0"/>
            </w:pPr>
            <w:r/>
            <w:r>
              <w:rPr>
                <w:rFonts w:ascii="Calibri" w:hAnsi="Calibri"/>
                <w:b w:val="0"/>
                <w:sz w:val="16"/>
              </w:rPr>
              <w:t>Max tree depth</w:t>
            </w:r>
          </w:p>
        </w:tc>
      </w:tr>
      <w:tr>
        <w:tc>
          <w:tcPr>
            <w:tcW w:type="dxa" w:w="1976"/>
            <w:vAlign w:val="center"/>
          </w:tcPr>
          <w:p>
            <w:pPr>
              <w:spacing w:after="0"/>
            </w:pPr>
            <w:r/>
            <w:r>
              <w:rPr>
                <w:rFonts w:ascii="Calibri" w:hAnsi="Calibri"/>
                <w:b w:val="0"/>
                <w:sz w:val="16"/>
              </w:rPr>
              <w:t>XGBoost</w:t>
            </w:r>
          </w:p>
        </w:tc>
        <w:tc>
          <w:tcPr>
            <w:tcW w:type="dxa" w:w="1976"/>
            <w:vAlign w:val="center"/>
          </w:tcPr>
          <w:p>
            <w:pPr>
              <w:spacing w:after="0"/>
            </w:pPr>
            <w:r/>
            <w:r>
              <w:rPr>
                <w:rFonts w:ascii="Calibri" w:hAnsi="Calibri"/>
                <w:b w:val="0"/>
                <w:sz w:val="16"/>
              </w:rPr>
              <w:t>learning_rate</w:t>
            </w:r>
          </w:p>
        </w:tc>
        <w:tc>
          <w:tcPr>
            <w:tcW w:type="dxa" w:w="1976"/>
            <w:vAlign w:val="center"/>
          </w:tcPr>
          <w:p>
            <w:pPr>
              <w:spacing w:after="0"/>
            </w:pPr>
            <w:r/>
            <w:r>
              <w:rPr>
                <w:rFonts w:ascii="Calibri" w:hAnsi="Calibri"/>
                <w:b w:val="0"/>
                <w:sz w:val="16"/>
              </w:rPr>
              <w:t>[0.01, 0.05, 0.1]</w:t>
            </w:r>
          </w:p>
        </w:tc>
        <w:tc>
          <w:tcPr>
            <w:tcW w:type="dxa" w:w="1976"/>
            <w:vAlign w:val="center"/>
          </w:tcPr>
          <w:p>
            <w:pPr>
              <w:spacing w:after="0"/>
            </w:pPr>
            <w:r/>
            <w:r>
              <w:rPr>
                <w:rFonts w:ascii="Calibri" w:hAnsi="Calibri"/>
                <w:b w:val="0"/>
                <w:sz w:val="16"/>
              </w:rPr>
              <w:t>0.1</w:t>
            </w:r>
          </w:p>
        </w:tc>
        <w:tc>
          <w:tcPr>
            <w:tcW w:type="dxa" w:w="1976"/>
            <w:vAlign w:val="center"/>
          </w:tcPr>
          <w:p>
            <w:pPr>
              <w:spacing w:after="0"/>
            </w:pPr>
            <w:r/>
            <w:r>
              <w:rPr>
                <w:rFonts w:ascii="Calibri" w:hAnsi="Calibri"/>
                <w:b w:val="0"/>
                <w:sz w:val="16"/>
              </w:rPr>
              <w:t>Shrinkage rate</w:t>
            </w:r>
          </w:p>
        </w:tc>
      </w:tr>
      <w:tr>
        <w:tc>
          <w:tcPr>
            <w:tcW w:type="dxa" w:w="1976"/>
            <w:vAlign w:val="center"/>
          </w:tcPr>
          <w:p>
            <w:pPr>
              <w:spacing w:after="0"/>
            </w:pPr>
            <w:r/>
            <w:r>
              <w:rPr>
                <w:rFonts w:ascii="Calibri" w:hAnsi="Calibri"/>
                <w:b w:val="0"/>
                <w:sz w:val="16"/>
              </w:rPr>
              <w:t>Neural Network (MLP)</w:t>
            </w:r>
          </w:p>
        </w:tc>
        <w:tc>
          <w:tcPr>
            <w:tcW w:type="dxa" w:w="1976"/>
            <w:vAlign w:val="center"/>
          </w:tcPr>
          <w:p>
            <w:pPr>
              <w:spacing w:after="0"/>
            </w:pPr>
            <w:r/>
            <w:r>
              <w:rPr>
                <w:rFonts w:ascii="Calibri" w:hAnsi="Calibri"/>
                <w:b w:val="0"/>
                <w:sz w:val="16"/>
              </w:rPr>
              <w:t>hidden_layer_sizes</w:t>
            </w:r>
          </w:p>
        </w:tc>
        <w:tc>
          <w:tcPr>
            <w:tcW w:type="dxa" w:w="1976"/>
            <w:vAlign w:val="center"/>
          </w:tcPr>
          <w:p>
            <w:pPr>
              <w:spacing w:after="0"/>
            </w:pPr>
            <w:r/>
            <w:r>
              <w:rPr>
                <w:rFonts w:ascii="Calibri" w:hAnsi="Calibri"/>
                <w:b w:val="0"/>
                <w:sz w:val="16"/>
              </w:rPr>
              <w:t>[(128, 64), (256, 128, 64)]</w:t>
            </w:r>
          </w:p>
        </w:tc>
        <w:tc>
          <w:tcPr>
            <w:tcW w:type="dxa" w:w="1976"/>
            <w:vAlign w:val="center"/>
          </w:tcPr>
          <w:p>
            <w:pPr>
              <w:spacing w:after="0"/>
            </w:pPr>
            <w:r/>
            <w:r>
              <w:rPr>
                <w:rFonts w:ascii="Calibri" w:hAnsi="Calibri"/>
                <w:b w:val="0"/>
                <w:sz w:val="16"/>
              </w:rPr>
              <w:t>(256, 128, 64)</w:t>
            </w:r>
          </w:p>
        </w:tc>
        <w:tc>
          <w:tcPr>
            <w:tcW w:type="dxa" w:w="1976"/>
            <w:vAlign w:val="center"/>
          </w:tcPr>
          <w:p>
            <w:pPr>
              <w:spacing w:after="0"/>
            </w:pPr>
            <w:r/>
            <w:r>
              <w:rPr>
                <w:rFonts w:ascii="Calibri" w:hAnsi="Calibri"/>
                <w:b w:val="0"/>
                <w:sz w:val="16"/>
              </w:rPr>
              <w:t>Network architecture</w:t>
            </w:r>
          </w:p>
        </w:tc>
      </w:tr>
      <w:tr>
        <w:tc>
          <w:tcPr>
            <w:tcW w:type="dxa" w:w="1976"/>
            <w:vAlign w:val="center"/>
          </w:tcPr>
          <w:p>
            <w:pPr>
              <w:spacing w:after="0"/>
            </w:pPr>
            <w:r/>
            <w:r>
              <w:rPr>
                <w:rFonts w:ascii="Calibri" w:hAnsi="Calibri"/>
                <w:b w:val="0"/>
                <w:sz w:val="16"/>
              </w:rPr>
              <w:t>Neural Network (MLP)</w:t>
            </w:r>
          </w:p>
        </w:tc>
        <w:tc>
          <w:tcPr>
            <w:tcW w:type="dxa" w:w="1976"/>
            <w:vAlign w:val="center"/>
          </w:tcPr>
          <w:p>
            <w:pPr>
              <w:spacing w:after="0"/>
            </w:pPr>
            <w:r/>
            <w:r>
              <w:rPr>
                <w:rFonts w:ascii="Calibri" w:hAnsi="Calibri"/>
                <w:b w:val="0"/>
                <w:sz w:val="16"/>
              </w:rPr>
              <w:t>alpha</w:t>
            </w:r>
          </w:p>
        </w:tc>
        <w:tc>
          <w:tcPr>
            <w:tcW w:type="dxa" w:w="1976"/>
            <w:vAlign w:val="center"/>
          </w:tcPr>
          <w:p>
            <w:pPr>
              <w:spacing w:after="0"/>
            </w:pPr>
            <w:r/>
            <w:r>
              <w:rPr>
                <w:rFonts w:ascii="Calibri" w:hAnsi="Calibri"/>
                <w:b w:val="0"/>
                <w:sz w:val="16"/>
              </w:rPr>
              <w:t>[0.0001, 0.001]</w:t>
            </w:r>
          </w:p>
        </w:tc>
        <w:tc>
          <w:tcPr>
            <w:tcW w:type="dxa" w:w="1976"/>
            <w:vAlign w:val="center"/>
          </w:tcPr>
          <w:p>
            <w:pPr>
              <w:spacing w:after="0"/>
            </w:pPr>
            <w:r/>
            <w:r>
              <w:rPr>
                <w:rFonts w:ascii="Calibri" w:hAnsi="Calibri"/>
                <w:b w:val="0"/>
                <w:sz w:val="16"/>
              </w:rPr>
              <w:t>0.001</w:t>
            </w:r>
          </w:p>
        </w:tc>
        <w:tc>
          <w:tcPr>
            <w:tcW w:type="dxa" w:w="1976"/>
            <w:vAlign w:val="center"/>
          </w:tcPr>
          <w:p>
            <w:pPr>
              <w:spacing w:after="0"/>
            </w:pPr>
            <w:r/>
            <w:r>
              <w:rPr>
                <w:rFonts w:ascii="Calibri" w:hAnsi="Calibri"/>
                <w:b w:val="0"/>
                <w:sz w:val="16"/>
              </w:rPr>
              <w:t>L2 regularization term</w:t>
            </w:r>
          </w:p>
        </w:tc>
      </w:tr>
    </w:tbl>
    <w:p>
      <w:pPr>
        <w:spacing w:before="60" w:after="160"/>
        <w:jc w:val="center"/>
      </w:pPr>
      <w:r>
        <w:rPr>
          <w:rFonts w:ascii="Calibri" w:hAnsi="Calibri"/>
          <w:i/>
          <w:color w:val="5A5A5A"/>
          <w:sz w:val="17"/>
        </w:rPr>
        <w:t>Table 2. Hyperparameter optimization search ranges and selected settings.</w:t>
      </w:r>
    </w:p>
    <w:p>
      <w:pPr>
        <w:pStyle w:val="Heading2"/>
        <w:keepNext/>
        <w:spacing w:before="160" w:after="100"/>
      </w:pPr>
    </w:p>
    <w:p>
      <w:pPr>
        <w:spacing w:before="0" w:after="140" w:line="283" w:lineRule="auto"/>
      </w:pPr>
      <w:r>
        <w:rPr>
          <w:rFonts w:ascii="Calibri" w:hAnsi="Calibri"/>
          <w:color w:val="141F2B"/>
          <w:sz w:val="20"/>
        </w:rPr>
        <w:t>The ColoGrowth-ML pipeline is organized into four stages. Stage 1 (Data Ingestion) downloads raw expression matrices from GEO, TCGA, and CPTAC, maps probes to gene symbols, and produces sample-by-gene matrices with matched clinical data. Stage 2 (Feature Engineering) computes the mean z-score of ten cell-cycle genes as the proliferation score, binarizes at the median, removes those ten genes from the feature set to prevent label leakage, and encodes clinical covariates. Stage 3 (Training) builds a scikit-learn Pipeline with VarianceThreshold, StandardScaler, StabilitySelector (Meinshausen &amp; Buhlmann, 2010), and the classifier. Nested cross-validation (5-fold outer, 3-fold inner) tunes hyperparameters via GridSearchCV. The best pipeline is evaluated on a held-out 20% test split. Stage 4 (Analysis and Paper Generation) runs survival analysis, calibration benchmarking, drug sensitivity screening, and dynamically generates the publication-ready manuscript.</w:t>
      </w:r>
    </w:p>
    <w:p>
      <w:pPr>
        <w:spacing w:before="0" w:after="140" w:line="283" w:lineRule="auto"/>
      </w:pPr>
      <w:r>
        <w:rPr>
          <w:rFonts w:ascii="Calibri" w:hAnsi="Calibri"/>
          <w:color w:val="141F2B"/>
          <w:sz w:val="20"/>
        </w:rPr>
        <w:t>The entire pipeline is containerized via Docker for cross-platform reproducibility. Running `docker compose up` builds the environment, installs dependencies, downloads all datasets, trains classifiers, runs survival and drug analyses, and produces the final paper. A `reproduce.sh` script is also provided for non-Docker execution. All random seeds are fixed (random_state=42) for deterministic reproduction.</w:t>
      </w:r>
    </w:p>
    <w:p>
      <w:r>
        <w:br w:type="page"/>
      </w:r>
    </w:p>
    <w:p>
      <w:pPr>
        <w:pStyle w:val="Heading1"/>
        <w:keepNext/>
        <w:spacing w:before="240" w:after="100"/>
      </w:pPr>
    </w:p>
    <w:p>
      <w:pPr>
        <w:spacing w:before="0" w:after="140" w:line="283" w:lineRule="auto"/>
      </w:pPr>
      <w:r>
        <w:rPr>
          <w:rFonts w:ascii="Calibri" w:hAnsi="Calibri"/>
          <w:color w:val="141F2B"/>
          <w:sz w:val="20"/>
        </w:rPr>
        <w:t>I tested four models with nested five-fold CV on the GEO training pool (n = 468) after removing the ten signature genes. Mean CV ROC-AUCs were similar across models: Logistic Regression 0.9811 (+/- 0.0041), Random Forest 0.9788 (+/- 0.0047), XGBoost 0.9783 (+/- 0.0060), and MLP 0.9781 (+/- 0.0048). A simple Logistic Regression without feature selection gave a holdout accuracy of 0.9697, compared to 0.4970 for a majority-class baseline.</w:t>
      </w:r>
    </w:p>
    <w:tbl>
      <w:tblPr>
        <w:tblW w:type="auto" w:w="0"/>
        <w:jc w:val="center"/>
        <w:tblLook w:firstColumn="1" w:firstRow="1" w:lastColumn="0" w:lastRow="0" w:noHBand="0" w:noVBand="1" w:val="04A0"/>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2469"/>
        <w:gridCol w:w="2469"/>
        <w:gridCol w:w="2469"/>
        <w:gridCol w:w="2469"/>
      </w:tblGrid>
      <w:tr>
        <w:trPr>
          <w:tblHeader w:val="true"/>
        </w:trPr>
        <w:tc>
          <w:tcPr>
            <w:tcW w:type="dxa" w:w="2469"/>
            <w:shd w:fill="F4F6F9"/>
            <w:vAlign w:val="center"/>
          </w:tcPr>
          <w:p>
            <w:pPr>
              <w:spacing w:after="0"/>
            </w:pPr>
            <w:r/>
            <w:r>
              <w:rPr>
                <w:rFonts w:ascii="Calibri" w:hAnsi="Calibri"/>
                <w:b/>
                <w:color w:val="141F2B"/>
                <w:sz w:val="16"/>
              </w:rPr>
              <w:t>Model</w:t>
            </w:r>
          </w:p>
        </w:tc>
        <w:tc>
          <w:tcPr>
            <w:tcW w:type="dxa" w:w="2469"/>
            <w:shd w:fill="F4F6F9"/>
            <w:vAlign w:val="center"/>
          </w:tcPr>
          <w:p>
            <w:pPr>
              <w:spacing w:after="0"/>
            </w:pPr>
            <w:r/>
            <w:r>
              <w:rPr>
                <w:rFonts w:ascii="Calibri" w:hAnsi="Calibri"/>
                <w:b/>
                <w:color w:val="141F2B"/>
                <w:sz w:val="16"/>
              </w:rPr>
              <w:t>CV ROC-AUC (mean +/- std)</w:t>
            </w:r>
          </w:p>
        </w:tc>
        <w:tc>
          <w:tcPr>
            <w:tcW w:type="dxa" w:w="2469"/>
            <w:shd w:fill="F4F6F9"/>
            <w:vAlign w:val="center"/>
          </w:tcPr>
          <w:p>
            <w:pPr>
              <w:spacing w:after="0"/>
            </w:pPr>
            <w:r/>
            <w:r>
              <w:rPr>
                <w:rFonts w:ascii="Calibri" w:hAnsi="Calibri"/>
                <w:b/>
                <w:color w:val="141F2B"/>
                <w:sz w:val="16"/>
              </w:rPr>
              <w:t>Holdout Accuracy (95% CI)</w:t>
            </w:r>
          </w:p>
        </w:tc>
        <w:tc>
          <w:tcPr>
            <w:tcW w:type="dxa" w:w="2469"/>
            <w:shd w:fill="F4F6F9"/>
            <w:vAlign w:val="center"/>
          </w:tcPr>
          <w:p>
            <w:pPr>
              <w:spacing w:after="0"/>
            </w:pPr>
            <w:r/>
            <w:r>
              <w:rPr>
                <w:rFonts w:ascii="Calibri" w:hAnsi="Calibri"/>
                <w:b/>
                <w:color w:val="141F2B"/>
                <w:sz w:val="16"/>
              </w:rPr>
              <w:t>Holdout ROC-AUC (95% CI)</w:t>
            </w:r>
          </w:p>
        </w:tc>
      </w:tr>
      <w:tr>
        <w:tc>
          <w:tcPr>
            <w:tcW w:type="dxa" w:w="2469"/>
            <w:vAlign w:val="center"/>
          </w:tcPr>
          <w:p>
            <w:pPr>
              <w:spacing w:after="0"/>
            </w:pPr>
            <w:r/>
            <w:r>
              <w:rPr>
                <w:rFonts w:ascii="Calibri" w:hAnsi="Calibri"/>
                <w:b w:val="0"/>
                <w:sz w:val="16"/>
              </w:rPr>
              <w:t>Logistic Regression</w:t>
            </w:r>
          </w:p>
        </w:tc>
        <w:tc>
          <w:tcPr>
            <w:tcW w:type="dxa" w:w="2469"/>
            <w:vAlign w:val="center"/>
          </w:tcPr>
          <w:p>
            <w:pPr>
              <w:spacing w:after="0"/>
            </w:pPr>
            <w:r/>
            <w:r>
              <w:rPr>
                <w:rFonts w:ascii="Calibri" w:hAnsi="Calibri"/>
                <w:b w:val="0"/>
                <w:sz w:val="16"/>
              </w:rPr>
              <w:t>0.9811 (+/- 0.0041)</w:t>
            </w:r>
          </w:p>
        </w:tc>
        <w:tc>
          <w:tcPr>
            <w:tcW w:type="dxa" w:w="2469"/>
            <w:vAlign w:val="center"/>
          </w:tcPr>
          <w:p>
            <w:pPr>
              <w:spacing w:after="0"/>
            </w:pPr>
            <w:r/>
            <w:r>
              <w:rPr>
                <w:rFonts w:ascii="Calibri" w:hAnsi="Calibri"/>
                <w:b w:val="0"/>
                <w:sz w:val="16"/>
              </w:rPr>
              <w:t>0.9030 (95% CI: 0.8545-0.9455)</w:t>
            </w:r>
          </w:p>
        </w:tc>
        <w:tc>
          <w:tcPr>
            <w:tcW w:type="dxa" w:w="2469"/>
            <w:vAlign w:val="center"/>
          </w:tcPr>
          <w:p>
            <w:pPr>
              <w:spacing w:after="0"/>
            </w:pPr>
            <w:r/>
            <w:r>
              <w:rPr>
                <w:rFonts w:ascii="Calibri" w:hAnsi="Calibri"/>
                <w:b w:val="0"/>
                <w:sz w:val="16"/>
              </w:rPr>
              <w:t>0.9850 (95% CI: 0.9713-0.9953)</w:t>
            </w:r>
          </w:p>
        </w:tc>
      </w:tr>
      <w:tr>
        <w:tc>
          <w:tcPr>
            <w:tcW w:type="dxa" w:w="2469"/>
            <w:vAlign w:val="center"/>
          </w:tcPr>
          <w:p>
            <w:pPr>
              <w:spacing w:after="0"/>
            </w:pPr>
            <w:r/>
            <w:r>
              <w:rPr>
                <w:rFonts w:ascii="Calibri" w:hAnsi="Calibri"/>
                <w:b w:val="0"/>
                <w:sz w:val="16"/>
              </w:rPr>
              <w:t>Random Forest</w:t>
            </w:r>
          </w:p>
        </w:tc>
        <w:tc>
          <w:tcPr>
            <w:tcW w:type="dxa" w:w="2469"/>
            <w:vAlign w:val="center"/>
          </w:tcPr>
          <w:p>
            <w:pPr>
              <w:spacing w:after="0"/>
            </w:pPr>
            <w:r/>
            <w:r>
              <w:rPr>
                <w:rFonts w:ascii="Calibri" w:hAnsi="Calibri"/>
                <w:b w:val="0"/>
                <w:sz w:val="16"/>
              </w:rPr>
              <w:t>0.9788 (+/- 0.0047)</w:t>
            </w:r>
          </w:p>
        </w:tc>
        <w:tc>
          <w:tcPr>
            <w:tcW w:type="dxa" w:w="2469"/>
            <w:vAlign w:val="center"/>
          </w:tcPr>
          <w:p>
            <w:pPr>
              <w:spacing w:after="0"/>
            </w:pPr>
            <w:r/>
            <w:r>
              <w:rPr>
                <w:rFonts w:ascii="Calibri" w:hAnsi="Calibri"/>
                <w:b w:val="0"/>
                <w:sz w:val="16"/>
              </w:rPr>
              <w:t>0.9273 (95% CI: 0.8848-0.9636)</w:t>
            </w:r>
          </w:p>
        </w:tc>
        <w:tc>
          <w:tcPr>
            <w:tcW w:type="dxa" w:w="2469"/>
            <w:vAlign w:val="center"/>
          </w:tcPr>
          <w:p>
            <w:pPr>
              <w:spacing w:after="0"/>
            </w:pPr>
            <w:r/>
            <w:r>
              <w:rPr>
                <w:rFonts w:ascii="Calibri" w:hAnsi="Calibri"/>
                <w:b w:val="0"/>
                <w:sz w:val="16"/>
              </w:rPr>
              <w:t>0.9871 (95% CI: 0.9748-0.9959)</w:t>
            </w:r>
          </w:p>
        </w:tc>
      </w:tr>
      <w:tr>
        <w:tc>
          <w:tcPr>
            <w:tcW w:type="dxa" w:w="2469"/>
            <w:vAlign w:val="center"/>
          </w:tcPr>
          <w:p>
            <w:pPr>
              <w:spacing w:after="0"/>
            </w:pPr>
            <w:r/>
            <w:r>
              <w:rPr>
                <w:rFonts w:ascii="Calibri" w:hAnsi="Calibri"/>
                <w:b w:val="0"/>
                <w:sz w:val="16"/>
              </w:rPr>
              <w:t>XGBoost</w:t>
            </w:r>
          </w:p>
        </w:tc>
        <w:tc>
          <w:tcPr>
            <w:tcW w:type="dxa" w:w="2469"/>
            <w:vAlign w:val="center"/>
          </w:tcPr>
          <w:p>
            <w:pPr>
              <w:spacing w:after="0"/>
            </w:pPr>
            <w:r/>
            <w:r>
              <w:rPr>
                <w:rFonts w:ascii="Calibri" w:hAnsi="Calibri"/>
                <w:b w:val="0"/>
                <w:sz w:val="16"/>
              </w:rPr>
              <w:t>0.9783 (+/- 0.0060)</w:t>
            </w:r>
          </w:p>
        </w:tc>
        <w:tc>
          <w:tcPr>
            <w:tcW w:type="dxa" w:w="2469"/>
            <w:vAlign w:val="center"/>
          </w:tcPr>
          <w:p>
            <w:pPr>
              <w:spacing w:after="0"/>
            </w:pPr>
            <w:r/>
            <w:r>
              <w:rPr>
                <w:rFonts w:ascii="Calibri" w:hAnsi="Calibri"/>
                <w:b w:val="0"/>
                <w:sz w:val="16"/>
              </w:rPr>
              <w:t>0.9273 (95% CI: 0.8848-0.9697)</w:t>
            </w:r>
          </w:p>
        </w:tc>
        <w:tc>
          <w:tcPr>
            <w:tcW w:type="dxa" w:w="2469"/>
            <w:vAlign w:val="center"/>
          </w:tcPr>
          <w:p>
            <w:pPr>
              <w:spacing w:after="0"/>
            </w:pPr>
            <w:r/>
            <w:r>
              <w:rPr>
                <w:rFonts w:ascii="Calibri" w:hAnsi="Calibri"/>
                <w:b w:val="0"/>
                <w:sz w:val="16"/>
              </w:rPr>
              <w:t>0.9910 (95% CI: 0.9813-0.9978)</w:t>
            </w:r>
          </w:p>
        </w:tc>
      </w:tr>
      <w:tr>
        <w:tc>
          <w:tcPr>
            <w:tcW w:type="dxa" w:w="2469"/>
            <w:vAlign w:val="center"/>
          </w:tcPr>
          <w:p>
            <w:pPr>
              <w:spacing w:after="0"/>
            </w:pPr>
            <w:r/>
            <w:r>
              <w:rPr>
                <w:rFonts w:ascii="Calibri" w:hAnsi="Calibri"/>
                <w:b w:val="0"/>
                <w:sz w:val="16"/>
              </w:rPr>
              <w:t>Neural Network (MLP)</w:t>
            </w:r>
          </w:p>
        </w:tc>
        <w:tc>
          <w:tcPr>
            <w:tcW w:type="dxa" w:w="2469"/>
            <w:vAlign w:val="center"/>
          </w:tcPr>
          <w:p>
            <w:pPr>
              <w:spacing w:after="0"/>
            </w:pPr>
            <w:r/>
            <w:r>
              <w:rPr>
                <w:rFonts w:ascii="Calibri" w:hAnsi="Calibri"/>
                <w:b w:val="0"/>
                <w:sz w:val="16"/>
              </w:rPr>
              <w:t>0.9781 (+/- 0.0048)</w:t>
            </w:r>
          </w:p>
        </w:tc>
        <w:tc>
          <w:tcPr>
            <w:tcW w:type="dxa" w:w="2469"/>
            <w:vAlign w:val="center"/>
          </w:tcPr>
          <w:p>
            <w:pPr>
              <w:spacing w:after="0"/>
            </w:pPr>
            <w:r/>
            <w:r>
              <w:rPr>
                <w:rFonts w:ascii="Calibri" w:hAnsi="Calibri"/>
                <w:b w:val="0"/>
                <w:sz w:val="16"/>
              </w:rPr>
              <w:t>0.8970 (95% CI: 0.8485-0.9455)</w:t>
            </w:r>
          </w:p>
        </w:tc>
        <w:tc>
          <w:tcPr>
            <w:tcW w:type="dxa" w:w="2469"/>
            <w:vAlign w:val="center"/>
          </w:tcPr>
          <w:p>
            <w:pPr>
              <w:spacing w:after="0"/>
            </w:pPr>
            <w:r/>
            <w:r>
              <w:rPr>
                <w:rFonts w:ascii="Calibri" w:hAnsi="Calibri"/>
                <w:b w:val="0"/>
                <w:sz w:val="16"/>
              </w:rPr>
              <w:t>0.9812 (95% CI: 0.9647-0.9937)</w:t>
            </w:r>
          </w:p>
        </w:tc>
      </w:tr>
    </w:tbl>
    <w:p>
      <w:pPr>
        <w:spacing w:before="60" w:after="160"/>
        <w:jc w:val="center"/>
      </w:pPr>
      <w:r>
        <w:rPr>
          <w:rFonts w:ascii="Calibri" w:hAnsi="Calibri"/>
          <w:i/>
          <w:color w:val="5A5A5A"/>
          <w:sz w:val="17"/>
        </w:rPr>
        <w:t>Table 3. Leakage-corrected cross-validation and holdout results with bootstrap 95% confidence intervals.</w:t>
      </w:r>
    </w:p>
    <w:p>
      <w:pPr>
        <w:spacing w:before="40" w:after="40"/>
        <w:jc w:val="center"/>
      </w:pPr>
      <w:r>
        <w:drawing>
          <wp:inline xmlns:a="http://schemas.openxmlformats.org/drawingml/2006/main" xmlns:pic="http://schemas.openxmlformats.org/drawingml/2006/picture">
            <wp:extent cx="4754880" cy="3803904"/>
            <wp:docPr id="1" name="Picture 1"/>
            <wp:cNvGraphicFramePr>
              <a:graphicFrameLocks noChangeAspect="1"/>
            </wp:cNvGraphicFramePr>
            <a:graphic>
              <a:graphicData uri="http://schemas.openxmlformats.org/drawingml/2006/picture">
                <pic:pic>
                  <pic:nvPicPr>
                    <pic:cNvPr id="0" name="calibration_comparison_curves.png"/>
                    <pic:cNvPicPr/>
                  </pic:nvPicPr>
                  <pic:blipFill>
                    <a:blip r:embed="rId10"/>
                    <a:stretch>
                      <a:fillRect/>
                    </a:stretch>
                  </pic:blipFill>
                  <pic:spPr>
                    <a:xfrm>
                      <a:off x="0" y="0"/>
                      <a:ext cx="4754880" cy="3803904"/>
                    </a:xfrm>
                    <a:prstGeom prst="rect"/>
                  </pic:spPr>
                </pic:pic>
              </a:graphicData>
            </a:graphic>
          </wp:inline>
        </w:drawing>
      </w:r>
    </w:p>
    <w:p>
      <w:pPr>
        <w:spacing w:before="60" w:after="160"/>
        <w:jc w:val="center"/>
      </w:pPr>
      <w:r>
        <w:rPr>
          <w:rFonts w:ascii="Calibri" w:hAnsi="Calibri"/>
          <w:i/>
          <w:color w:val="5A5A5A"/>
          <w:sz w:val="17"/>
        </w:rPr>
        <w:t>Figure 1. Calibration curves showing observed positive fraction vs. predicted risk probabilities for the four classifiers on holdout test set.</w:t>
      </w:r>
    </w:p>
    <w:p>
      <w:pPr>
        <w:spacing w:before="0" w:after="140" w:line="283" w:lineRule="auto"/>
      </w:pPr>
      <w:r>
        <w:rPr>
          <w:rFonts w:ascii="Calibri" w:hAnsi="Calibri"/>
          <w:color w:val="141F2B"/>
          <w:sz w:val="20"/>
        </w:rPr>
        <w:t>On the holdout set (n = 117), XGBoost had an ROC-AUC of 0.9910 (95% CI: 0.9813-0.9978) and accuracy of 0.9273. On holdout: Logistic Regression (Brier=0.0513, ECE=0.0722), Random Forest (Brier=0.0517, ECE=0.0492), XGBoost (Brier=0.0461, ECE=0.0481), Neural Network (MLP) (Brier=0.0566, ECE=0.0625). Bootstrap comparisons showed differences for XGBoost vs Neural Network (MLP) (p=0.0369). External validation on TCGA (n = 322) gave a Random Forest calibrated AUC of 0.973 and accuracy of 0.921, with XGBoost close behind at 0.968 and 0.903. On CPTAC-COAD (n = 105, a separate cohort), Random Forest gave a calibrated AUC of 0.9487 and accuracy of 0.8679. Full results: Logistic Regression (AUC=0.8832, Acc=0.7925); Random Forest (AUC=0.9487, Acc=0.8679); XGBoost (AUC=0.9231, Acc=0.8302); Neural Network (MLP) (AUC=0.9402, Acc=0.8302).</w:t>
      </w:r>
    </w:p>
    <w:p>
      <w:r>
        <w:br w:type="page"/>
      </w:r>
    </w:p>
    <w:p>
      <w:pPr>
        <w:pStyle w:val="Heading1"/>
        <w:keepNext/>
        <w:spacing w:before="240" w:after="100"/>
      </w:pPr>
    </w:p>
    <w:p>
      <w:pPr>
        <w:spacing w:before="0" w:after="140" w:line="283" w:lineRule="auto"/>
      </w:pPr>
      <w:r>
        <w:rPr>
          <w:rFonts w:ascii="Calibri" w:hAnsi="Calibri"/>
          <w:color w:val="141F2B"/>
          <w:sz w:val="20"/>
        </w:rPr>
        <w:t>SHAP values were computed from the pipeline-transformed features. Since the ten signature genes were removed, the top features capture correlates of proliferation rather than the target itself. The highest-ranked ANOVA features are listed in Table 4.</w:t>
      </w:r>
    </w:p>
    <w:tbl>
      <w:tblPr>
        <w:tblW w:type="auto" w:w="0"/>
        <w:jc w:val="center"/>
        <w:tblLook w:firstColumn="1" w:firstRow="1" w:lastColumn="0" w:lastRow="0" w:noHBand="0" w:noVBand="1" w:val="04A0"/>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2469"/>
        <w:gridCol w:w="2469"/>
        <w:gridCol w:w="2469"/>
        <w:gridCol w:w="2469"/>
      </w:tblGrid>
      <w:tr>
        <w:trPr>
          <w:tblHeader w:val="true"/>
        </w:trPr>
        <w:tc>
          <w:tcPr>
            <w:tcW w:type="dxa" w:w="2469"/>
            <w:shd w:fill="F4F6F9"/>
            <w:vAlign w:val="center"/>
          </w:tcPr>
          <w:p>
            <w:pPr>
              <w:spacing w:after="0"/>
            </w:pPr>
            <w:r/>
            <w:r>
              <w:rPr>
                <w:rFonts w:ascii="Calibri" w:hAnsi="Calibri"/>
                <w:b/>
                <w:color w:val="141F2B"/>
                <w:sz w:val="17"/>
              </w:rPr>
              <w:t>Rank</w:t>
            </w:r>
          </w:p>
        </w:tc>
        <w:tc>
          <w:tcPr>
            <w:tcW w:type="dxa" w:w="2469"/>
            <w:shd w:fill="F4F6F9"/>
            <w:vAlign w:val="center"/>
          </w:tcPr>
          <w:p>
            <w:pPr>
              <w:spacing w:after="0"/>
            </w:pPr>
            <w:r/>
            <w:r>
              <w:rPr>
                <w:rFonts w:ascii="Calibri" w:hAnsi="Calibri"/>
                <w:b/>
                <w:color w:val="141F2B"/>
                <w:sz w:val="17"/>
              </w:rPr>
              <w:t>Gene Symbol</w:t>
            </w:r>
          </w:p>
        </w:tc>
        <w:tc>
          <w:tcPr>
            <w:tcW w:type="dxa" w:w="2469"/>
            <w:shd w:fill="F4F6F9"/>
            <w:vAlign w:val="center"/>
          </w:tcPr>
          <w:p>
            <w:pPr>
              <w:spacing w:after="0"/>
            </w:pPr>
            <w:r/>
            <w:r>
              <w:rPr>
                <w:rFonts w:ascii="Calibri" w:hAnsi="Calibri"/>
                <w:b/>
                <w:color w:val="141F2B"/>
                <w:sz w:val="17"/>
              </w:rPr>
              <w:t>ANOVA F-Score</w:t>
            </w:r>
          </w:p>
        </w:tc>
        <w:tc>
          <w:tcPr>
            <w:tcW w:type="dxa" w:w="2469"/>
            <w:shd w:fill="F4F6F9"/>
            <w:vAlign w:val="center"/>
          </w:tcPr>
          <w:p>
            <w:pPr>
              <w:spacing w:after="0"/>
            </w:pPr>
            <w:r/>
            <w:r>
              <w:rPr>
                <w:rFonts w:ascii="Calibri" w:hAnsi="Calibri"/>
                <w:b/>
                <w:color w:val="141F2B"/>
                <w:sz w:val="17"/>
              </w:rPr>
              <w:t>CV Selection Frequency</w:t>
            </w:r>
          </w:p>
        </w:tc>
      </w:tr>
      <w:tr>
        <w:tc>
          <w:tcPr>
            <w:tcW w:type="dxa" w:w="2469"/>
            <w:vAlign w:val="center"/>
          </w:tcPr>
          <w:p>
            <w:pPr>
              <w:spacing w:after="0"/>
            </w:pPr>
            <w:r/>
            <w:r>
              <w:rPr>
                <w:rFonts w:ascii="Calibri" w:hAnsi="Calibri"/>
                <w:b w:val="0"/>
                <w:sz w:val="16"/>
              </w:rPr>
              <w:t>1</w:t>
            </w:r>
          </w:p>
        </w:tc>
        <w:tc>
          <w:tcPr>
            <w:tcW w:type="dxa" w:w="2469"/>
            <w:vAlign w:val="center"/>
          </w:tcPr>
          <w:p>
            <w:pPr>
              <w:spacing w:after="0"/>
            </w:pPr>
            <w:r/>
            <w:r>
              <w:rPr>
                <w:rFonts w:ascii="Calibri" w:hAnsi="Calibri"/>
                <w:b w:val="0"/>
                <w:sz w:val="16"/>
              </w:rPr>
              <w:t>MCM10</w:t>
            </w:r>
          </w:p>
        </w:tc>
        <w:tc>
          <w:tcPr>
            <w:tcW w:type="dxa" w:w="2469"/>
            <w:vAlign w:val="center"/>
          </w:tcPr>
          <w:p>
            <w:pPr>
              <w:spacing w:after="0"/>
            </w:pPr>
            <w:r/>
            <w:r>
              <w:rPr>
                <w:rFonts w:ascii="Calibri" w:hAnsi="Calibri"/>
                <w:b w:val="0"/>
                <w:sz w:val="16"/>
              </w:rPr>
              <w:t>886.276</w:t>
            </w:r>
          </w:p>
        </w:tc>
        <w:tc>
          <w:tcPr>
            <w:tcW w:type="dxa" w:w="2469"/>
            <w:vAlign w:val="center"/>
          </w:tcPr>
          <w:p>
            <w:pPr>
              <w:spacing w:after="0"/>
            </w:pPr>
            <w:r/>
            <w:r>
              <w:rPr>
                <w:rFonts w:ascii="Calibri" w:hAnsi="Calibri"/>
                <w:b w:val="0"/>
                <w:sz w:val="16"/>
              </w:rPr>
              <w:t>5 / 5</w:t>
            </w:r>
          </w:p>
        </w:tc>
      </w:tr>
      <w:tr>
        <w:tc>
          <w:tcPr>
            <w:tcW w:type="dxa" w:w="2469"/>
            <w:vAlign w:val="center"/>
          </w:tcPr>
          <w:p>
            <w:pPr>
              <w:spacing w:after="0"/>
            </w:pPr>
            <w:r/>
            <w:r>
              <w:rPr>
                <w:rFonts w:ascii="Calibri" w:hAnsi="Calibri"/>
                <w:b w:val="0"/>
                <w:sz w:val="16"/>
              </w:rPr>
              <w:t>2</w:t>
            </w:r>
          </w:p>
        </w:tc>
        <w:tc>
          <w:tcPr>
            <w:tcW w:type="dxa" w:w="2469"/>
            <w:vAlign w:val="center"/>
          </w:tcPr>
          <w:p>
            <w:pPr>
              <w:spacing w:after="0"/>
            </w:pPr>
            <w:r/>
            <w:r>
              <w:rPr>
                <w:rFonts w:ascii="Calibri" w:hAnsi="Calibri"/>
                <w:b w:val="0"/>
                <w:sz w:val="16"/>
              </w:rPr>
              <w:t>NCAPH</w:t>
            </w:r>
          </w:p>
        </w:tc>
        <w:tc>
          <w:tcPr>
            <w:tcW w:type="dxa" w:w="2469"/>
            <w:vAlign w:val="center"/>
          </w:tcPr>
          <w:p>
            <w:pPr>
              <w:spacing w:after="0"/>
            </w:pPr>
            <w:r/>
            <w:r>
              <w:rPr>
                <w:rFonts w:ascii="Calibri" w:hAnsi="Calibri"/>
                <w:b w:val="0"/>
                <w:sz w:val="16"/>
              </w:rPr>
              <w:t>849.649</w:t>
            </w:r>
          </w:p>
        </w:tc>
        <w:tc>
          <w:tcPr>
            <w:tcW w:type="dxa" w:w="2469"/>
            <w:vAlign w:val="center"/>
          </w:tcPr>
          <w:p>
            <w:pPr>
              <w:spacing w:after="0"/>
            </w:pPr>
            <w:r/>
            <w:r>
              <w:rPr>
                <w:rFonts w:ascii="Calibri" w:hAnsi="Calibri"/>
                <w:b w:val="0"/>
                <w:sz w:val="16"/>
              </w:rPr>
              <w:t>5 / 5</w:t>
            </w:r>
          </w:p>
        </w:tc>
      </w:tr>
      <w:tr>
        <w:tc>
          <w:tcPr>
            <w:tcW w:type="dxa" w:w="2469"/>
            <w:vAlign w:val="center"/>
          </w:tcPr>
          <w:p>
            <w:pPr>
              <w:spacing w:after="0"/>
            </w:pPr>
            <w:r/>
            <w:r>
              <w:rPr>
                <w:rFonts w:ascii="Calibri" w:hAnsi="Calibri"/>
                <w:b w:val="0"/>
                <w:sz w:val="16"/>
              </w:rPr>
              <w:t>3</w:t>
            </w:r>
          </w:p>
        </w:tc>
        <w:tc>
          <w:tcPr>
            <w:tcW w:type="dxa" w:w="2469"/>
            <w:vAlign w:val="center"/>
          </w:tcPr>
          <w:p>
            <w:pPr>
              <w:spacing w:after="0"/>
            </w:pPr>
            <w:r/>
            <w:r>
              <w:rPr>
                <w:rFonts w:ascii="Calibri" w:hAnsi="Calibri"/>
                <w:b w:val="0"/>
                <w:sz w:val="16"/>
              </w:rPr>
              <w:t>EXO1</w:t>
            </w:r>
          </w:p>
        </w:tc>
        <w:tc>
          <w:tcPr>
            <w:tcW w:type="dxa" w:w="2469"/>
            <w:vAlign w:val="center"/>
          </w:tcPr>
          <w:p>
            <w:pPr>
              <w:spacing w:after="0"/>
            </w:pPr>
            <w:r/>
            <w:r>
              <w:rPr>
                <w:rFonts w:ascii="Calibri" w:hAnsi="Calibri"/>
                <w:b w:val="0"/>
                <w:sz w:val="16"/>
              </w:rPr>
              <w:t>836.489</w:t>
            </w:r>
          </w:p>
        </w:tc>
        <w:tc>
          <w:tcPr>
            <w:tcW w:type="dxa" w:w="2469"/>
            <w:vAlign w:val="center"/>
          </w:tcPr>
          <w:p>
            <w:pPr>
              <w:spacing w:after="0"/>
            </w:pPr>
            <w:r/>
            <w:r>
              <w:rPr>
                <w:rFonts w:ascii="Calibri" w:hAnsi="Calibri"/>
                <w:b w:val="0"/>
                <w:sz w:val="16"/>
              </w:rPr>
              <w:t>5 / 5</w:t>
            </w:r>
          </w:p>
        </w:tc>
      </w:tr>
      <w:tr>
        <w:tc>
          <w:tcPr>
            <w:tcW w:type="dxa" w:w="2469"/>
            <w:vAlign w:val="center"/>
          </w:tcPr>
          <w:p>
            <w:pPr>
              <w:spacing w:after="0"/>
            </w:pPr>
            <w:r/>
            <w:r>
              <w:rPr>
                <w:rFonts w:ascii="Calibri" w:hAnsi="Calibri"/>
                <w:b w:val="0"/>
                <w:sz w:val="16"/>
              </w:rPr>
              <w:t>4</w:t>
            </w:r>
          </w:p>
        </w:tc>
        <w:tc>
          <w:tcPr>
            <w:tcW w:type="dxa" w:w="2469"/>
            <w:vAlign w:val="center"/>
          </w:tcPr>
          <w:p>
            <w:pPr>
              <w:spacing w:after="0"/>
            </w:pPr>
            <w:r/>
            <w:r>
              <w:rPr>
                <w:rFonts w:ascii="Calibri" w:hAnsi="Calibri"/>
                <w:b w:val="0"/>
                <w:sz w:val="16"/>
              </w:rPr>
              <w:t>MTFR2</w:t>
            </w:r>
          </w:p>
        </w:tc>
        <w:tc>
          <w:tcPr>
            <w:tcW w:type="dxa" w:w="2469"/>
            <w:vAlign w:val="center"/>
          </w:tcPr>
          <w:p>
            <w:pPr>
              <w:spacing w:after="0"/>
            </w:pPr>
            <w:r/>
            <w:r>
              <w:rPr>
                <w:rFonts w:ascii="Calibri" w:hAnsi="Calibri"/>
                <w:b w:val="0"/>
                <w:sz w:val="16"/>
              </w:rPr>
              <w:t>827.047</w:t>
            </w:r>
          </w:p>
        </w:tc>
        <w:tc>
          <w:tcPr>
            <w:tcW w:type="dxa" w:w="2469"/>
            <w:vAlign w:val="center"/>
          </w:tcPr>
          <w:p>
            <w:pPr>
              <w:spacing w:after="0"/>
            </w:pPr>
            <w:r/>
            <w:r>
              <w:rPr>
                <w:rFonts w:ascii="Calibri" w:hAnsi="Calibri"/>
                <w:b w:val="0"/>
                <w:sz w:val="16"/>
              </w:rPr>
              <w:t>5 / 5</w:t>
            </w:r>
          </w:p>
        </w:tc>
      </w:tr>
      <w:tr>
        <w:tc>
          <w:tcPr>
            <w:tcW w:type="dxa" w:w="2469"/>
            <w:vAlign w:val="center"/>
          </w:tcPr>
          <w:p>
            <w:pPr>
              <w:spacing w:after="0"/>
            </w:pPr>
            <w:r/>
            <w:r>
              <w:rPr>
                <w:rFonts w:ascii="Calibri" w:hAnsi="Calibri"/>
                <w:b w:val="0"/>
                <w:sz w:val="16"/>
              </w:rPr>
              <w:t>5</w:t>
            </w:r>
          </w:p>
        </w:tc>
        <w:tc>
          <w:tcPr>
            <w:tcW w:type="dxa" w:w="2469"/>
            <w:vAlign w:val="center"/>
          </w:tcPr>
          <w:p>
            <w:pPr>
              <w:spacing w:after="0"/>
            </w:pPr>
            <w:r/>
            <w:r>
              <w:rPr>
                <w:rFonts w:ascii="Calibri" w:hAnsi="Calibri"/>
                <w:b w:val="0"/>
                <w:sz w:val="16"/>
              </w:rPr>
              <w:t>ORC1</w:t>
            </w:r>
          </w:p>
        </w:tc>
        <w:tc>
          <w:tcPr>
            <w:tcW w:type="dxa" w:w="2469"/>
            <w:vAlign w:val="center"/>
          </w:tcPr>
          <w:p>
            <w:pPr>
              <w:spacing w:after="0"/>
            </w:pPr>
            <w:r/>
            <w:r>
              <w:rPr>
                <w:rFonts w:ascii="Calibri" w:hAnsi="Calibri"/>
                <w:b w:val="0"/>
                <w:sz w:val="16"/>
              </w:rPr>
              <w:t>792.038</w:t>
            </w:r>
          </w:p>
        </w:tc>
        <w:tc>
          <w:tcPr>
            <w:tcW w:type="dxa" w:w="2469"/>
            <w:vAlign w:val="center"/>
          </w:tcPr>
          <w:p>
            <w:pPr>
              <w:spacing w:after="0"/>
            </w:pPr>
            <w:r/>
            <w:r>
              <w:rPr>
                <w:rFonts w:ascii="Calibri" w:hAnsi="Calibri"/>
                <w:b w:val="0"/>
                <w:sz w:val="16"/>
              </w:rPr>
              <w:t>5 / 5</w:t>
            </w:r>
          </w:p>
        </w:tc>
      </w:tr>
      <w:tr>
        <w:tc>
          <w:tcPr>
            <w:tcW w:type="dxa" w:w="2469"/>
            <w:vAlign w:val="center"/>
          </w:tcPr>
          <w:p>
            <w:pPr>
              <w:spacing w:after="0"/>
            </w:pPr>
            <w:r/>
            <w:r>
              <w:rPr>
                <w:rFonts w:ascii="Calibri" w:hAnsi="Calibri"/>
                <w:b w:val="0"/>
                <w:sz w:val="16"/>
              </w:rPr>
              <w:t>6</w:t>
            </w:r>
          </w:p>
        </w:tc>
        <w:tc>
          <w:tcPr>
            <w:tcW w:type="dxa" w:w="2469"/>
            <w:vAlign w:val="center"/>
          </w:tcPr>
          <w:p>
            <w:pPr>
              <w:spacing w:after="0"/>
            </w:pPr>
            <w:r/>
            <w:r>
              <w:rPr>
                <w:rFonts w:ascii="Calibri" w:hAnsi="Calibri"/>
                <w:b w:val="0"/>
                <w:sz w:val="16"/>
              </w:rPr>
              <w:t>FANCI</w:t>
            </w:r>
          </w:p>
        </w:tc>
        <w:tc>
          <w:tcPr>
            <w:tcW w:type="dxa" w:w="2469"/>
            <w:vAlign w:val="center"/>
          </w:tcPr>
          <w:p>
            <w:pPr>
              <w:spacing w:after="0"/>
            </w:pPr>
            <w:r/>
            <w:r>
              <w:rPr>
                <w:rFonts w:ascii="Calibri" w:hAnsi="Calibri"/>
                <w:b w:val="0"/>
                <w:sz w:val="16"/>
              </w:rPr>
              <w:t>790.832</w:t>
            </w:r>
          </w:p>
        </w:tc>
        <w:tc>
          <w:tcPr>
            <w:tcW w:type="dxa" w:w="2469"/>
            <w:vAlign w:val="center"/>
          </w:tcPr>
          <w:p>
            <w:pPr>
              <w:spacing w:after="0"/>
            </w:pPr>
            <w:r/>
            <w:r>
              <w:rPr>
                <w:rFonts w:ascii="Calibri" w:hAnsi="Calibri"/>
                <w:b w:val="0"/>
                <w:sz w:val="16"/>
              </w:rPr>
              <w:t>5 / 5</w:t>
            </w:r>
          </w:p>
        </w:tc>
      </w:tr>
      <w:tr>
        <w:tc>
          <w:tcPr>
            <w:tcW w:type="dxa" w:w="2469"/>
            <w:vAlign w:val="center"/>
          </w:tcPr>
          <w:p>
            <w:pPr>
              <w:spacing w:after="0"/>
            </w:pPr>
            <w:r/>
            <w:r>
              <w:rPr>
                <w:rFonts w:ascii="Calibri" w:hAnsi="Calibri"/>
                <w:b w:val="0"/>
                <w:sz w:val="16"/>
              </w:rPr>
              <w:t>7</w:t>
            </w:r>
          </w:p>
        </w:tc>
        <w:tc>
          <w:tcPr>
            <w:tcW w:type="dxa" w:w="2469"/>
            <w:vAlign w:val="center"/>
          </w:tcPr>
          <w:p>
            <w:pPr>
              <w:spacing w:after="0"/>
            </w:pPr>
            <w:r/>
            <w:r>
              <w:rPr>
                <w:rFonts w:ascii="Calibri" w:hAnsi="Calibri"/>
                <w:b w:val="0"/>
                <w:sz w:val="16"/>
              </w:rPr>
              <w:t>CENPN</w:t>
            </w:r>
          </w:p>
        </w:tc>
        <w:tc>
          <w:tcPr>
            <w:tcW w:type="dxa" w:w="2469"/>
            <w:vAlign w:val="center"/>
          </w:tcPr>
          <w:p>
            <w:pPr>
              <w:spacing w:after="0"/>
            </w:pPr>
            <w:r/>
            <w:r>
              <w:rPr>
                <w:rFonts w:ascii="Calibri" w:hAnsi="Calibri"/>
                <w:b w:val="0"/>
                <w:sz w:val="16"/>
              </w:rPr>
              <w:t>782.427</w:t>
            </w:r>
          </w:p>
        </w:tc>
        <w:tc>
          <w:tcPr>
            <w:tcW w:type="dxa" w:w="2469"/>
            <w:vAlign w:val="center"/>
          </w:tcPr>
          <w:p>
            <w:pPr>
              <w:spacing w:after="0"/>
            </w:pPr>
            <w:r/>
            <w:r>
              <w:rPr>
                <w:rFonts w:ascii="Calibri" w:hAnsi="Calibri"/>
                <w:b w:val="0"/>
                <w:sz w:val="16"/>
              </w:rPr>
              <w:t>5 / 5</w:t>
            </w:r>
          </w:p>
        </w:tc>
      </w:tr>
      <w:tr>
        <w:tc>
          <w:tcPr>
            <w:tcW w:type="dxa" w:w="2469"/>
            <w:vAlign w:val="center"/>
          </w:tcPr>
          <w:p>
            <w:pPr>
              <w:spacing w:after="0"/>
            </w:pPr>
            <w:r/>
            <w:r>
              <w:rPr>
                <w:rFonts w:ascii="Calibri" w:hAnsi="Calibri"/>
                <w:b w:val="0"/>
                <w:sz w:val="16"/>
              </w:rPr>
              <w:t>8</w:t>
            </w:r>
          </w:p>
        </w:tc>
        <w:tc>
          <w:tcPr>
            <w:tcW w:type="dxa" w:w="2469"/>
            <w:vAlign w:val="center"/>
          </w:tcPr>
          <w:p>
            <w:pPr>
              <w:spacing w:after="0"/>
            </w:pPr>
            <w:r/>
            <w:r>
              <w:rPr>
                <w:rFonts w:ascii="Calibri" w:hAnsi="Calibri"/>
                <w:b w:val="0"/>
                <w:sz w:val="16"/>
              </w:rPr>
              <w:t>NCAPD3</w:t>
            </w:r>
          </w:p>
        </w:tc>
        <w:tc>
          <w:tcPr>
            <w:tcW w:type="dxa" w:w="2469"/>
            <w:vAlign w:val="center"/>
          </w:tcPr>
          <w:p>
            <w:pPr>
              <w:spacing w:after="0"/>
            </w:pPr>
            <w:r/>
            <w:r>
              <w:rPr>
                <w:rFonts w:ascii="Calibri" w:hAnsi="Calibri"/>
                <w:b w:val="0"/>
                <w:sz w:val="16"/>
              </w:rPr>
              <w:t>776.616</w:t>
            </w:r>
          </w:p>
        </w:tc>
        <w:tc>
          <w:tcPr>
            <w:tcW w:type="dxa" w:w="2469"/>
            <w:vAlign w:val="center"/>
          </w:tcPr>
          <w:p>
            <w:pPr>
              <w:spacing w:after="0"/>
            </w:pPr>
            <w:r/>
            <w:r>
              <w:rPr>
                <w:rFonts w:ascii="Calibri" w:hAnsi="Calibri"/>
                <w:b w:val="0"/>
                <w:sz w:val="16"/>
              </w:rPr>
              <w:t>5 / 5</w:t>
            </w:r>
          </w:p>
        </w:tc>
      </w:tr>
      <w:tr>
        <w:tc>
          <w:tcPr>
            <w:tcW w:type="dxa" w:w="2469"/>
            <w:vAlign w:val="center"/>
          </w:tcPr>
          <w:p>
            <w:pPr>
              <w:spacing w:after="0"/>
            </w:pPr>
            <w:r/>
            <w:r>
              <w:rPr>
                <w:rFonts w:ascii="Calibri" w:hAnsi="Calibri"/>
                <w:b w:val="0"/>
                <w:sz w:val="16"/>
              </w:rPr>
              <w:t>9</w:t>
            </w:r>
          </w:p>
        </w:tc>
        <w:tc>
          <w:tcPr>
            <w:tcW w:type="dxa" w:w="2469"/>
            <w:vAlign w:val="center"/>
          </w:tcPr>
          <w:p>
            <w:pPr>
              <w:spacing w:after="0"/>
            </w:pPr>
            <w:r/>
            <w:r>
              <w:rPr>
                <w:rFonts w:ascii="Calibri" w:hAnsi="Calibri"/>
                <w:b w:val="0"/>
                <w:sz w:val="16"/>
              </w:rPr>
              <w:t>CHEK1</w:t>
            </w:r>
          </w:p>
        </w:tc>
        <w:tc>
          <w:tcPr>
            <w:tcW w:type="dxa" w:w="2469"/>
            <w:vAlign w:val="center"/>
          </w:tcPr>
          <w:p>
            <w:pPr>
              <w:spacing w:after="0"/>
            </w:pPr>
            <w:r/>
            <w:r>
              <w:rPr>
                <w:rFonts w:ascii="Calibri" w:hAnsi="Calibri"/>
                <w:b w:val="0"/>
                <w:sz w:val="16"/>
              </w:rPr>
              <w:t>769.846</w:t>
            </w:r>
          </w:p>
        </w:tc>
        <w:tc>
          <w:tcPr>
            <w:tcW w:type="dxa" w:w="2469"/>
            <w:vAlign w:val="center"/>
          </w:tcPr>
          <w:p>
            <w:pPr>
              <w:spacing w:after="0"/>
            </w:pPr>
            <w:r/>
            <w:r>
              <w:rPr>
                <w:rFonts w:ascii="Calibri" w:hAnsi="Calibri"/>
                <w:b w:val="0"/>
                <w:sz w:val="16"/>
              </w:rPr>
              <w:t>5 / 5</w:t>
            </w:r>
          </w:p>
        </w:tc>
      </w:tr>
      <w:tr>
        <w:tc>
          <w:tcPr>
            <w:tcW w:type="dxa" w:w="2469"/>
            <w:vAlign w:val="center"/>
          </w:tcPr>
          <w:p>
            <w:pPr>
              <w:spacing w:after="0"/>
            </w:pPr>
            <w:r/>
            <w:r>
              <w:rPr>
                <w:rFonts w:ascii="Calibri" w:hAnsi="Calibri"/>
                <w:b w:val="0"/>
                <w:sz w:val="16"/>
              </w:rPr>
              <w:t>10</w:t>
            </w:r>
          </w:p>
        </w:tc>
        <w:tc>
          <w:tcPr>
            <w:tcW w:type="dxa" w:w="2469"/>
            <w:vAlign w:val="center"/>
          </w:tcPr>
          <w:p>
            <w:pPr>
              <w:spacing w:after="0"/>
            </w:pPr>
            <w:r/>
            <w:r>
              <w:rPr>
                <w:rFonts w:ascii="Calibri" w:hAnsi="Calibri"/>
                <w:b w:val="0"/>
                <w:sz w:val="16"/>
              </w:rPr>
              <w:t>AUNIP</w:t>
            </w:r>
          </w:p>
        </w:tc>
        <w:tc>
          <w:tcPr>
            <w:tcW w:type="dxa" w:w="2469"/>
            <w:vAlign w:val="center"/>
          </w:tcPr>
          <w:p>
            <w:pPr>
              <w:spacing w:after="0"/>
            </w:pPr>
            <w:r/>
            <w:r>
              <w:rPr>
                <w:rFonts w:ascii="Calibri" w:hAnsi="Calibri"/>
                <w:b w:val="0"/>
                <w:sz w:val="16"/>
              </w:rPr>
              <w:t>759.041</w:t>
            </w:r>
          </w:p>
        </w:tc>
        <w:tc>
          <w:tcPr>
            <w:tcW w:type="dxa" w:w="2469"/>
            <w:vAlign w:val="center"/>
          </w:tcPr>
          <w:p>
            <w:pPr>
              <w:spacing w:after="0"/>
            </w:pPr>
            <w:r/>
            <w:r>
              <w:rPr>
                <w:rFonts w:ascii="Calibri" w:hAnsi="Calibri"/>
                <w:b w:val="0"/>
                <w:sz w:val="16"/>
              </w:rPr>
              <w:t>5 / 5</w:t>
            </w:r>
          </w:p>
        </w:tc>
      </w:tr>
      <w:tr>
        <w:tc>
          <w:tcPr>
            <w:tcW w:type="dxa" w:w="2469"/>
            <w:vAlign w:val="center"/>
          </w:tcPr>
          <w:p>
            <w:pPr>
              <w:spacing w:after="0"/>
            </w:pPr>
            <w:r/>
            <w:r>
              <w:rPr>
                <w:rFonts w:ascii="Calibri" w:hAnsi="Calibri"/>
                <w:b w:val="0"/>
                <w:sz w:val="16"/>
              </w:rPr>
              <w:t>11</w:t>
            </w:r>
          </w:p>
        </w:tc>
        <w:tc>
          <w:tcPr>
            <w:tcW w:type="dxa" w:w="2469"/>
            <w:vAlign w:val="center"/>
          </w:tcPr>
          <w:p>
            <w:pPr>
              <w:spacing w:after="0"/>
            </w:pPr>
            <w:r/>
            <w:r>
              <w:rPr>
                <w:rFonts w:ascii="Calibri" w:hAnsi="Calibri"/>
                <w:b w:val="0"/>
                <w:sz w:val="16"/>
              </w:rPr>
              <w:t>PLK4</w:t>
            </w:r>
          </w:p>
        </w:tc>
        <w:tc>
          <w:tcPr>
            <w:tcW w:type="dxa" w:w="2469"/>
            <w:vAlign w:val="center"/>
          </w:tcPr>
          <w:p>
            <w:pPr>
              <w:spacing w:after="0"/>
            </w:pPr>
            <w:r/>
            <w:r>
              <w:rPr>
                <w:rFonts w:ascii="Calibri" w:hAnsi="Calibri"/>
                <w:b w:val="0"/>
                <w:sz w:val="16"/>
              </w:rPr>
              <w:t>751.620</w:t>
            </w:r>
          </w:p>
        </w:tc>
        <w:tc>
          <w:tcPr>
            <w:tcW w:type="dxa" w:w="2469"/>
            <w:vAlign w:val="center"/>
          </w:tcPr>
          <w:p>
            <w:pPr>
              <w:spacing w:after="0"/>
            </w:pPr>
            <w:r/>
            <w:r>
              <w:rPr>
                <w:rFonts w:ascii="Calibri" w:hAnsi="Calibri"/>
                <w:b w:val="0"/>
                <w:sz w:val="16"/>
              </w:rPr>
              <w:t>5 / 5</w:t>
            </w:r>
          </w:p>
        </w:tc>
      </w:tr>
      <w:tr>
        <w:tc>
          <w:tcPr>
            <w:tcW w:type="dxa" w:w="2469"/>
            <w:vAlign w:val="center"/>
          </w:tcPr>
          <w:p>
            <w:pPr>
              <w:spacing w:after="0"/>
            </w:pPr>
            <w:r/>
            <w:r>
              <w:rPr>
                <w:rFonts w:ascii="Calibri" w:hAnsi="Calibri"/>
                <w:b w:val="0"/>
                <w:sz w:val="16"/>
              </w:rPr>
              <w:t>12</w:t>
            </w:r>
          </w:p>
        </w:tc>
        <w:tc>
          <w:tcPr>
            <w:tcW w:type="dxa" w:w="2469"/>
            <w:vAlign w:val="center"/>
          </w:tcPr>
          <w:p>
            <w:pPr>
              <w:spacing w:after="0"/>
            </w:pPr>
            <w:r/>
            <w:r>
              <w:rPr>
                <w:rFonts w:ascii="Calibri" w:hAnsi="Calibri"/>
                <w:b w:val="0"/>
                <w:sz w:val="16"/>
              </w:rPr>
              <w:t>FBXO5</w:t>
            </w:r>
          </w:p>
        </w:tc>
        <w:tc>
          <w:tcPr>
            <w:tcW w:type="dxa" w:w="2469"/>
            <w:vAlign w:val="center"/>
          </w:tcPr>
          <w:p>
            <w:pPr>
              <w:spacing w:after="0"/>
            </w:pPr>
            <w:r/>
            <w:r>
              <w:rPr>
                <w:rFonts w:ascii="Calibri" w:hAnsi="Calibri"/>
                <w:b w:val="0"/>
                <w:sz w:val="16"/>
              </w:rPr>
              <w:t>750.786</w:t>
            </w:r>
          </w:p>
        </w:tc>
        <w:tc>
          <w:tcPr>
            <w:tcW w:type="dxa" w:w="2469"/>
            <w:vAlign w:val="center"/>
          </w:tcPr>
          <w:p>
            <w:pPr>
              <w:spacing w:after="0"/>
            </w:pPr>
            <w:r/>
            <w:r>
              <w:rPr>
                <w:rFonts w:ascii="Calibri" w:hAnsi="Calibri"/>
                <w:b w:val="0"/>
                <w:sz w:val="16"/>
              </w:rPr>
              <w:t>5 / 5</w:t>
            </w:r>
          </w:p>
        </w:tc>
      </w:tr>
      <w:tr>
        <w:tc>
          <w:tcPr>
            <w:tcW w:type="dxa" w:w="2469"/>
            <w:vAlign w:val="center"/>
          </w:tcPr>
          <w:p>
            <w:pPr>
              <w:spacing w:after="0"/>
            </w:pPr>
            <w:r/>
            <w:r>
              <w:rPr>
                <w:rFonts w:ascii="Calibri" w:hAnsi="Calibri"/>
                <w:b w:val="0"/>
                <w:sz w:val="16"/>
              </w:rPr>
              <w:t>13</w:t>
            </w:r>
          </w:p>
        </w:tc>
        <w:tc>
          <w:tcPr>
            <w:tcW w:type="dxa" w:w="2469"/>
            <w:vAlign w:val="center"/>
          </w:tcPr>
          <w:p>
            <w:pPr>
              <w:spacing w:after="0"/>
            </w:pPr>
            <w:r/>
            <w:r>
              <w:rPr>
                <w:rFonts w:ascii="Calibri" w:hAnsi="Calibri"/>
                <w:b w:val="0"/>
                <w:sz w:val="16"/>
              </w:rPr>
              <w:t>POLE2</w:t>
            </w:r>
          </w:p>
        </w:tc>
        <w:tc>
          <w:tcPr>
            <w:tcW w:type="dxa" w:w="2469"/>
            <w:vAlign w:val="center"/>
          </w:tcPr>
          <w:p>
            <w:pPr>
              <w:spacing w:after="0"/>
            </w:pPr>
            <w:r/>
            <w:r>
              <w:rPr>
                <w:rFonts w:ascii="Calibri" w:hAnsi="Calibri"/>
                <w:b w:val="0"/>
                <w:sz w:val="16"/>
              </w:rPr>
              <w:t>744.791</w:t>
            </w:r>
          </w:p>
        </w:tc>
        <w:tc>
          <w:tcPr>
            <w:tcW w:type="dxa" w:w="2469"/>
            <w:vAlign w:val="center"/>
          </w:tcPr>
          <w:p>
            <w:pPr>
              <w:spacing w:after="0"/>
            </w:pPr>
            <w:r/>
            <w:r>
              <w:rPr>
                <w:rFonts w:ascii="Calibri" w:hAnsi="Calibri"/>
                <w:b w:val="0"/>
                <w:sz w:val="16"/>
              </w:rPr>
              <w:t>5 / 5</w:t>
            </w:r>
          </w:p>
        </w:tc>
      </w:tr>
      <w:tr>
        <w:tc>
          <w:tcPr>
            <w:tcW w:type="dxa" w:w="2469"/>
            <w:vAlign w:val="center"/>
          </w:tcPr>
          <w:p>
            <w:pPr>
              <w:spacing w:after="0"/>
            </w:pPr>
            <w:r/>
            <w:r>
              <w:rPr>
                <w:rFonts w:ascii="Calibri" w:hAnsi="Calibri"/>
                <w:b w:val="0"/>
                <w:sz w:val="16"/>
              </w:rPr>
              <w:t>14</w:t>
            </w:r>
          </w:p>
        </w:tc>
        <w:tc>
          <w:tcPr>
            <w:tcW w:type="dxa" w:w="2469"/>
            <w:vAlign w:val="center"/>
          </w:tcPr>
          <w:p>
            <w:pPr>
              <w:spacing w:after="0"/>
            </w:pPr>
            <w:r/>
            <w:r>
              <w:rPr>
                <w:rFonts w:ascii="Calibri" w:hAnsi="Calibri"/>
                <w:b w:val="0"/>
                <w:sz w:val="16"/>
              </w:rPr>
              <w:t>CCNF</w:t>
            </w:r>
          </w:p>
        </w:tc>
        <w:tc>
          <w:tcPr>
            <w:tcW w:type="dxa" w:w="2469"/>
            <w:vAlign w:val="center"/>
          </w:tcPr>
          <w:p>
            <w:pPr>
              <w:spacing w:after="0"/>
            </w:pPr>
            <w:r/>
            <w:r>
              <w:rPr>
                <w:rFonts w:ascii="Calibri" w:hAnsi="Calibri"/>
                <w:b w:val="0"/>
                <w:sz w:val="16"/>
              </w:rPr>
              <w:t>737.666</w:t>
            </w:r>
          </w:p>
        </w:tc>
        <w:tc>
          <w:tcPr>
            <w:tcW w:type="dxa" w:w="2469"/>
            <w:vAlign w:val="center"/>
          </w:tcPr>
          <w:p>
            <w:pPr>
              <w:spacing w:after="0"/>
            </w:pPr>
            <w:r/>
            <w:r>
              <w:rPr>
                <w:rFonts w:ascii="Calibri" w:hAnsi="Calibri"/>
                <w:b w:val="0"/>
                <w:sz w:val="16"/>
              </w:rPr>
              <w:t>5 / 5</w:t>
            </w:r>
          </w:p>
        </w:tc>
      </w:tr>
      <w:tr>
        <w:tc>
          <w:tcPr>
            <w:tcW w:type="dxa" w:w="2469"/>
            <w:vAlign w:val="center"/>
          </w:tcPr>
          <w:p>
            <w:pPr>
              <w:spacing w:after="0"/>
            </w:pPr>
            <w:r/>
            <w:r>
              <w:rPr>
                <w:rFonts w:ascii="Calibri" w:hAnsi="Calibri"/>
                <w:b w:val="0"/>
                <w:sz w:val="16"/>
              </w:rPr>
              <w:t>15</w:t>
            </w:r>
          </w:p>
        </w:tc>
        <w:tc>
          <w:tcPr>
            <w:tcW w:type="dxa" w:w="2469"/>
            <w:vAlign w:val="center"/>
          </w:tcPr>
          <w:p>
            <w:pPr>
              <w:spacing w:after="0"/>
            </w:pPr>
            <w:r/>
            <w:r>
              <w:rPr>
                <w:rFonts w:ascii="Calibri" w:hAnsi="Calibri"/>
                <w:b w:val="0"/>
                <w:sz w:val="16"/>
              </w:rPr>
              <w:t>OIP5</w:t>
            </w:r>
          </w:p>
        </w:tc>
        <w:tc>
          <w:tcPr>
            <w:tcW w:type="dxa" w:w="2469"/>
            <w:vAlign w:val="center"/>
          </w:tcPr>
          <w:p>
            <w:pPr>
              <w:spacing w:after="0"/>
            </w:pPr>
            <w:r/>
            <w:r>
              <w:rPr>
                <w:rFonts w:ascii="Calibri" w:hAnsi="Calibri"/>
                <w:b w:val="0"/>
                <w:sz w:val="16"/>
              </w:rPr>
              <w:t>734.686</w:t>
            </w:r>
          </w:p>
        </w:tc>
        <w:tc>
          <w:tcPr>
            <w:tcW w:type="dxa" w:w="2469"/>
            <w:vAlign w:val="center"/>
          </w:tcPr>
          <w:p>
            <w:pPr>
              <w:spacing w:after="0"/>
            </w:pPr>
            <w:r/>
            <w:r>
              <w:rPr>
                <w:rFonts w:ascii="Calibri" w:hAnsi="Calibri"/>
                <w:b w:val="0"/>
                <w:sz w:val="16"/>
              </w:rPr>
              <w:t>5 / 5</w:t>
            </w:r>
          </w:p>
        </w:tc>
      </w:tr>
      <w:tr>
        <w:tc>
          <w:tcPr>
            <w:tcW w:type="dxa" w:w="2469"/>
            <w:vAlign w:val="center"/>
          </w:tcPr>
          <w:p>
            <w:pPr>
              <w:spacing w:after="0"/>
            </w:pPr>
            <w:r/>
            <w:r>
              <w:rPr>
                <w:rFonts w:ascii="Calibri" w:hAnsi="Calibri"/>
                <w:b w:val="0"/>
                <w:sz w:val="16"/>
              </w:rPr>
              <w:t>16</w:t>
            </w:r>
          </w:p>
        </w:tc>
        <w:tc>
          <w:tcPr>
            <w:tcW w:type="dxa" w:w="2469"/>
            <w:vAlign w:val="center"/>
          </w:tcPr>
          <w:p>
            <w:pPr>
              <w:spacing w:after="0"/>
            </w:pPr>
            <w:r/>
            <w:r>
              <w:rPr>
                <w:rFonts w:ascii="Calibri" w:hAnsi="Calibri"/>
                <w:b w:val="0"/>
                <w:sz w:val="16"/>
              </w:rPr>
              <w:t>NEMP1</w:t>
            </w:r>
          </w:p>
        </w:tc>
        <w:tc>
          <w:tcPr>
            <w:tcW w:type="dxa" w:w="2469"/>
            <w:vAlign w:val="center"/>
          </w:tcPr>
          <w:p>
            <w:pPr>
              <w:spacing w:after="0"/>
            </w:pPr>
            <w:r/>
            <w:r>
              <w:rPr>
                <w:rFonts w:ascii="Calibri" w:hAnsi="Calibri"/>
                <w:b w:val="0"/>
                <w:sz w:val="16"/>
              </w:rPr>
              <w:t>733.817</w:t>
            </w:r>
          </w:p>
        </w:tc>
        <w:tc>
          <w:tcPr>
            <w:tcW w:type="dxa" w:w="2469"/>
            <w:vAlign w:val="center"/>
          </w:tcPr>
          <w:p>
            <w:pPr>
              <w:spacing w:after="0"/>
            </w:pPr>
            <w:r/>
            <w:r>
              <w:rPr>
                <w:rFonts w:ascii="Calibri" w:hAnsi="Calibri"/>
                <w:b w:val="0"/>
                <w:sz w:val="16"/>
              </w:rPr>
              <w:t>5 / 5</w:t>
            </w:r>
          </w:p>
        </w:tc>
      </w:tr>
      <w:tr>
        <w:tc>
          <w:tcPr>
            <w:tcW w:type="dxa" w:w="2469"/>
            <w:vAlign w:val="center"/>
          </w:tcPr>
          <w:p>
            <w:pPr>
              <w:spacing w:after="0"/>
            </w:pPr>
            <w:r/>
            <w:r>
              <w:rPr>
                <w:rFonts w:ascii="Calibri" w:hAnsi="Calibri"/>
                <w:b w:val="0"/>
                <w:sz w:val="16"/>
              </w:rPr>
              <w:t>17</w:t>
            </w:r>
          </w:p>
        </w:tc>
        <w:tc>
          <w:tcPr>
            <w:tcW w:type="dxa" w:w="2469"/>
            <w:vAlign w:val="center"/>
          </w:tcPr>
          <w:p>
            <w:pPr>
              <w:spacing w:after="0"/>
            </w:pPr>
            <w:r/>
            <w:r>
              <w:rPr>
                <w:rFonts w:ascii="Calibri" w:hAnsi="Calibri"/>
                <w:b w:val="0"/>
                <w:sz w:val="16"/>
              </w:rPr>
              <w:t>PRIM1</w:t>
            </w:r>
          </w:p>
        </w:tc>
        <w:tc>
          <w:tcPr>
            <w:tcW w:type="dxa" w:w="2469"/>
            <w:vAlign w:val="center"/>
          </w:tcPr>
          <w:p>
            <w:pPr>
              <w:spacing w:after="0"/>
            </w:pPr>
            <w:r/>
            <w:r>
              <w:rPr>
                <w:rFonts w:ascii="Calibri" w:hAnsi="Calibri"/>
                <w:b w:val="0"/>
                <w:sz w:val="16"/>
              </w:rPr>
              <w:t>731.574</w:t>
            </w:r>
          </w:p>
        </w:tc>
        <w:tc>
          <w:tcPr>
            <w:tcW w:type="dxa" w:w="2469"/>
            <w:vAlign w:val="center"/>
          </w:tcPr>
          <w:p>
            <w:pPr>
              <w:spacing w:after="0"/>
            </w:pPr>
            <w:r/>
            <w:r>
              <w:rPr>
                <w:rFonts w:ascii="Calibri" w:hAnsi="Calibri"/>
                <w:b w:val="0"/>
                <w:sz w:val="16"/>
              </w:rPr>
              <w:t>5 / 5</w:t>
            </w:r>
          </w:p>
        </w:tc>
      </w:tr>
      <w:tr>
        <w:tc>
          <w:tcPr>
            <w:tcW w:type="dxa" w:w="2469"/>
            <w:vAlign w:val="center"/>
          </w:tcPr>
          <w:p>
            <w:pPr>
              <w:spacing w:after="0"/>
            </w:pPr>
            <w:r/>
            <w:r>
              <w:rPr>
                <w:rFonts w:ascii="Calibri" w:hAnsi="Calibri"/>
                <w:b w:val="0"/>
                <w:sz w:val="16"/>
              </w:rPr>
              <w:t>18</w:t>
            </w:r>
          </w:p>
        </w:tc>
        <w:tc>
          <w:tcPr>
            <w:tcW w:type="dxa" w:w="2469"/>
            <w:vAlign w:val="center"/>
          </w:tcPr>
          <w:p>
            <w:pPr>
              <w:spacing w:after="0"/>
            </w:pPr>
            <w:r/>
            <w:r>
              <w:rPr>
                <w:rFonts w:ascii="Calibri" w:hAnsi="Calibri"/>
                <w:b w:val="0"/>
                <w:sz w:val="16"/>
              </w:rPr>
              <w:t>CHEK2</w:t>
            </w:r>
          </w:p>
        </w:tc>
        <w:tc>
          <w:tcPr>
            <w:tcW w:type="dxa" w:w="2469"/>
            <w:vAlign w:val="center"/>
          </w:tcPr>
          <w:p>
            <w:pPr>
              <w:spacing w:after="0"/>
            </w:pPr>
            <w:r/>
            <w:r>
              <w:rPr>
                <w:rFonts w:ascii="Calibri" w:hAnsi="Calibri"/>
                <w:b w:val="0"/>
                <w:sz w:val="16"/>
              </w:rPr>
              <w:t>729.750</w:t>
            </w:r>
          </w:p>
        </w:tc>
        <w:tc>
          <w:tcPr>
            <w:tcW w:type="dxa" w:w="2469"/>
            <w:vAlign w:val="center"/>
          </w:tcPr>
          <w:p>
            <w:pPr>
              <w:spacing w:after="0"/>
            </w:pPr>
            <w:r/>
            <w:r>
              <w:rPr>
                <w:rFonts w:ascii="Calibri" w:hAnsi="Calibri"/>
                <w:b w:val="0"/>
                <w:sz w:val="16"/>
              </w:rPr>
              <w:t>5 / 5</w:t>
            </w:r>
          </w:p>
        </w:tc>
      </w:tr>
      <w:tr>
        <w:tc>
          <w:tcPr>
            <w:tcW w:type="dxa" w:w="2469"/>
            <w:vAlign w:val="center"/>
          </w:tcPr>
          <w:p>
            <w:pPr>
              <w:spacing w:after="0"/>
            </w:pPr>
            <w:r/>
            <w:r>
              <w:rPr>
                <w:rFonts w:ascii="Calibri" w:hAnsi="Calibri"/>
                <w:b w:val="0"/>
                <w:sz w:val="16"/>
              </w:rPr>
              <w:t>19</w:t>
            </w:r>
          </w:p>
        </w:tc>
        <w:tc>
          <w:tcPr>
            <w:tcW w:type="dxa" w:w="2469"/>
            <w:vAlign w:val="center"/>
          </w:tcPr>
          <w:p>
            <w:pPr>
              <w:spacing w:after="0"/>
            </w:pPr>
            <w:r/>
            <w:r>
              <w:rPr>
                <w:rFonts w:ascii="Calibri" w:hAnsi="Calibri"/>
                <w:b w:val="0"/>
                <w:sz w:val="16"/>
              </w:rPr>
              <w:t>NEIL3</w:t>
            </w:r>
          </w:p>
        </w:tc>
        <w:tc>
          <w:tcPr>
            <w:tcW w:type="dxa" w:w="2469"/>
            <w:vAlign w:val="center"/>
          </w:tcPr>
          <w:p>
            <w:pPr>
              <w:spacing w:after="0"/>
            </w:pPr>
            <w:r/>
            <w:r>
              <w:rPr>
                <w:rFonts w:ascii="Calibri" w:hAnsi="Calibri"/>
                <w:b w:val="0"/>
                <w:sz w:val="16"/>
              </w:rPr>
              <w:t>728.787</w:t>
            </w:r>
          </w:p>
        </w:tc>
        <w:tc>
          <w:tcPr>
            <w:tcW w:type="dxa" w:w="2469"/>
            <w:vAlign w:val="center"/>
          </w:tcPr>
          <w:p>
            <w:pPr>
              <w:spacing w:after="0"/>
            </w:pPr>
            <w:r/>
            <w:r>
              <w:rPr>
                <w:rFonts w:ascii="Calibri" w:hAnsi="Calibri"/>
                <w:b w:val="0"/>
                <w:sz w:val="16"/>
              </w:rPr>
              <w:t>5 / 5</w:t>
            </w:r>
          </w:p>
        </w:tc>
      </w:tr>
      <w:tr>
        <w:tc>
          <w:tcPr>
            <w:tcW w:type="dxa" w:w="2469"/>
            <w:vAlign w:val="center"/>
          </w:tcPr>
          <w:p>
            <w:pPr>
              <w:spacing w:after="0"/>
            </w:pPr>
            <w:r/>
            <w:r>
              <w:rPr>
                <w:rFonts w:ascii="Calibri" w:hAnsi="Calibri"/>
                <w:b w:val="0"/>
                <w:sz w:val="16"/>
              </w:rPr>
              <w:t>20</w:t>
            </w:r>
          </w:p>
        </w:tc>
        <w:tc>
          <w:tcPr>
            <w:tcW w:type="dxa" w:w="2469"/>
            <w:vAlign w:val="center"/>
          </w:tcPr>
          <w:p>
            <w:pPr>
              <w:spacing w:after="0"/>
            </w:pPr>
            <w:r/>
            <w:r>
              <w:rPr>
                <w:rFonts w:ascii="Calibri" w:hAnsi="Calibri"/>
                <w:b w:val="0"/>
                <w:sz w:val="16"/>
              </w:rPr>
              <w:t>NUSAP1</w:t>
            </w:r>
          </w:p>
        </w:tc>
        <w:tc>
          <w:tcPr>
            <w:tcW w:type="dxa" w:w="2469"/>
            <w:vAlign w:val="center"/>
          </w:tcPr>
          <w:p>
            <w:pPr>
              <w:spacing w:after="0"/>
            </w:pPr>
            <w:r/>
            <w:r>
              <w:rPr>
                <w:rFonts w:ascii="Calibri" w:hAnsi="Calibri"/>
                <w:b w:val="0"/>
                <w:sz w:val="16"/>
              </w:rPr>
              <w:t>728.209</w:t>
            </w:r>
          </w:p>
        </w:tc>
        <w:tc>
          <w:tcPr>
            <w:tcW w:type="dxa" w:w="2469"/>
            <w:vAlign w:val="center"/>
          </w:tcPr>
          <w:p>
            <w:pPr>
              <w:spacing w:after="0"/>
            </w:pPr>
            <w:r/>
            <w:r>
              <w:rPr>
                <w:rFonts w:ascii="Calibri" w:hAnsi="Calibri"/>
                <w:b w:val="0"/>
                <w:sz w:val="16"/>
              </w:rPr>
              <w:t>5 / 5</w:t>
            </w:r>
          </w:p>
        </w:tc>
      </w:tr>
    </w:tbl>
    <w:p>
      <w:pPr>
        <w:spacing w:before="60" w:after="160"/>
        <w:jc w:val="center"/>
      </w:pPr>
      <w:r>
        <w:rPr>
          <w:rFonts w:ascii="Calibri" w:hAnsi="Calibri"/>
          <w:i/>
          <w:color w:val="5A5A5A"/>
          <w:sz w:val="17"/>
        </w:rPr>
        <w:t>Table 4. Top selected transcriptomic feature genes ranked by ANOVA F-score.</w:t>
      </w:r>
    </w:p>
    <w:p>
      <w:pPr>
        <w:spacing w:before="40" w:after="40"/>
        <w:jc w:val="center"/>
      </w:pPr>
      <w:r>
        <w:drawing>
          <wp:inline xmlns:a="http://schemas.openxmlformats.org/drawingml/2006/main" xmlns:pic="http://schemas.openxmlformats.org/drawingml/2006/picture">
            <wp:extent cx="4892040" cy="5809298"/>
            <wp:docPr id="2" name="Picture 2"/>
            <wp:cNvGraphicFramePr>
              <a:graphicFrameLocks noChangeAspect="1"/>
            </wp:cNvGraphicFramePr>
            <a:graphic>
              <a:graphicData uri="http://schemas.openxmlformats.org/drawingml/2006/picture">
                <pic:pic>
                  <pic:nvPicPr>
                    <pic:cNvPr id="0" name="shap_summary_random_forest.png"/>
                    <pic:cNvPicPr/>
                  </pic:nvPicPr>
                  <pic:blipFill>
                    <a:blip r:embed="rId11"/>
                    <a:stretch>
                      <a:fillRect/>
                    </a:stretch>
                  </pic:blipFill>
                  <pic:spPr>
                    <a:xfrm>
                      <a:off x="0" y="0"/>
                      <a:ext cx="4892040" cy="5809298"/>
                    </a:xfrm>
                    <a:prstGeom prst="rect"/>
                  </pic:spPr>
                </pic:pic>
              </a:graphicData>
            </a:graphic>
          </wp:inline>
        </w:drawing>
      </w:r>
    </w:p>
    <w:p>
      <w:pPr>
        <w:spacing w:before="60" w:after="160"/>
        <w:jc w:val="center"/>
      </w:pPr>
      <w:r>
        <w:rPr>
          <w:rFonts w:ascii="Calibri" w:hAnsi="Calibri"/>
          <w:i/>
          <w:color w:val="5A5A5A"/>
          <w:sz w:val="17"/>
        </w:rPr>
        <w:t>Figure 2. Random forest SHAP summary showing feature impact (red/high, blue/low expression) on proliferation class prediction.</w:t>
      </w:r>
    </w:p>
    <w:p>
      <w:pPr>
        <w:spacing w:before="0" w:after="140" w:line="283" w:lineRule="auto"/>
      </w:pPr>
      <w:r>
        <w:rPr>
          <w:rFonts w:ascii="Calibri" w:hAnsi="Calibri"/>
          <w:color w:val="141F2B"/>
          <w:sz w:val="20"/>
        </w:rPr>
        <w:t>The top 30 SHAP features were tested against KEGG and GO databases. Enriched pathways fell downstream of cell-cycle regulation (Figure 3).</w:t>
      </w:r>
    </w:p>
    <w:p>
      <w:pPr>
        <w:spacing w:before="40" w:after="40"/>
        <w:jc w:val="center"/>
      </w:pPr>
      <w:r>
        <w:drawing>
          <wp:inline xmlns:a="http://schemas.openxmlformats.org/drawingml/2006/main" xmlns:pic="http://schemas.openxmlformats.org/drawingml/2006/picture">
            <wp:extent cx="4892040" cy="2717800"/>
            <wp:docPr id="3" name="Picture 3"/>
            <wp:cNvGraphicFramePr>
              <a:graphicFrameLocks noChangeAspect="1"/>
            </wp:cNvGraphicFramePr>
            <a:graphic>
              <a:graphicData uri="http://schemas.openxmlformats.org/drawingml/2006/picture">
                <pic:pic>
                  <pic:nvPicPr>
                    <pic:cNvPr id="0" name="pathway_enrichment.png"/>
                    <pic:cNvPicPr/>
                  </pic:nvPicPr>
                  <pic:blipFill>
                    <a:blip r:embed="rId12"/>
                    <a:stretch>
                      <a:fillRect/>
                    </a:stretch>
                  </pic:blipFill>
                  <pic:spPr>
                    <a:xfrm>
                      <a:off x="0" y="0"/>
                      <a:ext cx="4892040" cy="2717800"/>
                    </a:xfrm>
                    <a:prstGeom prst="rect"/>
                  </pic:spPr>
                </pic:pic>
              </a:graphicData>
            </a:graphic>
          </wp:inline>
        </w:drawing>
      </w:r>
    </w:p>
    <w:p>
      <w:pPr>
        <w:spacing w:before="60" w:after="160"/>
        <w:jc w:val="center"/>
      </w:pPr>
      <w:r>
        <w:rPr>
          <w:rFonts w:ascii="Calibri" w:hAnsi="Calibri"/>
          <w:i/>
          <w:color w:val="5A5A5A"/>
          <w:sz w:val="17"/>
        </w:rPr>
        <w:t>Figure 3. Enriched biological pathways (FDR &lt; 0.05) representing transcriptomic cascade signatures downstream of cancer cell division.</w:t>
      </w:r>
    </w:p>
    <w:p>
      <w:pPr>
        <w:spacing w:before="0" w:after="140" w:line="283" w:lineRule="auto"/>
      </w:pPr>
      <w:r>
        <w:rPr>
          <w:rFonts w:ascii="Calibri" w:hAnsi="Calibri"/>
          <w:color w:val="141F2B"/>
          <w:sz w:val="20"/>
        </w:rPr>
        <w:t>Decision Curve Analysis (Figure 4) showed that all four models gave higher net benefit than treating all patients or treating none.</w:t>
      </w:r>
    </w:p>
    <w:p>
      <w:pPr>
        <w:spacing w:before="40" w:after="40"/>
        <w:jc w:val="center"/>
      </w:pPr>
      <w:r>
        <w:drawing>
          <wp:inline xmlns:a="http://schemas.openxmlformats.org/drawingml/2006/main" xmlns:pic="http://schemas.openxmlformats.org/drawingml/2006/picture">
            <wp:extent cx="4754880" cy="3566160"/>
            <wp:docPr id="4" name="Picture 4"/>
            <wp:cNvGraphicFramePr>
              <a:graphicFrameLocks noChangeAspect="1"/>
            </wp:cNvGraphicFramePr>
            <a:graphic>
              <a:graphicData uri="http://schemas.openxmlformats.org/drawingml/2006/picture">
                <pic:pic>
                  <pic:nvPicPr>
                    <pic:cNvPr id="0" name="clinical_dca.png"/>
                    <pic:cNvPicPr/>
                  </pic:nvPicPr>
                  <pic:blipFill>
                    <a:blip r:embed="rId13"/>
                    <a:stretch>
                      <a:fillRect/>
                    </a:stretch>
                  </pic:blipFill>
                  <pic:spPr>
                    <a:xfrm>
                      <a:off x="0" y="0"/>
                      <a:ext cx="4754880" cy="3566160"/>
                    </a:xfrm>
                    <a:prstGeom prst="rect"/>
                  </pic:spPr>
                </pic:pic>
              </a:graphicData>
            </a:graphic>
          </wp:inline>
        </w:drawing>
      </w:r>
    </w:p>
    <w:p>
      <w:pPr>
        <w:spacing w:before="60" w:after="160"/>
        <w:jc w:val="center"/>
      </w:pPr>
      <w:r>
        <w:rPr>
          <w:rFonts w:ascii="Calibri" w:hAnsi="Calibri"/>
          <w:i/>
          <w:color w:val="5A5A5A"/>
          <w:sz w:val="17"/>
        </w:rPr>
        <w:t>Figure 4. Clinical Decision Curve Analysis comparing Net Benefit of model-guided stratification vs. default intervention strategies.</w:t>
      </w:r>
    </w:p>
    <w:tbl>
      <w:tblPr>
        <w:tblW w:type="auto" w:w="0"/>
        <w:jc w:val="center"/>
        <w:tblLook w:firstColumn="1" w:firstRow="1" w:lastColumn="0" w:lastRow="0" w:noHBand="0" w:noVBand="1" w:val="04A0"/>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1411"/>
        <w:gridCol w:w="1411"/>
        <w:gridCol w:w="1411"/>
        <w:gridCol w:w="1411"/>
        <w:gridCol w:w="1411"/>
        <w:gridCol w:w="1411"/>
        <w:gridCol w:w="1411"/>
      </w:tblGrid>
      <w:tr>
        <w:trPr>
          <w:tblHeader w:val="true"/>
        </w:trPr>
        <w:tc>
          <w:tcPr>
            <w:tcW w:type="dxa" w:w="1411"/>
            <w:shd w:fill="F4F6F9"/>
            <w:vAlign w:val="center"/>
          </w:tcPr>
          <w:p>
            <w:pPr>
              <w:spacing w:after="0"/>
            </w:pPr>
            <w:r/>
            <w:r>
              <w:rPr>
                <w:rFonts w:ascii="Calibri" w:hAnsi="Calibri"/>
                <w:b/>
                <w:color w:val="141F2B"/>
                <w:sz w:val="16"/>
              </w:rPr>
              <w:t>Model</w:t>
            </w:r>
          </w:p>
        </w:tc>
        <w:tc>
          <w:tcPr>
            <w:tcW w:type="dxa" w:w="1411"/>
            <w:shd w:fill="F4F6F9"/>
            <w:vAlign w:val="center"/>
          </w:tcPr>
          <w:p>
            <w:pPr>
              <w:spacing w:after="0"/>
            </w:pPr>
            <w:r/>
            <w:r>
              <w:rPr>
                <w:rFonts w:ascii="Calibri" w:hAnsi="Calibri"/>
                <w:b/>
                <w:color w:val="141F2B"/>
                <w:sz w:val="16"/>
              </w:rPr>
              <w:t>Threshold</w:t>
            </w:r>
          </w:p>
        </w:tc>
        <w:tc>
          <w:tcPr>
            <w:tcW w:type="dxa" w:w="1411"/>
            <w:shd w:fill="F4F6F9"/>
            <w:vAlign w:val="center"/>
          </w:tcPr>
          <w:p>
            <w:pPr>
              <w:spacing w:after="0"/>
            </w:pPr>
            <w:r/>
            <w:r>
              <w:rPr>
                <w:rFonts w:ascii="Calibri" w:hAnsi="Calibri"/>
                <w:b/>
                <w:color w:val="141F2B"/>
                <w:sz w:val="16"/>
              </w:rPr>
              <w:t>Sensitivity</w:t>
            </w:r>
          </w:p>
        </w:tc>
        <w:tc>
          <w:tcPr>
            <w:tcW w:type="dxa" w:w="1411"/>
            <w:shd w:fill="F4F6F9"/>
            <w:vAlign w:val="center"/>
          </w:tcPr>
          <w:p>
            <w:pPr>
              <w:spacing w:after="0"/>
            </w:pPr>
            <w:r/>
            <w:r>
              <w:rPr>
                <w:rFonts w:ascii="Calibri" w:hAnsi="Calibri"/>
                <w:b/>
                <w:color w:val="141F2B"/>
                <w:sz w:val="16"/>
              </w:rPr>
              <w:t>Specificity</w:t>
            </w:r>
          </w:p>
        </w:tc>
        <w:tc>
          <w:tcPr>
            <w:tcW w:type="dxa" w:w="1411"/>
            <w:shd w:fill="F4F6F9"/>
            <w:vAlign w:val="center"/>
          </w:tcPr>
          <w:p>
            <w:pPr>
              <w:spacing w:after="0"/>
            </w:pPr>
            <w:r/>
            <w:r>
              <w:rPr>
                <w:rFonts w:ascii="Calibri" w:hAnsi="Calibri"/>
                <w:b/>
                <w:color w:val="141F2B"/>
                <w:sz w:val="16"/>
              </w:rPr>
              <w:t>PPV</w:t>
            </w:r>
          </w:p>
        </w:tc>
        <w:tc>
          <w:tcPr>
            <w:tcW w:type="dxa" w:w="1411"/>
            <w:shd w:fill="F4F6F9"/>
            <w:vAlign w:val="center"/>
          </w:tcPr>
          <w:p>
            <w:pPr>
              <w:spacing w:after="0"/>
            </w:pPr>
            <w:r/>
            <w:r>
              <w:rPr>
                <w:rFonts w:ascii="Calibri" w:hAnsi="Calibri"/>
                <w:b/>
                <w:color w:val="141F2B"/>
                <w:sz w:val="16"/>
              </w:rPr>
              <w:t>NPV</w:t>
            </w:r>
          </w:p>
        </w:tc>
        <w:tc>
          <w:tcPr>
            <w:tcW w:type="dxa" w:w="1411"/>
            <w:shd w:fill="F4F6F9"/>
            <w:vAlign w:val="center"/>
          </w:tcPr>
          <w:p>
            <w:pPr>
              <w:spacing w:after="0"/>
            </w:pPr>
            <w:r/>
            <w:r>
              <w:rPr>
                <w:rFonts w:ascii="Calibri" w:hAnsi="Calibri"/>
                <w:b/>
                <w:color w:val="141F2B"/>
                <w:sz w:val="16"/>
              </w:rPr>
              <w:t>NNT</w:t>
            </w:r>
          </w:p>
        </w:tc>
      </w:tr>
      <w:tr>
        <w:tc>
          <w:tcPr>
            <w:tcW w:type="dxa" w:w="1411"/>
            <w:vAlign w:val="center"/>
          </w:tcPr>
          <w:p>
            <w:pPr>
              <w:spacing w:after="0"/>
            </w:pPr>
            <w:r/>
            <w:r>
              <w:rPr>
                <w:rFonts w:ascii="Calibri" w:hAnsi="Calibri"/>
                <w:b w:val="0"/>
                <w:sz w:val="16"/>
              </w:rPr>
              <w:t>Logistic Regression</w:t>
            </w:r>
          </w:p>
        </w:tc>
        <w:tc>
          <w:tcPr>
            <w:tcW w:type="dxa" w:w="1411"/>
            <w:vAlign w:val="center"/>
          </w:tcPr>
          <w:p>
            <w:pPr>
              <w:spacing w:after="0"/>
            </w:pPr>
            <w:r/>
            <w:r>
              <w:rPr>
                <w:rFonts w:ascii="Calibri" w:hAnsi="Calibri"/>
                <w:b w:val="0"/>
                <w:sz w:val="16"/>
              </w:rPr>
              <w:t>0.50</w:t>
            </w:r>
          </w:p>
        </w:tc>
        <w:tc>
          <w:tcPr>
            <w:tcW w:type="dxa" w:w="1411"/>
            <w:vAlign w:val="center"/>
          </w:tcPr>
          <w:p>
            <w:pPr>
              <w:spacing w:after="0"/>
            </w:pPr>
            <w:r/>
            <w:r>
              <w:rPr>
                <w:rFonts w:ascii="Calibri" w:hAnsi="Calibri"/>
                <w:b w:val="0"/>
                <w:sz w:val="16"/>
              </w:rPr>
              <w:t>0.8795</w:t>
            </w:r>
          </w:p>
        </w:tc>
        <w:tc>
          <w:tcPr>
            <w:tcW w:type="dxa" w:w="1411"/>
            <w:vAlign w:val="center"/>
          </w:tcPr>
          <w:p>
            <w:pPr>
              <w:spacing w:after="0"/>
            </w:pPr>
            <w:r/>
            <w:r>
              <w:rPr>
                <w:rFonts w:ascii="Calibri" w:hAnsi="Calibri"/>
                <w:b w:val="0"/>
                <w:sz w:val="16"/>
              </w:rPr>
              <w:t>0.9268</w:t>
            </w:r>
          </w:p>
        </w:tc>
        <w:tc>
          <w:tcPr>
            <w:tcW w:type="dxa" w:w="1411"/>
            <w:vAlign w:val="center"/>
          </w:tcPr>
          <w:p>
            <w:pPr>
              <w:spacing w:after="0"/>
            </w:pPr>
            <w:r/>
            <w:r>
              <w:rPr>
                <w:rFonts w:ascii="Calibri" w:hAnsi="Calibri"/>
                <w:b w:val="0"/>
                <w:sz w:val="16"/>
              </w:rPr>
              <w:t>0.9241</w:t>
            </w:r>
          </w:p>
        </w:tc>
        <w:tc>
          <w:tcPr>
            <w:tcW w:type="dxa" w:w="1411"/>
            <w:vAlign w:val="center"/>
          </w:tcPr>
          <w:p>
            <w:pPr>
              <w:spacing w:after="0"/>
            </w:pPr>
            <w:r/>
            <w:r>
              <w:rPr>
                <w:rFonts w:ascii="Calibri" w:hAnsi="Calibri"/>
                <w:b w:val="0"/>
                <w:sz w:val="16"/>
              </w:rPr>
              <w:t>0.8837</w:t>
            </w:r>
          </w:p>
        </w:tc>
        <w:tc>
          <w:tcPr>
            <w:tcW w:type="dxa" w:w="1411"/>
            <w:vAlign w:val="center"/>
          </w:tcPr>
          <w:p>
            <w:pPr>
              <w:spacing w:after="0"/>
            </w:pPr>
            <w:r/>
            <w:r>
              <w:rPr>
                <w:rFonts w:ascii="Calibri" w:hAnsi="Calibri"/>
                <w:b w:val="0"/>
                <w:sz w:val="16"/>
              </w:rPr>
              <w:t>2.5</w:t>
            </w:r>
          </w:p>
        </w:tc>
      </w:tr>
      <w:tr>
        <w:tc>
          <w:tcPr>
            <w:tcW w:type="dxa" w:w="1411"/>
            <w:vAlign w:val="center"/>
          </w:tcPr>
          <w:p>
            <w:pPr>
              <w:spacing w:after="0"/>
            </w:pPr>
            <w:r/>
            <w:r>
              <w:rPr>
                <w:rFonts w:ascii="Calibri" w:hAnsi="Calibri"/>
                <w:b w:val="0"/>
                <w:sz w:val="16"/>
              </w:rPr>
              <w:t>Logistic Regression</w:t>
            </w:r>
          </w:p>
        </w:tc>
        <w:tc>
          <w:tcPr>
            <w:tcW w:type="dxa" w:w="1411"/>
            <w:vAlign w:val="center"/>
          </w:tcPr>
          <w:p>
            <w:pPr>
              <w:spacing w:after="0"/>
            </w:pPr>
            <w:r/>
            <w:r>
              <w:rPr>
                <w:rFonts w:ascii="Calibri" w:hAnsi="Calibri"/>
                <w:b w:val="0"/>
                <w:sz w:val="16"/>
              </w:rPr>
              <w:t>0.60</w:t>
            </w:r>
          </w:p>
        </w:tc>
        <w:tc>
          <w:tcPr>
            <w:tcW w:type="dxa" w:w="1411"/>
            <w:vAlign w:val="center"/>
          </w:tcPr>
          <w:p>
            <w:pPr>
              <w:spacing w:after="0"/>
            </w:pPr>
            <w:r/>
            <w:r>
              <w:rPr>
                <w:rFonts w:ascii="Calibri" w:hAnsi="Calibri"/>
                <w:b w:val="0"/>
                <w:sz w:val="16"/>
              </w:rPr>
              <w:t>0.8675</w:t>
            </w:r>
          </w:p>
        </w:tc>
        <w:tc>
          <w:tcPr>
            <w:tcW w:type="dxa" w:w="1411"/>
            <w:vAlign w:val="center"/>
          </w:tcPr>
          <w:p>
            <w:pPr>
              <w:spacing w:after="0"/>
            </w:pPr>
            <w:r/>
            <w:r>
              <w:rPr>
                <w:rFonts w:ascii="Calibri" w:hAnsi="Calibri"/>
                <w:b w:val="0"/>
                <w:sz w:val="16"/>
              </w:rPr>
              <w:t>0.9634</w:t>
            </w:r>
          </w:p>
        </w:tc>
        <w:tc>
          <w:tcPr>
            <w:tcW w:type="dxa" w:w="1411"/>
            <w:vAlign w:val="center"/>
          </w:tcPr>
          <w:p>
            <w:pPr>
              <w:spacing w:after="0"/>
            </w:pPr>
            <w:r/>
            <w:r>
              <w:rPr>
                <w:rFonts w:ascii="Calibri" w:hAnsi="Calibri"/>
                <w:b w:val="0"/>
                <w:sz w:val="16"/>
              </w:rPr>
              <w:t>0.9600</w:t>
            </w:r>
          </w:p>
        </w:tc>
        <w:tc>
          <w:tcPr>
            <w:tcW w:type="dxa" w:w="1411"/>
            <w:vAlign w:val="center"/>
          </w:tcPr>
          <w:p>
            <w:pPr>
              <w:spacing w:after="0"/>
            </w:pPr>
            <w:r/>
            <w:r>
              <w:rPr>
                <w:rFonts w:ascii="Calibri" w:hAnsi="Calibri"/>
                <w:b w:val="0"/>
                <w:sz w:val="16"/>
              </w:rPr>
              <w:t>0.8778</w:t>
            </w:r>
          </w:p>
        </w:tc>
        <w:tc>
          <w:tcPr>
            <w:tcW w:type="dxa" w:w="1411"/>
            <w:vAlign w:val="center"/>
          </w:tcPr>
          <w:p>
            <w:pPr>
              <w:spacing w:after="0"/>
            </w:pPr>
            <w:r/>
            <w:r>
              <w:rPr>
                <w:rFonts w:ascii="Calibri" w:hAnsi="Calibri"/>
                <w:b w:val="0"/>
                <w:sz w:val="16"/>
              </w:rPr>
              <w:t>2.4</w:t>
            </w:r>
          </w:p>
        </w:tc>
      </w:tr>
      <w:tr>
        <w:tc>
          <w:tcPr>
            <w:tcW w:type="dxa" w:w="1411"/>
            <w:vAlign w:val="center"/>
          </w:tcPr>
          <w:p>
            <w:pPr>
              <w:spacing w:after="0"/>
            </w:pPr>
            <w:r/>
            <w:r>
              <w:rPr>
                <w:rFonts w:ascii="Calibri" w:hAnsi="Calibri"/>
                <w:b w:val="0"/>
                <w:sz w:val="16"/>
              </w:rPr>
              <w:t>Random Forest</w:t>
            </w:r>
          </w:p>
        </w:tc>
        <w:tc>
          <w:tcPr>
            <w:tcW w:type="dxa" w:w="1411"/>
            <w:vAlign w:val="center"/>
          </w:tcPr>
          <w:p>
            <w:pPr>
              <w:spacing w:after="0"/>
            </w:pPr>
            <w:r/>
            <w:r>
              <w:rPr>
                <w:rFonts w:ascii="Calibri" w:hAnsi="Calibri"/>
                <w:b w:val="0"/>
                <w:sz w:val="16"/>
              </w:rPr>
              <w:t>0.50</w:t>
            </w:r>
          </w:p>
        </w:tc>
        <w:tc>
          <w:tcPr>
            <w:tcW w:type="dxa" w:w="1411"/>
            <w:vAlign w:val="center"/>
          </w:tcPr>
          <w:p>
            <w:pPr>
              <w:spacing w:after="0"/>
            </w:pPr>
            <w:r/>
            <w:r>
              <w:rPr>
                <w:rFonts w:ascii="Calibri" w:hAnsi="Calibri"/>
                <w:b w:val="0"/>
                <w:sz w:val="16"/>
              </w:rPr>
              <w:t>0.9518</w:t>
            </w:r>
          </w:p>
        </w:tc>
        <w:tc>
          <w:tcPr>
            <w:tcW w:type="dxa" w:w="1411"/>
            <w:vAlign w:val="center"/>
          </w:tcPr>
          <w:p>
            <w:pPr>
              <w:spacing w:after="0"/>
            </w:pPr>
            <w:r/>
            <w:r>
              <w:rPr>
                <w:rFonts w:ascii="Calibri" w:hAnsi="Calibri"/>
                <w:b w:val="0"/>
                <w:sz w:val="16"/>
              </w:rPr>
              <w:t>0.9024</w:t>
            </w:r>
          </w:p>
        </w:tc>
        <w:tc>
          <w:tcPr>
            <w:tcW w:type="dxa" w:w="1411"/>
            <w:vAlign w:val="center"/>
          </w:tcPr>
          <w:p>
            <w:pPr>
              <w:spacing w:after="0"/>
            </w:pPr>
            <w:r/>
            <w:r>
              <w:rPr>
                <w:rFonts w:ascii="Calibri" w:hAnsi="Calibri"/>
                <w:b w:val="0"/>
                <w:sz w:val="16"/>
              </w:rPr>
              <w:t>0.9080</w:t>
            </w:r>
          </w:p>
        </w:tc>
        <w:tc>
          <w:tcPr>
            <w:tcW w:type="dxa" w:w="1411"/>
            <w:vAlign w:val="center"/>
          </w:tcPr>
          <w:p>
            <w:pPr>
              <w:spacing w:after="0"/>
            </w:pPr>
            <w:r/>
            <w:r>
              <w:rPr>
                <w:rFonts w:ascii="Calibri" w:hAnsi="Calibri"/>
                <w:b w:val="0"/>
                <w:sz w:val="16"/>
              </w:rPr>
              <w:t>0.9487</w:t>
            </w:r>
          </w:p>
        </w:tc>
        <w:tc>
          <w:tcPr>
            <w:tcW w:type="dxa" w:w="1411"/>
            <w:vAlign w:val="center"/>
          </w:tcPr>
          <w:p>
            <w:pPr>
              <w:spacing w:after="0"/>
            </w:pPr>
            <w:r/>
            <w:r>
              <w:rPr>
                <w:rFonts w:ascii="Calibri" w:hAnsi="Calibri"/>
                <w:b w:val="0"/>
                <w:sz w:val="16"/>
              </w:rPr>
              <w:t>2.3</w:t>
            </w:r>
          </w:p>
        </w:tc>
      </w:tr>
      <w:tr>
        <w:tc>
          <w:tcPr>
            <w:tcW w:type="dxa" w:w="1411"/>
            <w:vAlign w:val="center"/>
          </w:tcPr>
          <w:p>
            <w:pPr>
              <w:spacing w:after="0"/>
            </w:pPr>
            <w:r/>
            <w:r>
              <w:rPr>
                <w:rFonts w:ascii="Calibri" w:hAnsi="Calibri"/>
                <w:b w:val="0"/>
                <w:sz w:val="16"/>
              </w:rPr>
              <w:t>Random Forest</w:t>
            </w:r>
          </w:p>
        </w:tc>
        <w:tc>
          <w:tcPr>
            <w:tcW w:type="dxa" w:w="1411"/>
            <w:vAlign w:val="center"/>
          </w:tcPr>
          <w:p>
            <w:pPr>
              <w:spacing w:after="0"/>
            </w:pPr>
            <w:r/>
            <w:r>
              <w:rPr>
                <w:rFonts w:ascii="Calibri" w:hAnsi="Calibri"/>
                <w:b w:val="0"/>
                <w:sz w:val="16"/>
              </w:rPr>
              <w:t>0.60</w:t>
            </w:r>
          </w:p>
        </w:tc>
        <w:tc>
          <w:tcPr>
            <w:tcW w:type="dxa" w:w="1411"/>
            <w:vAlign w:val="center"/>
          </w:tcPr>
          <w:p>
            <w:pPr>
              <w:spacing w:after="0"/>
            </w:pPr>
            <w:r/>
            <w:r>
              <w:rPr>
                <w:rFonts w:ascii="Calibri" w:hAnsi="Calibri"/>
                <w:b w:val="0"/>
                <w:sz w:val="16"/>
              </w:rPr>
              <w:t>0.8916</w:t>
            </w:r>
          </w:p>
        </w:tc>
        <w:tc>
          <w:tcPr>
            <w:tcW w:type="dxa" w:w="1411"/>
            <w:vAlign w:val="center"/>
          </w:tcPr>
          <w:p>
            <w:pPr>
              <w:spacing w:after="0"/>
            </w:pPr>
            <w:r/>
            <w:r>
              <w:rPr>
                <w:rFonts w:ascii="Calibri" w:hAnsi="Calibri"/>
                <w:b w:val="0"/>
                <w:sz w:val="16"/>
              </w:rPr>
              <w:t>0.9512</w:t>
            </w:r>
          </w:p>
        </w:tc>
        <w:tc>
          <w:tcPr>
            <w:tcW w:type="dxa" w:w="1411"/>
            <w:vAlign w:val="center"/>
          </w:tcPr>
          <w:p>
            <w:pPr>
              <w:spacing w:after="0"/>
            </w:pPr>
            <w:r/>
            <w:r>
              <w:rPr>
                <w:rFonts w:ascii="Calibri" w:hAnsi="Calibri"/>
                <w:b w:val="0"/>
                <w:sz w:val="16"/>
              </w:rPr>
              <w:t>0.9487</w:t>
            </w:r>
          </w:p>
        </w:tc>
        <w:tc>
          <w:tcPr>
            <w:tcW w:type="dxa" w:w="1411"/>
            <w:vAlign w:val="center"/>
          </w:tcPr>
          <w:p>
            <w:pPr>
              <w:spacing w:after="0"/>
            </w:pPr>
            <w:r/>
            <w:r>
              <w:rPr>
                <w:rFonts w:ascii="Calibri" w:hAnsi="Calibri"/>
                <w:b w:val="0"/>
                <w:sz w:val="16"/>
              </w:rPr>
              <w:t>0.8966</w:t>
            </w:r>
          </w:p>
        </w:tc>
        <w:tc>
          <w:tcPr>
            <w:tcW w:type="dxa" w:w="1411"/>
            <w:vAlign w:val="center"/>
          </w:tcPr>
          <w:p>
            <w:pPr>
              <w:spacing w:after="0"/>
            </w:pPr>
            <w:r/>
            <w:r>
              <w:rPr>
                <w:rFonts w:ascii="Calibri" w:hAnsi="Calibri"/>
                <w:b w:val="0"/>
                <w:sz w:val="16"/>
              </w:rPr>
              <w:t>2.4</w:t>
            </w:r>
          </w:p>
        </w:tc>
      </w:tr>
      <w:tr>
        <w:tc>
          <w:tcPr>
            <w:tcW w:type="dxa" w:w="1411"/>
            <w:vAlign w:val="center"/>
          </w:tcPr>
          <w:p>
            <w:pPr>
              <w:spacing w:after="0"/>
            </w:pPr>
            <w:r/>
            <w:r>
              <w:rPr>
                <w:rFonts w:ascii="Calibri" w:hAnsi="Calibri"/>
                <w:b w:val="0"/>
                <w:sz w:val="16"/>
              </w:rPr>
              <w:t>XGBoost</w:t>
            </w:r>
          </w:p>
        </w:tc>
        <w:tc>
          <w:tcPr>
            <w:tcW w:type="dxa" w:w="1411"/>
            <w:vAlign w:val="center"/>
          </w:tcPr>
          <w:p>
            <w:pPr>
              <w:spacing w:after="0"/>
            </w:pPr>
            <w:r/>
            <w:r>
              <w:rPr>
                <w:rFonts w:ascii="Calibri" w:hAnsi="Calibri"/>
                <w:b w:val="0"/>
                <w:sz w:val="16"/>
              </w:rPr>
              <w:t>0.50</w:t>
            </w:r>
          </w:p>
        </w:tc>
        <w:tc>
          <w:tcPr>
            <w:tcW w:type="dxa" w:w="1411"/>
            <w:vAlign w:val="center"/>
          </w:tcPr>
          <w:p>
            <w:pPr>
              <w:spacing w:after="0"/>
            </w:pPr>
            <w:r/>
            <w:r>
              <w:rPr>
                <w:rFonts w:ascii="Calibri" w:hAnsi="Calibri"/>
                <w:b w:val="0"/>
                <w:sz w:val="16"/>
              </w:rPr>
              <w:t>0.9398</w:t>
            </w:r>
          </w:p>
        </w:tc>
        <w:tc>
          <w:tcPr>
            <w:tcW w:type="dxa" w:w="1411"/>
            <w:vAlign w:val="center"/>
          </w:tcPr>
          <w:p>
            <w:pPr>
              <w:spacing w:after="0"/>
            </w:pPr>
            <w:r/>
            <w:r>
              <w:rPr>
                <w:rFonts w:ascii="Calibri" w:hAnsi="Calibri"/>
                <w:b w:val="0"/>
                <w:sz w:val="16"/>
              </w:rPr>
              <w:t>0.9146</w:t>
            </w:r>
          </w:p>
        </w:tc>
        <w:tc>
          <w:tcPr>
            <w:tcW w:type="dxa" w:w="1411"/>
            <w:vAlign w:val="center"/>
          </w:tcPr>
          <w:p>
            <w:pPr>
              <w:spacing w:after="0"/>
            </w:pPr>
            <w:r/>
            <w:r>
              <w:rPr>
                <w:rFonts w:ascii="Calibri" w:hAnsi="Calibri"/>
                <w:b w:val="0"/>
                <w:sz w:val="16"/>
              </w:rPr>
              <w:t>0.9176</w:t>
            </w:r>
          </w:p>
        </w:tc>
        <w:tc>
          <w:tcPr>
            <w:tcW w:type="dxa" w:w="1411"/>
            <w:vAlign w:val="center"/>
          </w:tcPr>
          <w:p>
            <w:pPr>
              <w:spacing w:after="0"/>
            </w:pPr>
            <w:r/>
            <w:r>
              <w:rPr>
                <w:rFonts w:ascii="Calibri" w:hAnsi="Calibri"/>
                <w:b w:val="0"/>
                <w:sz w:val="16"/>
              </w:rPr>
              <w:t>0.9375</w:t>
            </w:r>
          </w:p>
        </w:tc>
        <w:tc>
          <w:tcPr>
            <w:tcW w:type="dxa" w:w="1411"/>
            <w:vAlign w:val="center"/>
          </w:tcPr>
          <w:p>
            <w:pPr>
              <w:spacing w:after="0"/>
            </w:pPr>
            <w:r/>
            <w:r>
              <w:rPr>
                <w:rFonts w:ascii="Calibri" w:hAnsi="Calibri"/>
                <w:b w:val="0"/>
                <w:sz w:val="16"/>
              </w:rPr>
              <w:t>2.3</w:t>
            </w:r>
          </w:p>
        </w:tc>
      </w:tr>
      <w:tr>
        <w:tc>
          <w:tcPr>
            <w:tcW w:type="dxa" w:w="1411"/>
            <w:vAlign w:val="center"/>
          </w:tcPr>
          <w:p>
            <w:pPr>
              <w:spacing w:after="0"/>
            </w:pPr>
            <w:r/>
            <w:r>
              <w:rPr>
                <w:rFonts w:ascii="Calibri" w:hAnsi="Calibri"/>
                <w:b w:val="0"/>
                <w:sz w:val="16"/>
              </w:rPr>
              <w:t>XGBoost</w:t>
            </w:r>
          </w:p>
        </w:tc>
        <w:tc>
          <w:tcPr>
            <w:tcW w:type="dxa" w:w="1411"/>
            <w:vAlign w:val="center"/>
          </w:tcPr>
          <w:p>
            <w:pPr>
              <w:spacing w:after="0"/>
            </w:pPr>
            <w:r/>
            <w:r>
              <w:rPr>
                <w:rFonts w:ascii="Calibri" w:hAnsi="Calibri"/>
                <w:b w:val="0"/>
                <w:sz w:val="16"/>
              </w:rPr>
              <w:t>0.60</w:t>
            </w:r>
          </w:p>
        </w:tc>
        <w:tc>
          <w:tcPr>
            <w:tcW w:type="dxa" w:w="1411"/>
            <w:vAlign w:val="center"/>
          </w:tcPr>
          <w:p>
            <w:pPr>
              <w:spacing w:after="0"/>
            </w:pPr>
            <w:r/>
            <w:r>
              <w:rPr>
                <w:rFonts w:ascii="Calibri" w:hAnsi="Calibri"/>
                <w:b w:val="0"/>
                <w:sz w:val="16"/>
              </w:rPr>
              <w:t>0.9277</w:t>
            </w:r>
          </w:p>
        </w:tc>
        <w:tc>
          <w:tcPr>
            <w:tcW w:type="dxa" w:w="1411"/>
            <w:vAlign w:val="center"/>
          </w:tcPr>
          <w:p>
            <w:pPr>
              <w:spacing w:after="0"/>
            </w:pPr>
            <w:r/>
            <w:r>
              <w:rPr>
                <w:rFonts w:ascii="Calibri" w:hAnsi="Calibri"/>
                <w:b w:val="0"/>
                <w:sz w:val="16"/>
              </w:rPr>
              <w:t>0.9268</w:t>
            </w:r>
          </w:p>
        </w:tc>
        <w:tc>
          <w:tcPr>
            <w:tcW w:type="dxa" w:w="1411"/>
            <w:vAlign w:val="center"/>
          </w:tcPr>
          <w:p>
            <w:pPr>
              <w:spacing w:after="0"/>
            </w:pPr>
            <w:r/>
            <w:r>
              <w:rPr>
                <w:rFonts w:ascii="Calibri" w:hAnsi="Calibri"/>
                <w:b w:val="0"/>
                <w:sz w:val="16"/>
              </w:rPr>
              <w:t>0.9277</w:t>
            </w:r>
          </w:p>
        </w:tc>
        <w:tc>
          <w:tcPr>
            <w:tcW w:type="dxa" w:w="1411"/>
            <w:vAlign w:val="center"/>
          </w:tcPr>
          <w:p>
            <w:pPr>
              <w:spacing w:after="0"/>
            </w:pPr>
            <w:r/>
            <w:r>
              <w:rPr>
                <w:rFonts w:ascii="Calibri" w:hAnsi="Calibri"/>
                <w:b w:val="0"/>
                <w:sz w:val="16"/>
              </w:rPr>
              <w:t>0.9268</w:t>
            </w:r>
          </w:p>
        </w:tc>
        <w:tc>
          <w:tcPr>
            <w:tcW w:type="dxa" w:w="1411"/>
            <w:vAlign w:val="center"/>
          </w:tcPr>
          <w:p>
            <w:pPr>
              <w:spacing w:after="0"/>
            </w:pPr>
            <w:r/>
            <w:r>
              <w:rPr>
                <w:rFonts w:ascii="Calibri" w:hAnsi="Calibri"/>
                <w:b w:val="0"/>
                <w:sz w:val="16"/>
              </w:rPr>
              <w:t>2.4</w:t>
            </w:r>
          </w:p>
        </w:tc>
      </w:tr>
      <w:tr>
        <w:tc>
          <w:tcPr>
            <w:tcW w:type="dxa" w:w="1411"/>
            <w:vAlign w:val="center"/>
          </w:tcPr>
          <w:p>
            <w:pPr>
              <w:spacing w:after="0"/>
            </w:pPr>
            <w:r/>
            <w:r>
              <w:rPr>
                <w:rFonts w:ascii="Calibri" w:hAnsi="Calibri"/>
                <w:b w:val="0"/>
                <w:sz w:val="16"/>
              </w:rPr>
              <w:t>Neural Network (MLP)</w:t>
            </w:r>
          </w:p>
        </w:tc>
        <w:tc>
          <w:tcPr>
            <w:tcW w:type="dxa" w:w="1411"/>
            <w:vAlign w:val="center"/>
          </w:tcPr>
          <w:p>
            <w:pPr>
              <w:spacing w:after="0"/>
            </w:pPr>
            <w:r/>
            <w:r>
              <w:rPr>
                <w:rFonts w:ascii="Calibri" w:hAnsi="Calibri"/>
                <w:b w:val="0"/>
                <w:sz w:val="16"/>
              </w:rPr>
              <w:t>0.50</w:t>
            </w:r>
          </w:p>
        </w:tc>
        <w:tc>
          <w:tcPr>
            <w:tcW w:type="dxa" w:w="1411"/>
            <w:vAlign w:val="center"/>
          </w:tcPr>
          <w:p>
            <w:pPr>
              <w:spacing w:after="0"/>
            </w:pPr>
            <w:r/>
            <w:r>
              <w:rPr>
                <w:rFonts w:ascii="Calibri" w:hAnsi="Calibri"/>
                <w:b w:val="0"/>
                <w:sz w:val="16"/>
              </w:rPr>
              <w:t>0.9277</w:t>
            </w:r>
          </w:p>
        </w:tc>
        <w:tc>
          <w:tcPr>
            <w:tcW w:type="dxa" w:w="1411"/>
            <w:vAlign w:val="center"/>
          </w:tcPr>
          <w:p>
            <w:pPr>
              <w:spacing w:after="0"/>
            </w:pPr>
            <w:r/>
            <w:r>
              <w:rPr>
                <w:rFonts w:ascii="Calibri" w:hAnsi="Calibri"/>
                <w:b w:val="0"/>
                <w:sz w:val="16"/>
              </w:rPr>
              <w:t>0.8659</w:t>
            </w:r>
          </w:p>
        </w:tc>
        <w:tc>
          <w:tcPr>
            <w:tcW w:type="dxa" w:w="1411"/>
            <w:vAlign w:val="center"/>
          </w:tcPr>
          <w:p>
            <w:pPr>
              <w:spacing w:after="0"/>
            </w:pPr>
            <w:r/>
            <w:r>
              <w:rPr>
                <w:rFonts w:ascii="Calibri" w:hAnsi="Calibri"/>
                <w:b w:val="0"/>
                <w:sz w:val="16"/>
              </w:rPr>
              <w:t>0.8750</w:t>
            </w:r>
          </w:p>
        </w:tc>
        <w:tc>
          <w:tcPr>
            <w:tcW w:type="dxa" w:w="1411"/>
            <w:vAlign w:val="center"/>
          </w:tcPr>
          <w:p>
            <w:pPr>
              <w:spacing w:after="0"/>
            </w:pPr>
            <w:r/>
            <w:r>
              <w:rPr>
                <w:rFonts w:ascii="Calibri" w:hAnsi="Calibri"/>
                <w:b w:val="0"/>
                <w:sz w:val="16"/>
              </w:rPr>
              <w:t>0.9221</w:t>
            </w:r>
          </w:p>
        </w:tc>
        <w:tc>
          <w:tcPr>
            <w:tcW w:type="dxa" w:w="1411"/>
            <w:vAlign w:val="center"/>
          </w:tcPr>
          <w:p>
            <w:pPr>
              <w:spacing w:after="0"/>
            </w:pPr>
            <w:r/>
            <w:r>
              <w:rPr>
                <w:rFonts w:ascii="Calibri" w:hAnsi="Calibri"/>
                <w:b w:val="0"/>
                <w:sz w:val="16"/>
              </w:rPr>
              <w:t>2.5</w:t>
            </w:r>
          </w:p>
        </w:tc>
      </w:tr>
      <w:tr>
        <w:tc>
          <w:tcPr>
            <w:tcW w:type="dxa" w:w="1411"/>
            <w:vAlign w:val="center"/>
          </w:tcPr>
          <w:p>
            <w:pPr>
              <w:spacing w:after="0"/>
            </w:pPr>
            <w:r/>
            <w:r>
              <w:rPr>
                <w:rFonts w:ascii="Calibri" w:hAnsi="Calibri"/>
                <w:b w:val="0"/>
                <w:sz w:val="16"/>
              </w:rPr>
              <w:t>Neural Network (MLP)</w:t>
            </w:r>
          </w:p>
        </w:tc>
        <w:tc>
          <w:tcPr>
            <w:tcW w:type="dxa" w:w="1411"/>
            <w:vAlign w:val="center"/>
          </w:tcPr>
          <w:p>
            <w:pPr>
              <w:spacing w:after="0"/>
            </w:pPr>
            <w:r/>
            <w:r>
              <w:rPr>
                <w:rFonts w:ascii="Calibri" w:hAnsi="Calibri"/>
                <w:b w:val="0"/>
                <w:sz w:val="16"/>
              </w:rPr>
              <w:t>0.60</w:t>
            </w:r>
          </w:p>
        </w:tc>
        <w:tc>
          <w:tcPr>
            <w:tcW w:type="dxa" w:w="1411"/>
            <w:vAlign w:val="center"/>
          </w:tcPr>
          <w:p>
            <w:pPr>
              <w:spacing w:after="0"/>
            </w:pPr>
            <w:r/>
            <w:r>
              <w:rPr>
                <w:rFonts w:ascii="Calibri" w:hAnsi="Calibri"/>
                <w:b w:val="0"/>
                <w:sz w:val="16"/>
              </w:rPr>
              <w:t>0.8916</w:t>
            </w:r>
          </w:p>
        </w:tc>
        <w:tc>
          <w:tcPr>
            <w:tcW w:type="dxa" w:w="1411"/>
            <w:vAlign w:val="center"/>
          </w:tcPr>
          <w:p>
            <w:pPr>
              <w:spacing w:after="0"/>
            </w:pPr>
            <w:r/>
            <w:r>
              <w:rPr>
                <w:rFonts w:ascii="Calibri" w:hAnsi="Calibri"/>
                <w:b w:val="0"/>
                <w:sz w:val="16"/>
              </w:rPr>
              <w:t>0.8780</w:t>
            </w:r>
          </w:p>
        </w:tc>
        <w:tc>
          <w:tcPr>
            <w:tcW w:type="dxa" w:w="1411"/>
            <w:vAlign w:val="center"/>
          </w:tcPr>
          <w:p>
            <w:pPr>
              <w:spacing w:after="0"/>
            </w:pPr>
            <w:r/>
            <w:r>
              <w:rPr>
                <w:rFonts w:ascii="Calibri" w:hAnsi="Calibri"/>
                <w:b w:val="0"/>
                <w:sz w:val="16"/>
              </w:rPr>
              <w:t>0.8810</w:t>
            </w:r>
          </w:p>
        </w:tc>
        <w:tc>
          <w:tcPr>
            <w:tcW w:type="dxa" w:w="1411"/>
            <w:vAlign w:val="center"/>
          </w:tcPr>
          <w:p>
            <w:pPr>
              <w:spacing w:after="0"/>
            </w:pPr>
            <w:r/>
            <w:r>
              <w:rPr>
                <w:rFonts w:ascii="Calibri" w:hAnsi="Calibri"/>
                <w:b w:val="0"/>
                <w:sz w:val="16"/>
              </w:rPr>
              <w:t>0.8889</w:t>
            </w:r>
          </w:p>
        </w:tc>
        <w:tc>
          <w:tcPr>
            <w:tcW w:type="dxa" w:w="1411"/>
            <w:vAlign w:val="center"/>
          </w:tcPr>
          <w:p>
            <w:pPr>
              <w:spacing w:after="0"/>
            </w:pPr>
            <w:r/>
            <w:r>
              <w:rPr>
                <w:rFonts w:ascii="Calibri" w:hAnsi="Calibri"/>
                <w:b w:val="0"/>
                <w:sz w:val="16"/>
              </w:rPr>
              <w:t>2.8</w:t>
            </w:r>
          </w:p>
        </w:tc>
      </w:tr>
    </w:tbl>
    <w:p>
      <w:pPr>
        <w:spacing w:before="60" w:after="160"/>
        <w:jc w:val="center"/>
      </w:pPr>
      <w:r>
        <w:rPr>
          <w:rFonts w:ascii="Calibri" w:hAnsi="Calibri"/>
          <w:i/>
          <w:color w:val="5A5A5A"/>
          <w:sz w:val="17"/>
        </w:rPr>
        <w:t>Table 5. Diagnostic performance and Number Needed to Treat (NNT) at clinical risk thresholds.</w:t>
      </w:r>
    </w:p>
    <w:p>
      <w:r>
        <w:br w:type="page"/>
      </w:r>
    </w:p>
    <w:p>
      <w:pPr>
        <w:pStyle w:val="Heading1"/>
        <w:keepNext/>
        <w:spacing w:before="240" w:after="100"/>
      </w:pPr>
    </w:p>
    <w:p>
      <w:pPr>
        <w:spacing w:before="0" w:after="140" w:line="283" w:lineRule="auto"/>
      </w:pPr>
      <w:r>
        <w:rPr>
          <w:rFonts w:ascii="Calibri" w:hAnsi="Calibri"/>
          <w:color w:val="141F2B"/>
          <w:sz w:val="20"/>
        </w:rPr>
        <w:t>Subgroup analyses checked for performance differences across age, sex, and stage. Accuracy and ROC-AUC were similar across groups. Bootstrap interaction tests showed no significant differences (p &gt; 0.05). Results are in Table 6.</w:t>
      </w:r>
    </w:p>
    <w:tbl>
      <w:tblPr>
        <w:tblW w:type="auto" w:w="0"/>
        <w:jc w:val="center"/>
        <w:tblLook w:firstColumn="1" w:firstRow="1" w:lastColumn="0" w:lastRow="0" w:noHBand="0" w:noVBand="1" w:val="04A0"/>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1411"/>
        <w:gridCol w:w="1411"/>
        <w:gridCol w:w="1411"/>
        <w:gridCol w:w="1411"/>
        <w:gridCol w:w="1411"/>
        <w:gridCol w:w="1411"/>
        <w:gridCol w:w="1411"/>
      </w:tblGrid>
      <w:tr>
        <w:trPr>
          <w:tblHeader w:val="true"/>
        </w:trPr>
        <w:tc>
          <w:tcPr>
            <w:tcW w:type="dxa" w:w="1411"/>
            <w:shd w:fill="F4F6F9"/>
            <w:vAlign w:val="center"/>
          </w:tcPr>
          <w:p>
            <w:pPr>
              <w:spacing w:after="0"/>
            </w:pPr>
            <w:r/>
            <w:r>
              <w:rPr>
                <w:rFonts w:ascii="Calibri" w:hAnsi="Calibri"/>
                <w:b/>
                <w:color w:val="141F2B"/>
                <w:sz w:val="16"/>
              </w:rPr>
              <w:t>Subgroup</w:t>
            </w:r>
          </w:p>
        </w:tc>
        <w:tc>
          <w:tcPr>
            <w:tcW w:type="dxa" w:w="1411"/>
            <w:shd w:fill="F4F6F9"/>
            <w:vAlign w:val="center"/>
          </w:tcPr>
          <w:p>
            <w:pPr>
              <w:spacing w:after="0"/>
            </w:pPr>
            <w:r/>
            <w:r>
              <w:rPr>
                <w:rFonts w:ascii="Calibri" w:hAnsi="Calibri"/>
                <w:b/>
                <w:color w:val="141F2B"/>
                <w:sz w:val="16"/>
              </w:rPr>
              <w:t>N</w:t>
            </w:r>
          </w:p>
        </w:tc>
        <w:tc>
          <w:tcPr>
            <w:tcW w:type="dxa" w:w="1411"/>
            <w:shd w:fill="F4F6F9"/>
            <w:vAlign w:val="center"/>
          </w:tcPr>
          <w:p>
            <w:pPr>
              <w:spacing w:after="0"/>
            </w:pPr>
            <w:r/>
            <w:r>
              <w:rPr>
                <w:rFonts w:ascii="Calibri" w:hAnsi="Calibri"/>
                <w:b/>
                <w:color w:val="141F2B"/>
                <w:sz w:val="16"/>
              </w:rPr>
              <w:t>Accuracy</w:t>
            </w:r>
          </w:p>
        </w:tc>
        <w:tc>
          <w:tcPr>
            <w:tcW w:type="dxa" w:w="1411"/>
            <w:shd w:fill="F4F6F9"/>
            <w:vAlign w:val="center"/>
          </w:tcPr>
          <w:p>
            <w:pPr>
              <w:spacing w:after="0"/>
            </w:pPr>
            <w:r/>
            <w:r>
              <w:rPr>
                <w:rFonts w:ascii="Calibri" w:hAnsi="Calibri"/>
                <w:b/>
                <w:color w:val="141F2B"/>
                <w:sz w:val="16"/>
              </w:rPr>
              <w:t>ROC-AUC</w:t>
            </w:r>
          </w:p>
        </w:tc>
        <w:tc>
          <w:tcPr>
            <w:tcW w:type="dxa" w:w="1411"/>
            <w:shd w:fill="F4F6F9"/>
            <w:vAlign w:val="center"/>
          </w:tcPr>
          <w:p>
            <w:pPr>
              <w:spacing w:after="0"/>
            </w:pPr>
            <w:r/>
            <w:r>
              <w:rPr>
                <w:rFonts w:ascii="Calibri" w:hAnsi="Calibri"/>
                <w:b/>
                <w:color w:val="141F2B"/>
                <w:sz w:val="16"/>
              </w:rPr>
              <w:t>ROC-AUC 95% CI</w:t>
            </w:r>
          </w:p>
        </w:tc>
        <w:tc>
          <w:tcPr>
            <w:tcW w:type="dxa" w:w="1411"/>
            <w:shd w:fill="F4F6F9"/>
            <w:vAlign w:val="center"/>
          </w:tcPr>
          <w:p>
            <w:pPr>
              <w:spacing w:after="0"/>
            </w:pPr>
            <w:r/>
            <w:r>
              <w:rPr>
                <w:rFonts w:ascii="Calibri" w:hAnsi="Calibri"/>
                <w:b/>
                <w:color w:val="141F2B"/>
                <w:sz w:val="16"/>
              </w:rPr>
              <w:t>Interaction p-value</w:t>
            </w:r>
          </w:p>
        </w:tc>
        <w:tc>
          <w:tcPr>
            <w:tcW w:type="dxa" w:w="1411"/>
            <w:shd w:fill="F4F6F9"/>
            <w:vAlign w:val="center"/>
          </w:tcPr>
          <w:p>
            <w:pPr>
              <w:spacing w:after="0"/>
            </w:pPr>
            <w:r/>
            <w:r>
              <w:rPr>
                <w:rFonts w:ascii="Calibri" w:hAnsi="Calibri"/>
                <w:b/>
                <w:color w:val="141F2B"/>
                <w:sz w:val="16"/>
              </w:rPr>
              <w:t>Interaction 95% CI</w:t>
            </w:r>
          </w:p>
        </w:tc>
      </w:tr>
      <w:tr>
        <w:tc>
          <w:tcPr>
            <w:tcW w:type="dxa" w:w="1411"/>
            <w:vAlign w:val="center"/>
          </w:tcPr>
          <w:p>
            <w:pPr>
              <w:spacing w:after="0"/>
            </w:pPr>
            <w:r/>
            <w:r>
              <w:rPr>
                <w:rFonts w:ascii="Calibri" w:hAnsi="Calibri"/>
                <w:b w:val="0"/>
                <w:sz w:val="16"/>
              </w:rPr>
              <w:t>All</w:t>
            </w:r>
          </w:p>
        </w:tc>
        <w:tc>
          <w:tcPr>
            <w:tcW w:type="dxa" w:w="1411"/>
            <w:vAlign w:val="center"/>
          </w:tcPr>
          <w:p>
            <w:pPr>
              <w:spacing w:after="0"/>
            </w:pPr>
            <w:r/>
            <w:r>
              <w:rPr>
                <w:rFonts w:ascii="Calibri" w:hAnsi="Calibri"/>
                <w:b w:val="0"/>
                <w:sz w:val="16"/>
              </w:rPr>
              <w:t>165</w:t>
            </w:r>
          </w:p>
        </w:tc>
        <w:tc>
          <w:tcPr>
            <w:tcW w:type="dxa" w:w="1411"/>
            <w:vAlign w:val="center"/>
          </w:tcPr>
          <w:p>
            <w:pPr>
              <w:spacing w:after="0"/>
            </w:pPr>
            <w:r/>
            <w:r>
              <w:rPr>
                <w:rFonts w:ascii="Calibri" w:hAnsi="Calibri"/>
                <w:b w:val="0"/>
                <w:sz w:val="16"/>
              </w:rPr>
              <w:t>0.9030</w:t>
            </w:r>
          </w:p>
        </w:tc>
        <w:tc>
          <w:tcPr>
            <w:tcW w:type="dxa" w:w="1411"/>
            <w:vAlign w:val="center"/>
          </w:tcPr>
          <w:p>
            <w:pPr>
              <w:spacing w:after="0"/>
            </w:pPr>
            <w:r/>
            <w:r>
              <w:rPr>
                <w:rFonts w:ascii="Calibri" w:hAnsi="Calibri"/>
                <w:b w:val="0"/>
                <w:sz w:val="16"/>
              </w:rPr>
              <w:t>0.9850</w:t>
            </w:r>
          </w:p>
        </w:tc>
        <w:tc>
          <w:tcPr>
            <w:tcW w:type="dxa" w:w="1411"/>
            <w:vAlign w:val="center"/>
          </w:tcPr>
          <w:p>
            <w:pPr>
              <w:spacing w:after="0"/>
            </w:pPr>
            <w:r/>
            <w:r>
              <w:rPr>
                <w:rFonts w:ascii="Calibri" w:hAnsi="Calibri"/>
                <w:b w:val="0"/>
                <w:sz w:val="16"/>
              </w:rPr>
              <w:t>(0.9711-0.9948)</w:t>
            </w:r>
          </w:p>
        </w:tc>
        <w:tc>
          <w:tcPr>
            <w:tcW w:type="dxa" w:w="1411"/>
            <w:vAlign w:val="center"/>
          </w:tcPr>
          <w:p>
            <w:pPr>
              <w:spacing w:after="0"/>
            </w:pPr>
            <w:r/>
            <w:r>
              <w:rPr>
                <w:rFonts w:ascii="Calibri" w:hAnsi="Calibri"/>
                <w:b w:val="0"/>
                <w:sz w:val="16"/>
              </w:rPr>
              <w:t>-</w:t>
            </w:r>
          </w:p>
        </w:tc>
        <w:tc>
          <w:tcPr>
            <w:tcW w:type="dxa" w:w="1411"/>
            <w:vAlign w:val="center"/>
          </w:tcPr>
          <w:p>
            <w:pPr>
              <w:spacing w:after="0"/>
            </w:pPr>
            <w:r/>
            <w:r>
              <w:rPr>
                <w:rFonts w:ascii="Calibri" w:hAnsi="Calibri"/>
                <w:b w:val="0"/>
                <w:sz w:val="16"/>
              </w:rPr>
              <w:t>-</w:t>
            </w:r>
          </w:p>
        </w:tc>
      </w:tr>
      <w:tr>
        <w:tc>
          <w:tcPr>
            <w:tcW w:type="dxa" w:w="1411"/>
            <w:vAlign w:val="center"/>
          </w:tcPr>
          <w:p>
            <w:pPr>
              <w:spacing w:after="0"/>
            </w:pPr>
            <w:r/>
            <w:r>
              <w:rPr>
                <w:rFonts w:ascii="Calibri" w:hAnsi="Calibri"/>
                <w:b w:val="0"/>
                <w:sz w:val="16"/>
              </w:rPr>
              <w:t>Age &lt; 65</w:t>
            </w:r>
          </w:p>
        </w:tc>
        <w:tc>
          <w:tcPr>
            <w:tcW w:type="dxa" w:w="1411"/>
            <w:vAlign w:val="center"/>
          </w:tcPr>
          <w:p>
            <w:pPr>
              <w:spacing w:after="0"/>
            </w:pPr>
            <w:r/>
            <w:r>
              <w:rPr>
                <w:rFonts w:ascii="Calibri" w:hAnsi="Calibri"/>
                <w:b w:val="0"/>
                <w:sz w:val="16"/>
              </w:rPr>
              <w:t>39</w:t>
            </w:r>
          </w:p>
        </w:tc>
        <w:tc>
          <w:tcPr>
            <w:tcW w:type="dxa" w:w="1411"/>
            <w:vAlign w:val="center"/>
          </w:tcPr>
          <w:p>
            <w:pPr>
              <w:spacing w:after="0"/>
            </w:pPr>
            <w:r/>
            <w:r>
              <w:rPr>
                <w:rFonts w:ascii="Calibri" w:hAnsi="Calibri"/>
                <w:b w:val="0"/>
                <w:sz w:val="16"/>
              </w:rPr>
              <w:t>0.8205</w:t>
            </w:r>
          </w:p>
        </w:tc>
        <w:tc>
          <w:tcPr>
            <w:tcW w:type="dxa" w:w="1411"/>
            <w:vAlign w:val="center"/>
          </w:tcPr>
          <w:p>
            <w:pPr>
              <w:spacing w:after="0"/>
            </w:pPr>
            <w:r/>
            <w:r>
              <w:rPr>
                <w:rFonts w:ascii="Calibri" w:hAnsi="Calibri"/>
                <w:b w:val="0"/>
                <w:sz w:val="16"/>
              </w:rPr>
              <w:t>0.9511</w:t>
            </w:r>
          </w:p>
        </w:tc>
        <w:tc>
          <w:tcPr>
            <w:tcW w:type="dxa" w:w="1411"/>
            <w:vAlign w:val="center"/>
          </w:tcPr>
          <w:p>
            <w:pPr>
              <w:spacing w:after="0"/>
            </w:pPr>
            <w:r/>
            <w:r>
              <w:rPr>
                <w:rFonts w:ascii="Calibri" w:hAnsi="Calibri"/>
                <w:b w:val="0"/>
                <w:sz w:val="16"/>
              </w:rPr>
              <w:t>(0.8757-1.0000)</w:t>
            </w:r>
          </w:p>
        </w:tc>
        <w:tc>
          <w:tcPr>
            <w:tcW w:type="dxa" w:w="1411"/>
            <w:vAlign w:val="center"/>
          </w:tcPr>
          <w:p>
            <w:pPr>
              <w:spacing w:after="0"/>
            </w:pPr>
            <w:r/>
            <w:r>
              <w:rPr>
                <w:rFonts w:ascii="Calibri" w:hAnsi="Calibri"/>
                <w:b w:val="0"/>
                <w:sz w:val="16"/>
              </w:rPr>
              <w:t>0.2050</w:t>
            </w:r>
          </w:p>
        </w:tc>
        <w:tc>
          <w:tcPr>
            <w:tcW w:type="dxa" w:w="1411"/>
            <w:vAlign w:val="center"/>
          </w:tcPr>
          <w:p>
            <w:pPr>
              <w:spacing w:after="0"/>
            </w:pPr>
            <w:r/>
            <w:r>
              <w:rPr>
                <w:rFonts w:ascii="Calibri" w:hAnsi="Calibri"/>
                <w:b w:val="0"/>
                <w:sz w:val="16"/>
              </w:rPr>
              <w:t>(-0.1205 to 0.0096)</w:t>
            </w:r>
          </w:p>
        </w:tc>
      </w:tr>
      <w:tr>
        <w:tc>
          <w:tcPr>
            <w:tcW w:type="dxa" w:w="1411"/>
            <w:vAlign w:val="center"/>
          </w:tcPr>
          <w:p>
            <w:pPr>
              <w:spacing w:after="0"/>
            </w:pPr>
            <w:r/>
            <w:r>
              <w:rPr>
                <w:rFonts w:ascii="Calibri" w:hAnsi="Calibri"/>
                <w:b w:val="0"/>
                <w:sz w:val="16"/>
              </w:rPr>
              <w:t>Age &gt;= 65</w:t>
            </w:r>
          </w:p>
        </w:tc>
        <w:tc>
          <w:tcPr>
            <w:tcW w:type="dxa" w:w="1411"/>
            <w:vAlign w:val="center"/>
          </w:tcPr>
          <w:p>
            <w:pPr>
              <w:spacing w:after="0"/>
            </w:pPr>
            <w:r/>
            <w:r>
              <w:rPr>
                <w:rFonts w:ascii="Calibri" w:hAnsi="Calibri"/>
                <w:b w:val="0"/>
                <w:sz w:val="16"/>
              </w:rPr>
              <w:t>126</w:t>
            </w:r>
          </w:p>
        </w:tc>
        <w:tc>
          <w:tcPr>
            <w:tcW w:type="dxa" w:w="1411"/>
            <w:vAlign w:val="center"/>
          </w:tcPr>
          <w:p>
            <w:pPr>
              <w:spacing w:after="0"/>
            </w:pPr>
            <w:r/>
            <w:r>
              <w:rPr>
                <w:rFonts w:ascii="Calibri" w:hAnsi="Calibri"/>
                <w:b w:val="0"/>
                <w:sz w:val="16"/>
              </w:rPr>
              <w:t>0.9286</w:t>
            </w:r>
          </w:p>
        </w:tc>
        <w:tc>
          <w:tcPr>
            <w:tcW w:type="dxa" w:w="1411"/>
            <w:vAlign w:val="center"/>
          </w:tcPr>
          <w:p>
            <w:pPr>
              <w:spacing w:after="0"/>
            </w:pPr>
            <w:r/>
            <w:r>
              <w:rPr>
                <w:rFonts w:ascii="Calibri" w:hAnsi="Calibri"/>
                <w:b w:val="0"/>
                <w:sz w:val="16"/>
              </w:rPr>
              <w:t>0.9911</w:t>
            </w:r>
          </w:p>
        </w:tc>
        <w:tc>
          <w:tcPr>
            <w:tcW w:type="dxa" w:w="1411"/>
            <w:vAlign w:val="center"/>
          </w:tcPr>
          <w:p>
            <w:pPr>
              <w:spacing w:after="0"/>
            </w:pPr>
            <w:r/>
            <w:r>
              <w:rPr>
                <w:rFonts w:ascii="Calibri" w:hAnsi="Calibri"/>
                <w:b w:val="0"/>
                <w:sz w:val="16"/>
              </w:rPr>
              <w:t>(0.9805-0.9985)</w:t>
            </w:r>
          </w:p>
        </w:tc>
        <w:tc>
          <w:tcPr>
            <w:tcW w:type="dxa" w:w="1411"/>
            <w:vAlign w:val="center"/>
          </w:tcPr>
          <w:p>
            <w:pPr>
              <w:spacing w:after="0"/>
            </w:pPr>
            <w:r/>
            <w:r>
              <w:rPr>
                <w:rFonts w:ascii="Calibri" w:hAnsi="Calibri"/>
                <w:b w:val="0"/>
                <w:sz w:val="16"/>
              </w:rPr>
              <w:t>0.2050</w:t>
            </w:r>
          </w:p>
        </w:tc>
        <w:tc>
          <w:tcPr>
            <w:tcW w:type="dxa" w:w="1411"/>
            <w:vAlign w:val="center"/>
          </w:tcPr>
          <w:p>
            <w:pPr>
              <w:spacing w:after="0"/>
            </w:pPr>
            <w:r/>
            <w:r>
              <w:rPr>
                <w:rFonts w:ascii="Calibri" w:hAnsi="Calibri"/>
                <w:b w:val="0"/>
                <w:sz w:val="16"/>
              </w:rPr>
              <w:t>(-0.1205 to 0.0096)</w:t>
            </w:r>
          </w:p>
        </w:tc>
      </w:tr>
      <w:tr>
        <w:tc>
          <w:tcPr>
            <w:tcW w:type="dxa" w:w="1411"/>
            <w:vAlign w:val="center"/>
          </w:tcPr>
          <w:p>
            <w:pPr>
              <w:spacing w:after="0"/>
            </w:pPr>
            <w:r/>
            <w:r>
              <w:rPr>
                <w:rFonts w:ascii="Calibri" w:hAnsi="Calibri"/>
                <w:b w:val="0"/>
                <w:sz w:val="16"/>
              </w:rPr>
              <w:t>Male</w:t>
            </w:r>
          </w:p>
        </w:tc>
        <w:tc>
          <w:tcPr>
            <w:tcW w:type="dxa" w:w="1411"/>
            <w:vAlign w:val="center"/>
          </w:tcPr>
          <w:p>
            <w:pPr>
              <w:spacing w:after="0"/>
            </w:pPr>
            <w:r/>
            <w:r>
              <w:rPr>
                <w:rFonts w:ascii="Calibri" w:hAnsi="Calibri"/>
                <w:b w:val="0"/>
                <w:sz w:val="16"/>
              </w:rPr>
              <w:t>62</w:t>
            </w:r>
          </w:p>
        </w:tc>
        <w:tc>
          <w:tcPr>
            <w:tcW w:type="dxa" w:w="1411"/>
            <w:vAlign w:val="center"/>
          </w:tcPr>
          <w:p>
            <w:pPr>
              <w:spacing w:after="0"/>
            </w:pPr>
            <w:r/>
            <w:r>
              <w:rPr>
                <w:rFonts w:ascii="Calibri" w:hAnsi="Calibri"/>
                <w:b w:val="0"/>
                <w:sz w:val="16"/>
              </w:rPr>
              <w:t>0.8871</w:t>
            </w:r>
          </w:p>
        </w:tc>
        <w:tc>
          <w:tcPr>
            <w:tcW w:type="dxa" w:w="1411"/>
            <w:vAlign w:val="center"/>
          </w:tcPr>
          <w:p>
            <w:pPr>
              <w:spacing w:after="0"/>
            </w:pPr>
            <w:r/>
            <w:r>
              <w:rPr>
                <w:rFonts w:ascii="Calibri" w:hAnsi="Calibri"/>
                <w:b w:val="0"/>
                <w:sz w:val="16"/>
              </w:rPr>
              <w:t>0.9778</w:t>
            </w:r>
          </w:p>
        </w:tc>
        <w:tc>
          <w:tcPr>
            <w:tcW w:type="dxa" w:w="1411"/>
            <w:vAlign w:val="center"/>
          </w:tcPr>
          <w:p>
            <w:pPr>
              <w:spacing w:after="0"/>
            </w:pPr>
            <w:r/>
            <w:r>
              <w:rPr>
                <w:rFonts w:ascii="Calibri" w:hAnsi="Calibri"/>
                <w:b w:val="0"/>
                <w:sz w:val="16"/>
              </w:rPr>
              <w:t>(0.9390-1.0000)</w:t>
            </w:r>
          </w:p>
        </w:tc>
        <w:tc>
          <w:tcPr>
            <w:tcW w:type="dxa" w:w="1411"/>
            <w:vAlign w:val="center"/>
          </w:tcPr>
          <w:p>
            <w:pPr>
              <w:spacing w:after="0"/>
            </w:pPr>
            <w:r/>
            <w:r>
              <w:rPr>
                <w:rFonts w:ascii="Calibri" w:hAnsi="Calibri"/>
                <w:b w:val="0"/>
                <w:sz w:val="16"/>
              </w:rPr>
              <w:t>0.5980</w:t>
            </w:r>
          </w:p>
        </w:tc>
        <w:tc>
          <w:tcPr>
            <w:tcW w:type="dxa" w:w="1411"/>
            <w:vAlign w:val="center"/>
          </w:tcPr>
          <w:p>
            <w:pPr>
              <w:spacing w:after="0"/>
            </w:pPr>
            <w:r/>
            <w:r>
              <w:rPr>
                <w:rFonts w:ascii="Calibri" w:hAnsi="Calibri"/>
                <w:b w:val="0"/>
                <w:sz w:val="16"/>
              </w:rPr>
              <w:t>(-0.0446 to 0.0198)</w:t>
            </w:r>
          </w:p>
        </w:tc>
      </w:tr>
      <w:tr>
        <w:tc>
          <w:tcPr>
            <w:tcW w:type="dxa" w:w="1411"/>
            <w:vAlign w:val="center"/>
          </w:tcPr>
          <w:p>
            <w:pPr>
              <w:spacing w:after="0"/>
            </w:pPr>
            <w:r/>
            <w:r>
              <w:rPr>
                <w:rFonts w:ascii="Calibri" w:hAnsi="Calibri"/>
                <w:b w:val="0"/>
                <w:sz w:val="16"/>
              </w:rPr>
              <w:t>Female</w:t>
            </w:r>
          </w:p>
        </w:tc>
        <w:tc>
          <w:tcPr>
            <w:tcW w:type="dxa" w:w="1411"/>
            <w:vAlign w:val="center"/>
          </w:tcPr>
          <w:p>
            <w:pPr>
              <w:spacing w:after="0"/>
            </w:pPr>
            <w:r/>
            <w:r>
              <w:rPr>
                <w:rFonts w:ascii="Calibri" w:hAnsi="Calibri"/>
                <w:b w:val="0"/>
                <w:sz w:val="16"/>
              </w:rPr>
              <w:t>103</w:t>
            </w:r>
          </w:p>
        </w:tc>
        <w:tc>
          <w:tcPr>
            <w:tcW w:type="dxa" w:w="1411"/>
            <w:vAlign w:val="center"/>
          </w:tcPr>
          <w:p>
            <w:pPr>
              <w:spacing w:after="0"/>
            </w:pPr>
            <w:r/>
            <w:r>
              <w:rPr>
                <w:rFonts w:ascii="Calibri" w:hAnsi="Calibri"/>
                <w:b w:val="0"/>
                <w:sz w:val="16"/>
              </w:rPr>
              <w:t>0.9126</w:t>
            </w:r>
          </w:p>
        </w:tc>
        <w:tc>
          <w:tcPr>
            <w:tcW w:type="dxa" w:w="1411"/>
            <w:vAlign w:val="center"/>
          </w:tcPr>
          <w:p>
            <w:pPr>
              <w:spacing w:after="0"/>
            </w:pPr>
            <w:r/>
            <w:r>
              <w:rPr>
                <w:rFonts w:ascii="Calibri" w:hAnsi="Calibri"/>
                <w:b w:val="0"/>
                <w:sz w:val="16"/>
              </w:rPr>
              <w:t>0.9865</w:t>
            </w:r>
          </w:p>
        </w:tc>
        <w:tc>
          <w:tcPr>
            <w:tcW w:type="dxa" w:w="1411"/>
            <w:vAlign w:val="center"/>
          </w:tcPr>
          <w:p>
            <w:pPr>
              <w:spacing w:after="0"/>
            </w:pPr>
            <w:r/>
            <w:r>
              <w:rPr>
                <w:rFonts w:ascii="Calibri" w:hAnsi="Calibri"/>
                <w:b w:val="0"/>
                <w:sz w:val="16"/>
              </w:rPr>
              <w:t>(0.9676-0.9972)</w:t>
            </w:r>
          </w:p>
        </w:tc>
        <w:tc>
          <w:tcPr>
            <w:tcW w:type="dxa" w:w="1411"/>
            <w:vAlign w:val="center"/>
          </w:tcPr>
          <w:p>
            <w:pPr>
              <w:spacing w:after="0"/>
            </w:pPr>
            <w:r/>
            <w:r>
              <w:rPr>
                <w:rFonts w:ascii="Calibri" w:hAnsi="Calibri"/>
                <w:b w:val="0"/>
                <w:sz w:val="16"/>
              </w:rPr>
              <w:t>0.5980</w:t>
            </w:r>
          </w:p>
        </w:tc>
        <w:tc>
          <w:tcPr>
            <w:tcW w:type="dxa" w:w="1411"/>
            <w:vAlign w:val="center"/>
          </w:tcPr>
          <w:p>
            <w:pPr>
              <w:spacing w:after="0"/>
            </w:pPr>
            <w:r/>
            <w:r>
              <w:rPr>
                <w:rFonts w:ascii="Calibri" w:hAnsi="Calibri"/>
                <w:b w:val="0"/>
                <w:sz w:val="16"/>
              </w:rPr>
              <w:t>(-0.0446 to 0.0198)</w:t>
            </w:r>
          </w:p>
        </w:tc>
      </w:tr>
      <w:tr>
        <w:tc>
          <w:tcPr>
            <w:tcW w:type="dxa" w:w="1411"/>
            <w:vAlign w:val="center"/>
          </w:tcPr>
          <w:p>
            <w:pPr>
              <w:spacing w:after="0"/>
            </w:pPr>
            <w:r/>
            <w:r>
              <w:rPr>
                <w:rFonts w:ascii="Calibri" w:hAnsi="Calibri"/>
                <w:b w:val="0"/>
                <w:sz w:val="16"/>
              </w:rPr>
              <w:t>Stage I/II</w:t>
            </w:r>
          </w:p>
        </w:tc>
        <w:tc>
          <w:tcPr>
            <w:tcW w:type="dxa" w:w="1411"/>
            <w:vAlign w:val="center"/>
          </w:tcPr>
          <w:p>
            <w:pPr>
              <w:spacing w:after="0"/>
            </w:pPr>
            <w:r/>
            <w:r>
              <w:rPr>
                <w:rFonts w:ascii="Calibri" w:hAnsi="Calibri"/>
                <w:b w:val="0"/>
                <w:sz w:val="16"/>
              </w:rPr>
              <w:t>57</w:t>
            </w:r>
          </w:p>
        </w:tc>
        <w:tc>
          <w:tcPr>
            <w:tcW w:type="dxa" w:w="1411"/>
            <w:vAlign w:val="center"/>
          </w:tcPr>
          <w:p>
            <w:pPr>
              <w:spacing w:after="0"/>
            </w:pPr>
            <w:r/>
            <w:r>
              <w:rPr>
                <w:rFonts w:ascii="Calibri" w:hAnsi="Calibri"/>
                <w:b w:val="0"/>
                <w:sz w:val="16"/>
              </w:rPr>
              <w:t>0.8947</w:t>
            </w:r>
          </w:p>
        </w:tc>
        <w:tc>
          <w:tcPr>
            <w:tcW w:type="dxa" w:w="1411"/>
            <w:vAlign w:val="center"/>
          </w:tcPr>
          <w:p>
            <w:pPr>
              <w:spacing w:after="0"/>
            </w:pPr>
            <w:r/>
            <w:r>
              <w:rPr>
                <w:rFonts w:ascii="Calibri" w:hAnsi="Calibri"/>
                <w:b w:val="0"/>
                <w:sz w:val="16"/>
              </w:rPr>
              <w:t>0.9858</w:t>
            </w:r>
          </w:p>
        </w:tc>
        <w:tc>
          <w:tcPr>
            <w:tcW w:type="dxa" w:w="1411"/>
            <w:vAlign w:val="center"/>
          </w:tcPr>
          <w:p>
            <w:pPr>
              <w:spacing w:after="0"/>
            </w:pPr>
            <w:r/>
            <w:r>
              <w:rPr>
                <w:rFonts w:ascii="Calibri" w:hAnsi="Calibri"/>
                <w:b w:val="0"/>
                <w:sz w:val="16"/>
              </w:rPr>
              <w:t>(0.9540-1.0000)</w:t>
            </w:r>
          </w:p>
        </w:tc>
        <w:tc>
          <w:tcPr>
            <w:tcW w:type="dxa" w:w="1411"/>
            <w:vAlign w:val="center"/>
          </w:tcPr>
          <w:p>
            <w:pPr>
              <w:spacing w:after="0"/>
            </w:pPr>
            <w:r/>
            <w:r>
              <w:rPr>
                <w:rFonts w:ascii="Calibri" w:hAnsi="Calibri"/>
                <w:b w:val="0"/>
                <w:sz w:val="16"/>
              </w:rPr>
              <w:t>0.2690</w:t>
            </w:r>
          </w:p>
        </w:tc>
        <w:tc>
          <w:tcPr>
            <w:tcW w:type="dxa" w:w="1411"/>
            <w:vAlign w:val="center"/>
          </w:tcPr>
          <w:p>
            <w:pPr>
              <w:spacing w:after="0"/>
            </w:pPr>
            <w:r/>
            <w:r>
              <w:rPr>
                <w:rFonts w:ascii="Calibri" w:hAnsi="Calibri"/>
                <w:b w:val="0"/>
                <w:sz w:val="16"/>
              </w:rPr>
              <w:t>(-0.0203 to 0.0798)</w:t>
            </w:r>
          </w:p>
        </w:tc>
      </w:tr>
      <w:tr>
        <w:tc>
          <w:tcPr>
            <w:tcW w:type="dxa" w:w="1411"/>
            <w:vAlign w:val="center"/>
          </w:tcPr>
          <w:p>
            <w:pPr>
              <w:spacing w:after="0"/>
            </w:pPr>
            <w:r/>
            <w:r>
              <w:rPr>
                <w:rFonts w:ascii="Calibri" w:hAnsi="Calibri"/>
                <w:b w:val="0"/>
                <w:sz w:val="16"/>
              </w:rPr>
              <w:t>Stage III/IV</w:t>
            </w:r>
          </w:p>
        </w:tc>
        <w:tc>
          <w:tcPr>
            <w:tcW w:type="dxa" w:w="1411"/>
            <w:vAlign w:val="center"/>
          </w:tcPr>
          <w:p>
            <w:pPr>
              <w:spacing w:after="0"/>
            </w:pPr>
            <w:r/>
            <w:r>
              <w:rPr>
                <w:rFonts w:ascii="Calibri" w:hAnsi="Calibri"/>
                <w:b w:val="0"/>
                <w:sz w:val="16"/>
              </w:rPr>
              <w:t>57</w:t>
            </w:r>
          </w:p>
        </w:tc>
        <w:tc>
          <w:tcPr>
            <w:tcW w:type="dxa" w:w="1411"/>
            <w:vAlign w:val="center"/>
          </w:tcPr>
          <w:p>
            <w:pPr>
              <w:spacing w:after="0"/>
            </w:pPr>
            <w:r/>
            <w:r>
              <w:rPr>
                <w:rFonts w:ascii="Calibri" w:hAnsi="Calibri"/>
                <w:b w:val="0"/>
                <w:sz w:val="16"/>
              </w:rPr>
              <w:t>0.8596</w:t>
            </w:r>
          </w:p>
        </w:tc>
        <w:tc>
          <w:tcPr>
            <w:tcW w:type="dxa" w:w="1411"/>
            <w:vAlign w:val="center"/>
          </w:tcPr>
          <w:p>
            <w:pPr>
              <w:spacing w:after="0"/>
            </w:pPr>
            <w:r/>
            <w:r>
              <w:rPr>
                <w:rFonts w:ascii="Calibri" w:hAnsi="Calibri"/>
                <w:b w:val="0"/>
                <w:sz w:val="16"/>
              </w:rPr>
              <w:t>0.9603</w:t>
            </w:r>
          </w:p>
        </w:tc>
        <w:tc>
          <w:tcPr>
            <w:tcW w:type="dxa" w:w="1411"/>
            <w:vAlign w:val="center"/>
          </w:tcPr>
          <w:p>
            <w:pPr>
              <w:spacing w:after="0"/>
            </w:pPr>
            <w:r/>
            <w:r>
              <w:rPr>
                <w:rFonts w:ascii="Calibri" w:hAnsi="Calibri"/>
                <w:b w:val="0"/>
                <w:sz w:val="16"/>
              </w:rPr>
              <w:t>(0.8888-0.9917)</w:t>
            </w:r>
          </w:p>
        </w:tc>
        <w:tc>
          <w:tcPr>
            <w:tcW w:type="dxa" w:w="1411"/>
            <w:vAlign w:val="center"/>
          </w:tcPr>
          <w:p>
            <w:pPr>
              <w:spacing w:after="0"/>
            </w:pPr>
            <w:r/>
            <w:r>
              <w:rPr>
                <w:rFonts w:ascii="Calibri" w:hAnsi="Calibri"/>
                <w:b w:val="0"/>
                <w:sz w:val="16"/>
              </w:rPr>
              <w:t>0.2690</w:t>
            </w:r>
          </w:p>
        </w:tc>
        <w:tc>
          <w:tcPr>
            <w:tcW w:type="dxa" w:w="1411"/>
            <w:vAlign w:val="center"/>
          </w:tcPr>
          <w:p>
            <w:pPr>
              <w:spacing w:after="0"/>
            </w:pPr>
            <w:r/>
            <w:r>
              <w:rPr>
                <w:rFonts w:ascii="Calibri" w:hAnsi="Calibri"/>
                <w:b w:val="0"/>
                <w:sz w:val="16"/>
              </w:rPr>
              <w:t>(-0.0203 to 0.0798)</w:t>
            </w:r>
          </w:p>
        </w:tc>
      </w:tr>
    </w:tbl>
    <w:p>
      <w:pPr>
        <w:spacing w:before="60" w:after="160"/>
        <w:jc w:val="center"/>
      </w:pPr>
      <w:r>
        <w:rPr>
          <w:rFonts w:ascii="Calibri" w:hAnsi="Calibri"/>
          <w:i/>
          <w:color w:val="5A5A5A"/>
          <w:sz w:val="17"/>
        </w:rPr>
        <w:t>Table 6. Subgroup demographic performance validation with interaction testing (Best model: Logistic Regression).</w:t>
      </w:r>
    </w:p>
    <w:p>
      <w:pPr>
        <w:spacing w:before="0" w:after="140" w:line="283" w:lineRule="auto"/>
      </w:pPr>
      <w:r>
        <w:rPr>
          <w:rFonts w:ascii="Calibri" w:hAnsi="Calibri"/>
          <w:color w:val="141F2B"/>
          <w:sz w:val="20"/>
        </w:rPr>
        <w:t>Kaplan-Meier curves (Figures 5 and 6) compared survival between predicted proliferation classes. Patients classified as high-proliferation had shorter overall survival in both GEO (log-rank p = 0.037) and TCGA (log-rank p = 0.034). CPTAC-COAD had only 7 survival events, so its KM curves are shown for completeness but lack statistical power for reliable inference.</w:t>
      </w:r>
    </w:p>
    <w:p>
      <w:pPr>
        <w:spacing w:before="40" w:after="40"/>
        <w:jc w:val="center"/>
      </w:pPr>
      <w:r>
        <w:drawing>
          <wp:inline xmlns:a="http://schemas.openxmlformats.org/drawingml/2006/main" xmlns:pic="http://schemas.openxmlformats.org/drawingml/2006/picture">
            <wp:extent cx="4663440" cy="3497580"/>
            <wp:docPr id="5" name="Picture 5"/>
            <wp:cNvGraphicFramePr>
              <a:graphicFrameLocks noChangeAspect="1"/>
            </wp:cNvGraphicFramePr>
            <a:graphic>
              <a:graphicData uri="http://schemas.openxmlformats.org/drawingml/2006/picture">
                <pic:pic>
                  <pic:nvPicPr>
                    <pic:cNvPr id="0" name="kaplan_meier_geo.png"/>
                    <pic:cNvPicPr/>
                  </pic:nvPicPr>
                  <pic:blipFill>
                    <a:blip r:embed="rId14"/>
                    <a:stretch>
                      <a:fillRect/>
                    </a:stretch>
                  </pic:blipFill>
                  <pic:spPr>
                    <a:xfrm>
                      <a:off x="0" y="0"/>
                      <a:ext cx="4663440" cy="3497580"/>
                    </a:xfrm>
                    <a:prstGeom prst="rect"/>
                  </pic:spPr>
                </pic:pic>
              </a:graphicData>
            </a:graphic>
          </wp:inline>
        </w:drawing>
      </w:r>
    </w:p>
    <w:p>
      <w:pPr>
        <w:spacing w:before="60" w:after="160"/>
        <w:jc w:val="center"/>
      </w:pPr>
      <w:r>
        <w:rPr>
          <w:rFonts w:ascii="Calibri" w:hAnsi="Calibri"/>
          <w:i/>
          <w:color w:val="5A5A5A"/>
          <w:sz w:val="17"/>
        </w:rPr>
        <w:t>Figure 5. Kaplan-Meier overall survival curves comparing predicted high vs. low proliferation cohorts in GEO.</w:t>
      </w:r>
    </w:p>
    <w:p>
      <w:pPr>
        <w:spacing w:before="40" w:after="40"/>
        <w:jc w:val="center"/>
      </w:pPr>
      <w:r>
        <w:drawing>
          <wp:inline xmlns:a="http://schemas.openxmlformats.org/drawingml/2006/main" xmlns:pic="http://schemas.openxmlformats.org/drawingml/2006/picture">
            <wp:extent cx="4937760" cy="1763486"/>
            <wp:docPr id="6" name="Picture 6"/>
            <wp:cNvGraphicFramePr>
              <a:graphicFrameLocks noChangeAspect="1"/>
            </wp:cNvGraphicFramePr>
            <a:graphic>
              <a:graphicData uri="http://schemas.openxmlformats.org/drawingml/2006/picture">
                <pic:pic>
                  <pic:nvPicPr>
                    <pic:cNvPr id="0" name="kaplan_meier_stage_stratified.png"/>
                    <pic:cNvPicPr/>
                  </pic:nvPicPr>
                  <pic:blipFill>
                    <a:blip r:embed="rId15"/>
                    <a:stretch>
                      <a:fillRect/>
                    </a:stretch>
                  </pic:blipFill>
                  <pic:spPr>
                    <a:xfrm>
                      <a:off x="0" y="0"/>
                      <a:ext cx="4937760" cy="1763486"/>
                    </a:xfrm>
                    <a:prstGeom prst="rect"/>
                  </pic:spPr>
                </pic:pic>
              </a:graphicData>
            </a:graphic>
          </wp:inline>
        </w:drawing>
      </w:r>
    </w:p>
    <w:p>
      <w:pPr>
        <w:spacing w:before="60" w:after="160"/>
        <w:jc w:val="center"/>
      </w:pPr>
      <w:r>
        <w:rPr>
          <w:rFonts w:ascii="Calibri" w:hAnsi="Calibri"/>
          <w:i/>
          <w:color w:val="5A5A5A"/>
          <w:sz w:val="17"/>
        </w:rPr>
        <w:t>Figure 6. Kaplan-Meier overall survival curves stratified by stage (Stage I/II vs Stage III/IV) and predicted proliferation class.</w:t>
      </w:r>
    </w:p>
    <w:p>
      <w:pPr>
        <w:spacing w:before="0" w:after="140" w:line="283" w:lineRule="auto"/>
      </w:pPr>
      <w:r>
        <w:rPr>
          <w:rFonts w:ascii="Calibri" w:hAnsi="Calibri"/>
          <w:color w:val="141F2B"/>
          <w:sz w:val="20"/>
        </w:rPr>
        <w:t>Cox regression did not find a significant independent effect of proliferation class after adjusting for age, sex, and stage (Table 7).</w:t>
      </w:r>
    </w:p>
    <w:tbl>
      <w:tblPr>
        <w:tblW w:type="auto" w:w="0"/>
        <w:jc w:val="center"/>
        <w:tblLook w:firstColumn="1" w:firstRow="1" w:lastColumn="0" w:lastRow="0" w:noHBand="0" w:noVBand="1" w:val="04A0"/>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1976"/>
        <w:gridCol w:w="1976"/>
        <w:gridCol w:w="1976"/>
        <w:gridCol w:w="1976"/>
        <w:gridCol w:w="1976"/>
      </w:tblGrid>
      <w:tr>
        <w:trPr>
          <w:tblHeader w:val="true"/>
        </w:trPr>
        <w:tc>
          <w:tcPr>
            <w:tcW w:type="dxa" w:w="1976"/>
            <w:shd w:fill="F4F6F9"/>
            <w:vAlign w:val="center"/>
          </w:tcPr>
          <w:p>
            <w:pPr>
              <w:spacing w:after="0"/>
            </w:pPr>
            <w:r/>
            <w:r>
              <w:rPr>
                <w:rFonts w:ascii="Calibri" w:hAnsi="Calibri"/>
                <w:b/>
                <w:color w:val="141F2B"/>
                <w:sz w:val="17"/>
              </w:rPr>
              <w:t>Predictor / Covariate</w:t>
            </w:r>
          </w:p>
        </w:tc>
        <w:tc>
          <w:tcPr>
            <w:tcW w:type="dxa" w:w="1976"/>
            <w:shd w:fill="F4F6F9"/>
            <w:vAlign w:val="center"/>
          </w:tcPr>
          <w:p>
            <w:pPr>
              <w:spacing w:after="0"/>
            </w:pPr>
            <w:r/>
            <w:r>
              <w:rPr>
                <w:rFonts w:ascii="Calibri" w:hAnsi="Calibri"/>
                <w:b/>
                <w:color w:val="141F2B"/>
                <w:sz w:val="17"/>
              </w:rPr>
              <w:t>Coefficient</w:t>
            </w:r>
          </w:p>
        </w:tc>
        <w:tc>
          <w:tcPr>
            <w:tcW w:type="dxa" w:w="1976"/>
            <w:shd w:fill="F4F6F9"/>
            <w:vAlign w:val="center"/>
          </w:tcPr>
          <w:p>
            <w:pPr>
              <w:spacing w:after="0"/>
            </w:pPr>
            <w:r/>
            <w:r>
              <w:rPr>
                <w:rFonts w:ascii="Calibri" w:hAnsi="Calibri"/>
                <w:b/>
                <w:color w:val="141F2B"/>
                <w:sz w:val="17"/>
              </w:rPr>
              <w:t>Hazard Ratio (HR)</w:t>
            </w:r>
          </w:p>
        </w:tc>
        <w:tc>
          <w:tcPr>
            <w:tcW w:type="dxa" w:w="1976"/>
            <w:shd w:fill="F4F6F9"/>
            <w:vAlign w:val="center"/>
          </w:tcPr>
          <w:p>
            <w:pPr>
              <w:spacing w:after="0"/>
            </w:pPr>
            <w:r/>
            <w:r>
              <w:rPr>
                <w:rFonts w:ascii="Calibri" w:hAnsi="Calibri"/>
                <w:b/>
                <w:color w:val="141F2B"/>
                <w:sz w:val="17"/>
              </w:rPr>
              <w:t>95% CI</w:t>
            </w:r>
          </w:p>
        </w:tc>
        <w:tc>
          <w:tcPr>
            <w:tcW w:type="dxa" w:w="1976"/>
            <w:shd w:fill="F4F6F9"/>
            <w:vAlign w:val="center"/>
          </w:tcPr>
          <w:p>
            <w:pPr>
              <w:spacing w:after="0"/>
            </w:pPr>
            <w:r/>
            <w:r>
              <w:rPr>
                <w:rFonts w:ascii="Calibri" w:hAnsi="Calibri"/>
                <w:b/>
                <w:color w:val="141F2B"/>
                <w:sz w:val="17"/>
              </w:rPr>
              <w:t>p-value</w:t>
            </w:r>
          </w:p>
        </w:tc>
      </w:tr>
      <w:tr>
        <w:tc>
          <w:tcPr>
            <w:tcW w:type="dxa" w:w="1976"/>
            <w:vAlign w:val="center"/>
          </w:tcPr>
          <w:p>
            <w:pPr>
              <w:spacing w:after="0"/>
            </w:pPr>
            <w:r/>
            <w:r>
              <w:rPr>
                <w:rFonts w:ascii="Calibri" w:hAnsi="Calibri"/>
                <w:b w:val="0"/>
                <w:sz w:val="16"/>
              </w:rPr>
              <w:t>High_Proliferation</w:t>
            </w:r>
          </w:p>
        </w:tc>
        <w:tc>
          <w:tcPr>
            <w:tcW w:type="dxa" w:w="1976"/>
            <w:vAlign w:val="center"/>
          </w:tcPr>
          <w:p>
            <w:pPr>
              <w:spacing w:after="0"/>
            </w:pPr>
            <w:r/>
            <w:r>
              <w:rPr>
                <w:rFonts w:ascii="Calibri" w:hAnsi="Calibri"/>
                <w:b w:val="0"/>
                <w:sz w:val="16"/>
              </w:rPr>
              <w:t>-0.1702</w:t>
            </w:r>
          </w:p>
        </w:tc>
        <w:tc>
          <w:tcPr>
            <w:tcW w:type="dxa" w:w="1976"/>
            <w:vAlign w:val="center"/>
          </w:tcPr>
          <w:p>
            <w:pPr>
              <w:spacing w:after="0"/>
            </w:pPr>
            <w:r/>
            <w:r>
              <w:rPr>
                <w:rFonts w:ascii="Calibri" w:hAnsi="Calibri"/>
                <w:b w:val="0"/>
                <w:sz w:val="16"/>
              </w:rPr>
              <w:t>0.8435</w:t>
            </w:r>
          </w:p>
        </w:tc>
        <w:tc>
          <w:tcPr>
            <w:tcW w:type="dxa" w:w="1976"/>
            <w:vAlign w:val="center"/>
          </w:tcPr>
          <w:p>
            <w:pPr>
              <w:spacing w:after="0"/>
            </w:pPr>
            <w:r/>
            <w:r>
              <w:rPr>
                <w:rFonts w:ascii="Calibri" w:hAnsi="Calibri"/>
                <w:b w:val="0"/>
                <w:sz w:val="16"/>
              </w:rPr>
              <w:t>(0.61 - 1.17)</w:t>
            </w:r>
          </w:p>
        </w:tc>
        <w:tc>
          <w:tcPr>
            <w:tcW w:type="dxa" w:w="1976"/>
            <w:vAlign w:val="center"/>
          </w:tcPr>
          <w:p>
            <w:pPr>
              <w:spacing w:after="0"/>
            </w:pPr>
            <w:r/>
            <w:r>
              <w:rPr>
                <w:rFonts w:ascii="Calibri" w:hAnsi="Calibri"/>
                <w:b w:val="0"/>
                <w:sz w:val="16"/>
              </w:rPr>
              <w:t>3.0875e-01</w:t>
            </w:r>
          </w:p>
        </w:tc>
      </w:tr>
      <w:tr>
        <w:tc>
          <w:tcPr>
            <w:tcW w:type="dxa" w:w="1976"/>
            <w:vAlign w:val="center"/>
          </w:tcPr>
          <w:p>
            <w:pPr>
              <w:spacing w:after="0"/>
            </w:pPr>
            <w:r/>
            <w:r>
              <w:rPr>
                <w:rFonts w:ascii="Calibri" w:hAnsi="Calibri"/>
                <w:b w:val="0"/>
                <w:sz w:val="16"/>
              </w:rPr>
              <w:t>Age</w:t>
            </w:r>
          </w:p>
        </w:tc>
        <w:tc>
          <w:tcPr>
            <w:tcW w:type="dxa" w:w="1976"/>
            <w:vAlign w:val="center"/>
          </w:tcPr>
          <w:p>
            <w:pPr>
              <w:spacing w:after="0"/>
            </w:pPr>
            <w:r/>
            <w:r>
              <w:rPr>
                <w:rFonts w:ascii="Calibri" w:hAnsi="Calibri"/>
                <w:b w:val="0"/>
                <w:sz w:val="16"/>
              </w:rPr>
              <w:t>0.0300</w:t>
            </w:r>
          </w:p>
        </w:tc>
        <w:tc>
          <w:tcPr>
            <w:tcW w:type="dxa" w:w="1976"/>
            <w:vAlign w:val="center"/>
          </w:tcPr>
          <w:p>
            <w:pPr>
              <w:spacing w:after="0"/>
            </w:pPr>
            <w:r/>
            <w:r>
              <w:rPr>
                <w:rFonts w:ascii="Calibri" w:hAnsi="Calibri"/>
                <w:b w:val="0"/>
                <w:sz w:val="16"/>
              </w:rPr>
              <w:t>1.0305</w:t>
            </w:r>
          </w:p>
        </w:tc>
        <w:tc>
          <w:tcPr>
            <w:tcW w:type="dxa" w:w="1976"/>
            <w:vAlign w:val="center"/>
          </w:tcPr>
          <w:p>
            <w:pPr>
              <w:spacing w:after="0"/>
            </w:pPr>
            <w:r/>
            <w:r>
              <w:rPr>
                <w:rFonts w:ascii="Calibri" w:hAnsi="Calibri"/>
                <w:b w:val="0"/>
                <w:sz w:val="16"/>
              </w:rPr>
              <w:t>(1.02 - 1.04)</w:t>
            </w:r>
          </w:p>
        </w:tc>
        <w:tc>
          <w:tcPr>
            <w:tcW w:type="dxa" w:w="1976"/>
            <w:vAlign w:val="center"/>
          </w:tcPr>
          <w:p>
            <w:pPr>
              <w:spacing w:after="0"/>
            </w:pPr>
            <w:r/>
            <w:r>
              <w:rPr>
                <w:rFonts w:ascii="Calibri" w:hAnsi="Calibri"/>
                <w:b w:val="0"/>
                <w:sz w:val="16"/>
              </w:rPr>
              <w:t>1.2432e-06</w:t>
            </w:r>
          </w:p>
        </w:tc>
      </w:tr>
      <w:tr>
        <w:tc>
          <w:tcPr>
            <w:tcW w:type="dxa" w:w="1976"/>
            <w:vAlign w:val="center"/>
          </w:tcPr>
          <w:p>
            <w:pPr>
              <w:spacing w:after="0"/>
            </w:pPr>
            <w:r/>
            <w:r>
              <w:rPr>
                <w:rFonts w:ascii="Calibri" w:hAnsi="Calibri"/>
                <w:b w:val="0"/>
                <w:sz w:val="16"/>
              </w:rPr>
              <w:t>Is_Male</w:t>
            </w:r>
          </w:p>
        </w:tc>
        <w:tc>
          <w:tcPr>
            <w:tcW w:type="dxa" w:w="1976"/>
            <w:vAlign w:val="center"/>
          </w:tcPr>
          <w:p>
            <w:pPr>
              <w:spacing w:after="0"/>
            </w:pPr>
            <w:r/>
            <w:r>
              <w:rPr>
                <w:rFonts w:ascii="Calibri" w:hAnsi="Calibri"/>
                <w:b w:val="0"/>
                <w:sz w:val="16"/>
              </w:rPr>
              <w:t>0.3540</w:t>
            </w:r>
          </w:p>
        </w:tc>
        <w:tc>
          <w:tcPr>
            <w:tcW w:type="dxa" w:w="1976"/>
            <w:vAlign w:val="center"/>
          </w:tcPr>
          <w:p>
            <w:pPr>
              <w:spacing w:after="0"/>
            </w:pPr>
            <w:r/>
            <w:r>
              <w:rPr>
                <w:rFonts w:ascii="Calibri" w:hAnsi="Calibri"/>
                <w:b w:val="0"/>
                <w:sz w:val="16"/>
              </w:rPr>
              <w:t>1.4248</w:t>
            </w:r>
          </w:p>
        </w:tc>
        <w:tc>
          <w:tcPr>
            <w:tcW w:type="dxa" w:w="1976"/>
            <w:vAlign w:val="center"/>
          </w:tcPr>
          <w:p>
            <w:pPr>
              <w:spacing w:after="0"/>
            </w:pPr>
            <w:r/>
            <w:r>
              <w:rPr>
                <w:rFonts w:ascii="Calibri" w:hAnsi="Calibri"/>
                <w:b w:val="0"/>
                <w:sz w:val="16"/>
              </w:rPr>
              <w:t>(1.06 - 1.91)</w:t>
            </w:r>
          </w:p>
        </w:tc>
        <w:tc>
          <w:tcPr>
            <w:tcW w:type="dxa" w:w="1976"/>
            <w:vAlign w:val="center"/>
          </w:tcPr>
          <w:p>
            <w:pPr>
              <w:spacing w:after="0"/>
            </w:pPr>
            <w:r/>
            <w:r>
              <w:rPr>
                <w:rFonts w:ascii="Calibri" w:hAnsi="Calibri"/>
                <w:b w:val="0"/>
                <w:sz w:val="16"/>
              </w:rPr>
              <w:t>1.7165e-02</w:t>
            </w:r>
          </w:p>
        </w:tc>
      </w:tr>
      <w:tr>
        <w:tc>
          <w:tcPr>
            <w:tcW w:type="dxa" w:w="1976"/>
            <w:vAlign w:val="center"/>
          </w:tcPr>
          <w:p>
            <w:pPr>
              <w:spacing w:after="0"/>
            </w:pPr>
            <w:r/>
            <w:r>
              <w:rPr>
                <w:rFonts w:ascii="Calibri" w:hAnsi="Calibri"/>
                <w:b w:val="0"/>
                <w:sz w:val="16"/>
              </w:rPr>
              <w:t>Stage</w:t>
            </w:r>
          </w:p>
        </w:tc>
        <w:tc>
          <w:tcPr>
            <w:tcW w:type="dxa" w:w="1976"/>
            <w:vAlign w:val="center"/>
          </w:tcPr>
          <w:p>
            <w:pPr>
              <w:spacing w:after="0"/>
            </w:pPr>
            <w:r/>
            <w:r>
              <w:rPr>
                <w:rFonts w:ascii="Calibri" w:hAnsi="Calibri"/>
                <w:b w:val="0"/>
                <w:sz w:val="16"/>
              </w:rPr>
              <w:t>0.7247</w:t>
            </w:r>
          </w:p>
        </w:tc>
        <w:tc>
          <w:tcPr>
            <w:tcW w:type="dxa" w:w="1976"/>
            <w:vAlign w:val="center"/>
          </w:tcPr>
          <w:p>
            <w:pPr>
              <w:spacing w:after="0"/>
            </w:pPr>
            <w:r/>
            <w:r>
              <w:rPr>
                <w:rFonts w:ascii="Calibri" w:hAnsi="Calibri"/>
                <w:b w:val="0"/>
                <w:sz w:val="16"/>
              </w:rPr>
              <w:t>2.0641</w:t>
            </w:r>
          </w:p>
        </w:tc>
        <w:tc>
          <w:tcPr>
            <w:tcW w:type="dxa" w:w="1976"/>
            <w:vAlign w:val="center"/>
          </w:tcPr>
          <w:p>
            <w:pPr>
              <w:spacing w:after="0"/>
            </w:pPr>
            <w:r/>
            <w:r>
              <w:rPr>
                <w:rFonts w:ascii="Calibri" w:hAnsi="Calibri"/>
                <w:b w:val="0"/>
                <w:sz w:val="16"/>
              </w:rPr>
              <w:t>(1.68 - 2.53)</w:t>
            </w:r>
          </w:p>
        </w:tc>
        <w:tc>
          <w:tcPr>
            <w:tcW w:type="dxa" w:w="1976"/>
            <w:vAlign w:val="center"/>
          </w:tcPr>
          <w:p>
            <w:pPr>
              <w:spacing w:after="0"/>
            </w:pPr>
            <w:r/>
            <w:r>
              <w:rPr>
                <w:rFonts w:ascii="Calibri" w:hAnsi="Calibri"/>
                <w:b w:val="0"/>
                <w:sz w:val="16"/>
              </w:rPr>
              <w:t>3.3683e-12</w:t>
            </w:r>
          </w:p>
        </w:tc>
      </w:tr>
    </w:tbl>
    <w:p>
      <w:pPr>
        <w:spacing w:before="60" w:after="160"/>
        <w:jc w:val="center"/>
      </w:pPr>
      <w:r>
        <w:rPr>
          <w:rFonts w:ascii="Calibri" w:hAnsi="Calibri"/>
          <w:i/>
          <w:color w:val="5A5A5A"/>
          <w:sz w:val="17"/>
        </w:rPr>
        <w:t>Table 7. Multivariate Cox Proportional Hazards survival analysis summary.</w:t>
      </w:r>
    </w:p>
    <w:p>
      <w:r>
        <w:br w:type="page"/>
      </w:r>
    </w:p>
    <w:p>
      <w:pPr>
        <w:pStyle w:val="Heading1"/>
        <w:keepNext/>
        <w:spacing w:before="240" w:after="100"/>
      </w:pPr>
    </w:p>
    <w:p>
      <w:pPr>
        <w:spacing w:before="0" w:after="140" w:line="283" w:lineRule="auto"/>
      </w:pPr>
      <w:r>
        <w:rPr>
          <w:rFonts w:ascii="Calibri" w:hAnsi="Calibri"/>
          <w:color w:val="141F2B"/>
          <w:sz w:val="20"/>
        </w:rPr>
        <w:t>Sensitivity analyses varied the number of selected features (k) and the variance threshold (VT). ROC-AUC stayed stable across the tested ranges (Table 8).</w:t>
      </w:r>
    </w:p>
    <w:tbl>
      <w:tblPr>
        <w:tblW w:type="auto" w:w="0"/>
        <w:jc w:val="center"/>
        <w:tblLook w:firstColumn="1" w:firstRow="1" w:lastColumn="0" w:lastRow="0" w:noHBand="0" w:noVBand="1" w:val="04A0"/>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1976"/>
        <w:gridCol w:w="1976"/>
        <w:gridCol w:w="1976"/>
        <w:gridCol w:w="1976"/>
        <w:gridCol w:w="1976"/>
      </w:tblGrid>
      <w:tr>
        <w:trPr>
          <w:tblHeader w:val="true"/>
        </w:trPr>
        <w:tc>
          <w:tcPr>
            <w:tcW w:type="dxa" w:w="1976"/>
            <w:shd w:fill="F4F6F9"/>
            <w:vAlign w:val="center"/>
          </w:tcPr>
          <w:p>
            <w:pPr>
              <w:spacing w:after="0"/>
            </w:pPr>
            <w:r/>
            <w:r>
              <w:rPr>
                <w:rFonts w:ascii="Calibri" w:hAnsi="Calibri"/>
                <w:b/>
                <w:color w:val="141F2B"/>
                <w:sz w:val="16"/>
              </w:rPr>
              <w:t>SelectKBest k</w:t>
            </w:r>
          </w:p>
        </w:tc>
        <w:tc>
          <w:tcPr>
            <w:tcW w:type="dxa" w:w="1976"/>
            <w:shd w:fill="F4F6F9"/>
            <w:vAlign w:val="center"/>
          </w:tcPr>
          <w:p>
            <w:pPr>
              <w:spacing w:after="0"/>
            </w:pPr>
            <w:r/>
            <w:r>
              <w:rPr>
                <w:rFonts w:ascii="Calibri" w:hAnsi="Calibri"/>
                <w:b/>
                <w:color w:val="141F2B"/>
                <w:sz w:val="16"/>
              </w:rPr>
              <w:t>Holdout ROC-AUC (k)</w:t>
            </w:r>
          </w:p>
        </w:tc>
        <w:tc>
          <w:tcPr>
            <w:tcW w:type="dxa" w:w="1976"/>
            <w:shd w:fill="F4F6F9"/>
            <w:vAlign w:val="center"/>
          </w:tcPr>
          <w:p>
            <w:pPr>
              <w:spacing w:after="0"/>
            </w:pPr>
            <w:r/>
            <w:r>
              <w:rPr>
                <w:rFonts w:ascii="Calibri" w:hAnsi="Calibri"/>
                <w:b/>
                <w:color w:val="141F2B"/>
                <w:sz w:val="16"/>
              </w:rPr>
              <w:t>Variance Threshold (VT)</w:t>
            </w:r>
          </w:p>
        </w:tc>
        <w:tc>
          <w:tcPr>
            <w:tcW w:type="dxa" w:w="1976"/>
            <w:shd w:fill="F4F6F9"/>
            <w:vAlign w:val="center"/>
          </w:tcPr>
          <w:p>
            <w:pPr>
              <w:spacing w:after="0"/>
            </w:pPr>
            <w:r/>
            <w:r>
              <w:rPr>
                <w:rFonts w:ascii="Calibri" w:hAnsi="Calibri"/>
                <w:b/>
                <w:color w:val="141F2B"/>
                <w:sz w:val="16"/>
              </w:rPr>
              <w:t>Features Passed VT</w:t>
            </w:r>
          </w:p>
        </w:tc>
        <w:tc>
          <w:tcPr>
            <w:tcW w:type="dxa" w:w="1976"/>
            <w:shd w:fill="F4F6F9"/>
            <w:vAlign w:val="center"/>
          </w:tcPr>
          <w:p>
            <w:pPr>
              <w:spacing w:after="0"/>
            </w:pPr>
            <w:r/>
            <w:r>
              <w:rPr>
                <w:rFonts w:ascii="Calibri" w:hAnsi="Calibri"/>
                <w:b/>
                <w:color w:val="141F2B"/>
                <w:sz w:val="16"/>
              </w:rPr>
              <w:t>Holdout ROC-AUC (VT)</w:t>
            </w:r>
          </w:p>
        </w:tc>
      </w:tr>
      <w:tr>
        <w:tc>
          <w:tcPr>
            <w:tcW w:type="dxa" w:w="1976"/>
            <w:vAlign w:val="center"/>
          </w:tcPr>
          <w:p>
            <w:pPr>
              <w:spacing w:after="0"/>
            </w:pPr>
            <w:r/>
            <w:r>
              <w:rPr>
                <w:rFonts w:ascii="Calibri" w:hAnsi="Calibri"/>
                <w:b w:val="0"/>
                <w:sz w:val="16"/>
              </w:rPr>
              <w:t>100</w:t>
            </w:r>
          </w:p>
        </w:tc>
        <w:tc>
          <w:tcPr>
            <w:tcW w:type="dxa" w:w="1976"/>
            <w:vAlign w:val="center"/>
          </w:tcPr>
          <w:p>
            <w:pPr>
              <w:spacing w:after="0"/>
            </w:pPr>
            <w:r/>
            <w:r>
              <w:rPr>
                <w:rFonts w:ascii="Calibri" w:hAnsi="Calibri"/>
                <w:b w:val="0"/>
                <w:sz w:val="16"/>
              </w:rPr>
              <w:t>0.9828</w:t>
            </w:r>
          </w:p>
        </w:tc>
        <w:tc>
          <w:tcPr>
            <w:tcW w:type="dxa" w:w="1976"/>
            <w:vAlign w:val="center"/>
          </w:tcPr>
          <w:p>
            <w:pPr>
              <w:spacing w:after="0"/>
            </w:pPr>
            <w:r/>
            <w:r>
              <w:rPr>
                <w:rFonts w:ascii="Calibri" w:hAnsi="Calibri"/>
                <w:b w:val="0"/>
                <w:sz w:val="16"/>
              </w:rPr>
              <w:t>0.001</w:t>
            </w:r>
          </w:p>
        </w:tc>
        <w:tc>
          <w:tcPr>
            <w:tcW w:type="dxa" w:w="1976"/>
            <w:vAlign w:val="center"/>
          </w:tcPr>
          <w:p>
            <w:pPr>
              <w:spacing w:after="0"/>
            </w:pPr>
            <w:r/>
            <w:r>
              <w:rPr>
                <w:rFonts w:ascii="Calibri" w:hAnsi="Calibri"/>
                <w:b w:val="0"/>
                <w:sz w:val="16"/>
              </w:rPr>
              <w:t>22182</w:t>
            </w:r>
          </w:p>
        </w:tc>
        <w:tc>
          <w:tcPr>
            <w:tcW w:type="dxa" w:w="1976"/>
            <w:vAlign w:val="center"/>
          </w:tcPr>
          <w:p>
            <w:pPr>
              <w:spacing w:after="0"/>
            </w:pPr>
            <w:r/>
            <w:r>
              <w:rPr>
                <w:rFonts w:ascii="Calibri" w:hAnsi="Calibri"/>
                <w:b w:val="0"/>
                <w:sz w:val="16"/>
              </w:rPr>
              <w:t>0.9825</w:t>
            </w:r>
          </w:p>
        </w:tc>
      </w:tr>
      <w:tr>
        <w:tc>
          <w:tcPr>
            <w:tcW w:type="dxa" w:w="1976"/>
            <w:vAlign w:val="center"/>
          </w:tcPr>
          <w:p>
            <w:pPr>
              <w:spacing w:after="0"/>
            </w:pPr>
            <w:r/>
            <w:r>
              <w:rPr>
                <w:rFonts w:ascii="Calibri" w:hAnsi="Calibri"/>
                <w:b w:val="0"/>
                <w:sz w:val="16"/>
              </w:rPr>
              <w:t>200</w:t>
            </w:r>
          </w:p>
        </w:tc>
        <w:tc>
          <w:tcPr>
            <w:tcW w:type="dxa" w:w="1976"/>
            <w:vAlign w:val="center"/>
          </w:tcPr>
          <w:p>
            <w:pPr>
              <w:spacing w:after="0"/>
            </w:pPr>
            <w:r/>
            <w:r>
              <w:rPr>
                <w:rFonts w:ascii="Calibri" w:hAnsi="Calibri"/>
                <w:b w:val="0"/>
                <w:sz w:val="16"/>
              </w:rPr>
              <w:t>0.9838</w:t>
            </w:r>
          </w:p>
        </w:tc>
        <w:tc>
          <w:tcPr>
            <w:tcW w:type="dxa" w:w="1976"/>
            <w:vAlign w:val="center"/>
          </w:tcPr>
          <w:p>
            <w:pPr>
              <w:spacing w:after="0"/>
            </w:pPr>
            <w:r/>
            <w:r>
              <w:rPr>
                <w:rFonts w:ascii="Calibri" w:hAnsi="Calibri"/>
                <w:b w:val="0"/>
                <w:sz w:val="16"/>
              </w:rPr>
              <w:t>0.005</w:t>
            </w:r>
          </w:p>
        </w:tc>
        <w:tc>
          <w:tcPr>
            <w:tcW w:type="dxa" w:w="1976"/>
            <w:vAlign w:val="center"/>
          </w:tcPr>
          <w:p>
            <w:pPr>
              <w:spacing w:after="0"/>
            </w:pPr>
            <w:r/>
            <w:r>
              <w:rPr>
                <w:rFonts w:ascii="Calibri" w:hAnsi="Calibri"/>
                <w:b w:val="0"/>
                <w:sz w:val="16"/>
              </w:rPr>
              <w:t>22182</w:t>
            </w:r>
          </w:p>
        </w:tc>
        <w:tc>
          <w:tcPr>
            <w:tcW w:type="dxa" w:w="1976"/>
            <w:vAlign w:val="center"/>
          </w:tcPr>
          <w:p>
            <w:pPr>
              <w:spacing w:after="0"/>
            </w:pPr>
            <w:r/>
            <w:r>
              <w:rPr>
                <w:rFonts w:ascii="Calibri" w:hAnsi="Calibri"/>
                <w:b w:val="0"/>
                <w:sz w:val="16"/>
              </w:rPr>
              <w:t>0.9825</w:t>
            </w:r>
          </w:p>
        </w:tc>
      </w:tr>
      <w:tr>
        <w:tc>
          <w:tcPr>
            <w:tcW w:type="dxa" w:w="1976"/>
            <w:vAlign w:val="center"/>
          </w:tcPr>
          <w:p>
            <w:pPr>
              <w:spacing w:after="0"/>
            </w:pPr>
            <w:r/>
            <w:r>
              <w:rPr>
                <w:rFonts w:ascii="Calibri" w:hAnsi="Calibri"/>
                <w:b w:val="0"/>
                <w:sz w:val="16"/>
              </w:rPr>
              <w:t>300</w:t>
            </w:r>
          </w:p>
        </w:tc>
        <w:tc>
          <w:tcPr>
            <w:tcW w:type="dxa" w:w="1976"/>
            <w:vAlign w:val="center"/>
          </w:tcPr>
          <w:p>
            <w:pPr>
              <w:spacing w:after="0"/>
            </w:pPr>
            <w:r/>
            <w:r>
              <w:rPr>
                <w:rFonts w:ascii="Calibri" w:hAnsi="Calibri"/>
                <w:b w:val="0"/>
                <w:sz w:val="16"/>
              </w:rPr>
              <w:t>0.9835</w:t>
            </w:r>
          </w:p>
        </w:tc>
        <w:tc>
          <w:tcPr>
            <w:tcW w:type="dxa" w:w="1976"/>
            <w:vAlign w:val="center"/>
          </w:tcPr>
          <w:p>
            <w:pPr>
              <w:spacing w:after="0"/>
            </w:pPr>
            <w:r/>
            <w:r>
              <w:rPr>
                <w:rFonts w:ascii="Calibri" w:hAnsi="Calibri"/>
                <w:b w:val="0"/>
                <w:sz w:val="16"/>
              </w:rPr>
              <w:t>0.01</w:t>
            </w:r>
          </w:p>
        </w:tc>
        <w:tc>
          <w:tcPr>
            <w:tcW w:type="dxa" w:w="1976"/>
            <w:vAlign w:val="center"/>
          </w:tcPr>
          <w:p>
            <w:pPr>
              <w:spacing w:after="0"/>
            </w:pPr>
            <w:r/>
            <w:r>
              <w:rPr>
                <w:rFonts w:ascii="Calibri" w:hAnsi="Calibri"/>
                <w:b w:val="0"/>
                <w:sz w:val="16"/>
              </w:rPr>
              <w:t>22182</w:t>
            </w:r>
          </w:p>
        </w:tc>
        <w:tc>
          <w:tcPr>
            <w:tcW w:type="dxa" w:w="1976"/>
            <w:vAlign w:val="center"/>
          </w:tcPr>
          <w:p>
            <w:pPr>
              <w:spacing w:after="0"/>
            </w:pPr>
            <w:r/>
            <w:r>
              <w:rPr>
                <w:rFonts w:ascii="Calibri" w:hAnsi="Calibri"/>
                <w:b w:val="0"/>
                <w:sz w:val="16"/>
              </w:rPr>
              <w:t>0.9825</w:t>
            </w:r>
          </w:p>
        </w:tc>
      </w:tr>
      <w:tr>
        <w:tc>
          <w:tcPr>
            <w:tcW w:type="dxa" w:w="1976"/>
            <w:vAlign w:val="center"/>
          </w:tcPr>
          <w:p>
            <w:pPr>
              <w:spacing w:after="0"/>
            </w:pPr>
            <w:r/>
            <w:r>
              <w:rPr>
                <w:rFonts w:ascii="Calibri" w:hAnsi="Calibri"/>
                <w:b w:val="0"/>
                <w:sz w:val="16"/>
              </w:rPr>
              <w:t>500</w:t>
            </w:r>
          </w:p>
        </w:tc>
        <w:tc>
          <w:tcPr>
            <w:tcW w:type="dxa" w:w="1976"/>
            <w:vAlign w:val="center"/>
          </w:tcPr>
          <w:p>
            <w:pPr>
              <w:spacing w:after="0"/>
            </w:pPr>
            <w:r/>
            <w:r>
              <w:rPr>
                <w:rFonts w:ascii="Calibri" w:hAnsi="Calibri"/>
                <w:b w:val="0"/>
                <w:sz w:val="16"/>
              </w:rPr>
              <w:t>0.9825</w:t>
            </w:r>
          </w:p>
        </w:tc>
        <w:tc>
          <w:tcPr>
            <w:tcW w:type="dxa" w:w="1976"/>
            <w:vAlign w:val="center"/>
          </w:tcPr>
          <w:p>
            <w:pPr>
              <w:spacing w:after="0"/>
            </w:pPr>
            <w:r/>
            <w:r>
              <w:rPr>
                <w:rFonts w:ascii="Calibri" w:hAnsi="Calibri"/>
                <w:b w:val="0"/>
                <w:sz w:val="16"/>
              </w:rPr>
              <w:t>0.05</w:t>
            </w:r>
          </w:p>
        </w:tc>
        <w:tc>
          <w:tcPr>
            <w:tcW w:type="dxa" w:w="1976"/>
            <w:vAlign w:val="center"/>
          </w:tcPr>
          <w:p>
            <w:pPr>
              <w:spacing w:after="0"/>
            </w:pPr>
            <w:r/>
            <w:r>
              <w:rPr>
                <w:rFonts w:ascii="Calibri" w:hAnsi="Calibri"/>
                <w:b w:val="0"/>
                <w:sz w:val="16"/>
              </w:rPr>
              <w:t>22182</w:t>
            </w:r>
          </w:p>
        </w:tc>
        <w:tc>
          <w:tcPr>
            <w:tcW w:type="dxa" w:w="1976"/>
            <w:vAlign w:val="center"/>
          </w:tcPr>
          <w:p>
            <w:pPr>
              <w:spacing w:after="0"/>
            </w:pPr>
            <w:r/>
            <w:r>
              <w:rPr>
                <w:rFonts w:ascii="Calibri" w:hAnsi="Calibri"/>
                <w:b w:val="0"/>
                <w:sz w:val="16"/>
              </w:rPr>
              <w:t>0.9825</w:t>
            </w:r>
          </w:p>
        </w:tc>
      </w:tr>
      <w:tr>
        <w:tc>
          <w:tcPr>
            <w:tcW w:type="dxa" w:w="1976"/>
            <w:vAlign w:val="center"/>
          </w:tcPr>
          <w:p>
            <w:pPr>
              <w:spacing w:after="0"/>
            </w:pPr>
            <w:r/>
            <w:r>
              <w:rPr>
                <w:rFonts w:ascii="Calibri" w:hAnsi="Calibri"/>
                <w:b w:val="0"/>
                <w:sz w:val="16"/>
              </w:rPr>
              <w:t>1000</w:t>
            </w:r>
          </w:p>
        </w:tc>
        <w:tc>
          <w:tcPr>
            <w:tcW w:type="dxa" w:w="1976"/>
            <w:vAlign w:val="center"/>
          </w:tcPr>
          <w:p>
            <w:pPr>
              <w:spacing w:after="0"/>
            </w:pPr>
            <w:r/>
            <w:r>
              <w:rPr>
                <w:rFonts w:ascii="Calibri" w:hAnsi="Calibri"/>
                <w:b w:val="0"/>
                <w:sz w:val="16"/>
              </w:rPr>
              <w:t>0.9863</w:t>
            </w:r>
          </w:p>
        </w:tc>
        <w:tc>
          <w:tcPr>
            <w:tcW w:type="dxa" w:w="1976"/>
            <w:vAlign w:val="center"/>
          </w:tcPr>
          <w:p>
            <w:pPr>
              <w:spacing w:after="0"/>
            </w:pPr>
            <w:r/>
            <w:r>
              <w:rPr>
                <w:rFonts w:ascii="Calibri" w:hAnsi="Calibri"/>
                <w:b w:val="0"/>
                <w:sz w:val="16"/>
              </w:rPr>
              <w:t>-</w:t>
            </w:r>
          </w:p>
        </w:tc>
        <w:tc>
          <w:tcPr>
            <w:tcW w:type="dxa" w:w="1976"/>
            <w:vAlign w:val="center"/>
          </w:tcPr>
          <w:p>
            <w:pPr>
              <w:spacing w:after="0"/>
            </w:pPr>
            <w:r/>
            <w:r>
              <w:rPr>
                <w:rFonts w:ascii="Calibri" w:hAnsi="Calibri"/>
                <w:b w:val="0"/>
                <w:sz w:val="16"/>
              </w:rPr>
              <w:t>-</w:t>
            </w:r>
          </w:p>
        </w:tc>
        <w:tc>
          <w:tcPr>
            <w:tcW w:type="dxa" w:w="1976"/>
            <w:vAlign w:val="center"/>
          </w:tcPr>
          <w:p>
            <w:pPr>
              <w:spacing w:after="0"/>
            </w:pPr>
            <w:r/>
            <w:r>
              <w:rPr>
                <w:rFonts w:ascii="Calibri" w:hAnsi="Calibri"/>
                <w:b w:val="0"/>
                <w:sz w:val="16"/>
              </w:rPr>
              <w:t>-</w:t>
            </w:r>
          </w:p>
        </w:tc>
      </w:tr>
    </w:tbl>
    <w:p>
      <w:pPr>
        <w:spacing w:before="60" w:after="160"/>
        <w:jc w:val="center"/>
      </w:pPr>
      <w:r>
        <w:rPr>
          <w:rFonts w:ascii="Calibri" w:hAnsi="Calibri"/>
          <w:i/>
          <w:color w:val="5A5A5A"/>
          <w:sz w:val="17"/>
        </w:rPr>
        <w:t>Table 8. Model pre-processing sensitivity analyses for feature selection size (k) and variance threshold (VT).</w:t>
      </w:r>
    </w:p>
    <w:p>
      <w:r>
        <w:br w:type="page"/>
      </w:r>
    </w:p>
    <w:p>
      <w:pPr>
        <w:pStyle w:val="Heading1"/>
        <w:keepNext/>
        <w:spacing w:before="240" w:after="100"/>
      </w:pPr>
    </w:p>
    <w:p>
      <w:pPr>
        <w:spacing w:before="0" w:after="140" w:line="283" w:lineRule="auto"/>
      </w:pPr>
      <w:r>
        <w:rPr>
          <w:rFonts w:ascii="Calibri" w:hAnsi="Calibri"/>
          <w:color w:val="141F2B"/>
          <w:sz w:val="20"/>
        </w:rPr>
        <w:t>To validate that the pipeline selects genuinely predictive features rather than noise, I generated a synthetic expression dataset (300 samples, 2000 genes) where exactly 20 genes carried the true proliferation signal. The remaining genes were pure noise. Across all four model classes, the pipeline recovered 100% of the true signal genes (recall = 1.00) with an average enrichment of 7.7x over random selection. The best model (Random Forest) achieved an AUC of 0.9878, confirming that the feature selection and classification pipeline correctly identifies biologically relevant features when the ground truth is known.</w:t>
      </w:r>
    </w:p>
    <w:tbl>
      <w:tblPr>
        <w:tblW w:type="auto" w:w="0"/>
        <w:jc w:val="center"/>
        <w:tblLook w:firstColumn="1" w:firstRow="1" w:lastColumn="0" w:lastRow="0" w:noHBand="0" w:noVBand="1" w:val="04A0"/>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1411"/>
        <w:gridCol w:w="1411"/>
        <w:gridCol w:w="1411"/>
        <w:gridCol w:w="1411"/>
        <w:gridCol w:w="1411"/>
        <w:gridCol w:w="1411"/>
        <w:gridCol w:w="1411"/>
      </w:tblGrid>
      <w:tr>
        <w:trPr>
          <w:tblHeader w:val="true"/>
        </w:trPr>
        <w:tc>
          <w:tcPr>
            <w:tcW w:type="dxa" w:w="1411"/>
            <w:shd w:fill="F4F6F9"/>
            <w:vAlign w:val="center"/>
          </w:tcPr>
          <w:p>
            <w:pPr>
              <w:spacing w:after="0"/>
            </w:pPr>
            <w:r/>
            <w:r>
              <w:rPr>
                <w:rFonts w:ascii="Calibri" w:hAnsi="Calibri"/>
                <w:b/>
                <w:color w:val="141F2B"/>
                <w:sz w:val="16"/>
              </w:rPr>
              <w:t>Model</w:t>
            </w:r>
          </w:p>
        </w:tc>
        <w:tc>
          <w:tcPr>
            <w:tcW w:type="dxa" w:w="1411"/>
            <w:shd w:fill="F4F6F9"/>
            <w:vAlign w:val="center"/>
          </w:tcPr>
          <w:p>
            <w:pPr>
              <w:spacing w:after="0"/>
            </w:pPr>
            <w:r/>
            <w:r>
              <w:rPr>
                <w:rFonts w:ascii="Calibri" w:hAnsi="Calibri"/>
                <w:b/>
                <w:color w:val="141F2B"/>
                <w:sz w:val="16"/>
              </w:rPr>
              <w:t>AUC</w:t>
            </w:r>
          </w:p>
        </w:tc>
        <w:tc>
          <w:tcPr>
            <w:tcW w:type="dxa" w:w="1411"/>
            <w:shd w:fill="F4F6F9"/>
            <w:vAlign w:val="center"/>
          </w:tcPr>
          <w:p>
            <w:pPr>
              <w:spacing w:after="0"/>
            </w:pPr>
            <w:r/>
            <w:r>
              <w:rPr>
                <w:rFonts w:ascii="Calibri" w:hAnsi="Calibri"/>
                <w:b/>
                <w:color w:val="141F2B"/>
                <w:sz w:val="16"/>
              </w:rPr>
              <w:t>Accuracy</w:t>
            </w:r>
          </w:p>
        </w:tc>
        <w:tc>
          <w:tcPr>
            <w:tcW w:type="dxa" w:w="1411"/>
            <w:shd w:fill="F4F6F9"/>
            <w:vAlign w:val="center"/>
          </w:tcPr>
          <w:p>
            <w:pPr>
              <w:spacing w:after="0"/>
            </w:pPr>
            <w:r/>
            <w:r>
              <w:rPr>
                <w:rFonts w:ascii="Calibri" w:hAnsi="Calibri"/>
                <w:b/>
                <w:color w:val="141F2B"/>
                <w:sz w:val="16"/>
              </w:rPr>
              <w:t>Selected</w:t>
            </w:r>
          </w:p>
        </w:tc>
        <w:tc>
          <w:tcPr>
            <w:tcW w:type="dxa" w:w="1411"/>
            <w:shd w:fill="F4F6F9"/>
            <w:vAlign w:val="center"/>
          </w:tcPr>
          <w:p>
            <w:pPr>
              <w:spacing w:after="0"/>
            </w:pPr>
            <w:r/>
            <w:r>
              <w:rPr>
                <w:rFonts w:ascii="Calibri" w:hAnsi="Calibri"/>
                <w:b/>
                <w:color w:val="141F2B"/>
                <w:sz w:val="16"/>
              </w:rPr>
              <w:t>TP/Total</w:t>
            </w:r>
          </w:p>
        </w:tc>
        <w:tc>
          <w:tcPr>
            <w:tcW w:type="dxa" w:w="1411"/>
            <w:shd w:fill="F4F6F9"/>
            <w:vAlign w:val="center"/>
          </w:tcPr>
          <w:p>
            <w:pPr>
              <w:spacing w:after="0"/>
            </w:pPr>
            <w:r/>
            <w:r>
              <w:rPr>
                <w:rFonts w:ascii="Calibri" w:hAnsi="Calibri"/>
                <w:b/>
                <w:color w:val="141F2B"/>
                <w:sz w:val="16"/>
              </w:rPr>
              <w:t>Precision</w:t>
            </w:r>
          </w:p>
        </w:tc>
        <w:tc>
          <w:tcPr>
            <w:tcW w:type="dxa" w:w="1411"/>
            <w:shd w:fill="F4F6F9"/>
            <w:vAlign w:val="center"/>
          </w:tcPr>
          <w:p>
            <w:pPr>
              <w:spacing w:after="0"/>
            </w:pPr>
            <w:r/>
            <w:r>
              <w:rPr>
                <w:rFonts w:ascii="Calibri" w:hAnsi="Calibri"/>
                <w:b/>
                <w:color w:val="141F2B"/>
                <w:sz w:val="16"/>
              </w:rPr>
              <w:t>Enrichment</w:t>
            </w:r>
          </w:p>
        </w:tc>
      </w:tr>
      <w:tr>
        <w:tc>
          <w:tcPr>
            <w:tcW w:type="dxa" w:w="1411"/>
            <w:vAlign w:val="center"/>
          </w:tcPr>
          <w:p>
            <w:pPr>
              <w:spacing w:after="0"/>
            </w:pPr>
            <w:r/>
            <w:r>
              <w:rPr>
                <w:rFonts w:ascii="Calibri" w:hAnsi="Calibri"/>
                <w:b w:val="0"/>
                <w:sz w:val="16"/>
              </w:rPr>
              <w:t>Logistic Regression</w:t>
            </w:r>
          </w:p>
        </w:tc>
        <w:tc>
          <w:tcPr>
            <w:tcW w:type="dxa" w:w="1411"/>
            <w:vAlign w:val="center"/>
          </w:tcPr>
          <w:p>
            <w:pPr>
              <w:spacing w:after="0"/>
            </w:pPr>
            <w:r/>
            <w:r>
              <w:rPr>
                <w:rFonts w:ascii="Calibri" w:hAnsi="Calibri"/>
                <w:b w:val="0"/>
                <w:sz w:val="16"/>
              </w:rPr>
              <w:t>0.9533</w:t>
            </w:r>
          </w:p>
        </w:tc>
        <w:tc>
          <w:tcPr>
            <w:tcW w:type="dxa" w:w="1411"/>
            <w:vAlign w:val="center"/>
          </w:tcPr>
          <w:p>
            <w:pPr>
              <w:spacing w:after="0"/>
            </w:pPr>
            <w:r/>
            <w:r>
              <w:rPr>
                <w:rFonts w:ascii="Calibri" w:hAnsi="Calibri"/>
                <w:b w:val="0"/>
                <w:sz w:val="16"/>
              </w:rPr>
              <w:t>0.8833</w:t>
            </w:r>
          </w:p>
        </w:tc>
        <w:tc>
          <w:tcPr>
            <w:tcW w:type="dxa" w:w="1411"/>
            <w:vAlign w:val="center"/>
          </w:tcPr>
          <w:p>
            <w:pPr>
              <w:spacing w:after="0"/>
            </w:pPr>
            <w:r/>
            <w:r>
              <w:rPr>
                <w:rFonts w:ascii="Calibri" w:hAnsi="Calibri"/>
                <w:b w:val="0"/>
                <w:sz w:val="16"/>
              </w:rPr>
              <w:t>261</w:t>
            </w:r>
          </w:p>
        </w:tc>
        <w:tc>
          <w:tcPr>
            <w:tcW w:type="dxa" w:w="1411"/>
            <w:vAlign w:val="center"/>
          </w:tcPr>
          <w:p>
            <w:pPr>
              <w:spacing w:after="0"/>
            </w:pPr>
            <w:r/>
            <w:r>
              <w:rPr>
                <w:rFonts w:ascii="Calibri" w:hAnsi="Calibri"/>
                <w:b w:val="0"/>
                <w:sz w:val="16"/>
              </w:rPr>
              <w:t>20/20</w:t>
            </w:r>
          </w:p>
        </w:tc>
        <w:tc>
          <w:tcPr>
            <w:tcW w:type="dxa" w:w="1411"/>
            <w:vAlign w:val="center"/>
          </w:tcPr>
          <w:p>
            <w:pPr>
              <w:spacing w:after="0"/>
            </w:pPr>
            <w:r/>
            <w:r>
              <w:rPr>
                <w:rFonts w:ascii="Calibri" w:hAnsi="Calibri"/>
                <w:b w:val="0"/>
                <w:sz w:val="16"/>
              </w:rPr>
              <w:t>0.0766</w:t>
            </w:r>
          </w:p>
        </w:tc>
        <w:tc>
          <w:tcPr>
            <w:tcW w:type="dxa" w:w="1411"/>
            <w:vAlign w:val="center"/>
          </w:tcPr>
          <w:p>
            <w:pPr>
              <w:spacing w:after="0"/>
            </w:pPr>
            <w:r/>
            <w:r>
              <w:rPr>
                <w:rFonts w:ascii="Calibri" w:hAnsi="Calibri"/>
                <w:b w:val="0"/>
                <w:sz w:val="16"/>
              </w:rPr>
              <w:t>7.7x</w:t>
            </w:r>
          </w:p>
        </w:tc>
      </w:tr>
      <w:tr>
        <w:tc>
          <w:tcPr>
            <w:tcW w:type="dxa" w:w="1411"/>
            <w:vAlign w:val="center"/>
          </w:tcPr>
          <w:p>
            <w:pPr>
              <w:spacing w:after="0"/>
            </w:pPr>
            <w:r/>
            <w:r>
              <w:rPr>
                <w:rFonts w:ascii="Calibri" w:hAnsi="Calibri"/>
                <w:b w:val="0"/>
                <w:sz w:val="16"/>
              </w:rPr>
              <w:t>Random Forest</w:t>
            </w:r>
          </w:p>
        </w:tc>
        <w:tc>
          <w:tcPr>
            <w:tcW w:type="dxa" w:w="1411"/>
            <w:vAlign w:val="center"/>
          </w:tcPr>
          <w:p>
            <w:pPr>
              <w:spacing w:after="0"/>
            </w:pPr>
            <w:r/>
            <w:r>
              <w:rPr>
                <w:rFonts w:ascii="Calibri" w:hAnsi="Calibri"/>
                <w:b w:val="0"/>
                <w:sz w:val="16"/>
              </w:rPr>
              <w:t>0.9878</w:t>
            </w:r>
          </w:p>
        </w:tc>
        <w:tc>
          <w:tcPr>
            <w:tcW w:type="dxa" w:w="1411"/>
            <w:vAlign w:val="center"/>
          </w:tcPr>
          <w:p>
            <w:pPr>
              <w:spacing w:after="0"/>
            </w:pPr>
            <w:r/>
            <w:r>
              <w:rPr>
                <w:rFonts w:ascii="Calibri" w:hAnsi="Calibri"/>
                <w:b w:val="0"/>
                <w:sz w:val="16"/>
              </w:rPr>
              <w:t>0.9167</w:t>
            </w:r>
          </w:p>
        </w:tc>
        <w:tc>
          <w:tcPr>
            <w:tcW w:type="dxa" w:w="1411"/>
            <w:vAlign w:val="center"/>
          </w:tcPr>
          <w:p>
            <w:pPr>
              <w:spacing w:after="0"/>
            </w:pPr>
            <w:r/>
            <w:r>
              <w:rPr>
                <w:rFonts w:ascii="Calibri" w:hAnsi="Calibri"/>
                <w:b w:val="0"/>
                <w:sz w:val="16"/>
              </w:rPr>
              <w:t>261</w:t>
            </w:r>
          </w:p>
        </w:tc>
        <w:tc>
          <w:tcPr>
            <w:tcW w:type="dxa" w:w="1411"/>
            <w:vAlign w:val="center"/>
          </w:tcPr>
          <w:p>
            <w:pPr>
              <w:spacing w:after="0"/>
            </w:pPr>
            <w:r/>
            <w:r>
              <w:rPr>
                <w:rFonts w:ascii="Calibri" w:hAnsi="Calibri"/>
                <w:b w:val="0"/>
                <w:sz w:val="16"/>
              </w:rPr>
              <w:t>20/20</w:t>
            </w:r>
          </w:p>
        </w:tc>
        <w:tc>
          <w:tcPr>
            <w:tcW w:type="dxa" w:w="1411"/>
            <w:vAlign w:val="center"/>
          </w:tcPr>
          <w:p>
            <w:pPr>
              <w:spacing w:after="0"/>
            </w:pPr>
            <w:r/>
            <w:r>
              <w:rPr>
                <w:rFonts w:ascii="Calibri" w:hAnsi="Calibri"/>
                <w:b w:val="0"/>
                <w:sz w:val="16"/>
              </w:rPr>
              <w:t>0.0766</w:t>
            </w:r>
          </w:p>
        </w:tc>
        <w:tc>
          <w:tcPr>
            <w:tcW w:type="dxa" w:w="1411"/>
            <w:vAlign w:val="center"/>
          </w:tcPr>
          <w:p>
            <w:pPr>
              <w:spacing w:after="0"/>
            </w:pPr>
            <w:r/>
            <w:r>
              <w:rPr>
                <w:rFonts w:ascii="Calibri" w:hAnsi="Calibri"/>
                <w:b w:val="0"/>
                <w:sz w:val="16"/>
              </w:rPr>
              <w:t>7.7x</w:t>
            </w:r>
          </w:p>
        </w:tc>
      </w:tr>
      <w:tr>
        <w:tc>
          <w:tcPr>
            <w:tcW w:type="dxa" w:w="1411"/>
            <w:vAlign w:val="center"/>
          </w:tcPr>
          <w:p>
            <w:pPr>
              <w:spacing w:after="0"/>
            </w:pPr>
            <w:r/>
            <w:r>
              <w:rPr>
                <w:rFonts w:ascii="Calibri" w:hAnsi="Calibri"/>
                <w:b w:val="0"/>
                <w:sz w:val="16"/>
              </w:rPr>
              <w:t>XGBoost</w:t>
            </w:r>
          </w:p>
        </w:tc>
        <w:tc>
          <w:tcPr>
            <w:tcW w:type="dxa" w:w="1411"/>
            <w:vAlign w:val="center"/>
          </w:tcPr>
          <w:p>
            <w:pPr>
              <w:spacing w:after="0"/>
            </w:pPr>
            <w:r/>
            <w:r>
              <w:rPr>
                <w:rFonts w:ascii="Calibri" w:hAnsi="Calibri"/>
                <w:b w:val="0"/>
                <w:sz w:val="16"/>
              </w:rPr>
              <w:t>0.9822</w:t>
            </w:r>
          </w:p>
        </w:tc>
        <w:tc>
          <w:tcPr>
            <w:tcW w:type="dxa" w:w="1411"/>
            <w:vAlign w:val="center"/>
          </w:tcPr>
          <w:p>
            <w:pPr>
              <w:spacing w:after="0"/>
            </w:pPr>
            <w:r/>
            <w:r>
              <w:rPr>
                <w:rFonts w:ascii="Calibri" w:hAnsi="Calibri"/>
                <w:b w:val="0"/>
                <w:sz w:val="16"/>
              </w:rPr>
              <w:t>0.9167</w:t>
            </w:r>
          </w:p>
        </w:tc>
        <w:tc>
          <w:tcPr>
            <w:tcW w:type="dxa" w:w="1411"/>
            <w:vAlign w:val="center"/>
          </w:tcPr>
          <w:p>
            <w:pPr>
              <w:spacing w:after="0"/>
            </w:pPr>
            <w:r/>
            <w:r>
              <w:rPr>
                <w:rFonts w:ascii="Calibri" w:hAnsi="Calibri"/>
                <w:b w:val="0"/>
                <w:sz w:val="16"/>
              </w:rPr>
              <w:t>261</w:t>
            </w:r>
          </w:p>
        </w:tc>
        <w:tc>
          <w:tcPr>
            <w:tcW w:type="dxa" w:w="1411"/>
            <w:vAlign w:val="center"/>
          </w:tcPr>
          <w:p>
            <w:pPr>
              <w:spacing w:after="0"/>
            </w:pPr>
            <w:r/>
            <w:r>
              <w:rPr>
                <w:rFonts w:ascii="Calibri" w:hAnsi="Calibri"/>
                <w:b w:val="0"/>
                <w:sz w:val="16"/>
              </w:rPr>
              <w:t>20/20</w:t>
            </w:r>
          </w:p>
        </w:tc>
        <w:tc>
          <w:tcPr>
            <w:tcW w:type="dxa" w:w="1411"/>
            <w:vAlign w:val="center"/>
          </w:tcPr>
          <w:p>
            <w:pPr>
              <w:spacing w:after="0"/>
            </w:pPr>
            <w:r/>
            <w:r>
              <w:rPr>
                <w:rFonts w:ascii="Calibri" w:hAnsi="Calibri"/>
                <w:b w:val="0"/>
                <w:sz w:val="16"/>
              </w:rPr>
              <w:t>0.0766</w:t>
            </w:r>
          </w:p>
        </w:tc>
        <w:tc>
          <w:tcPr>
            <w:tcW w:type="dxa" w:w="1411"/>
            <w:vAlign w:val="center"/>
          </w:tcPr>
          <w:p>
            <w:pPr>
              <w:spacing w:after="0"/>
            </w:pPr>
            <w:r/>
            <w:r>
              <w:rPr>
                <w:rFonts w:ascii="Calibri" w:hAnsi="Calibri"/>
                <w:b w:val="0"/>
                <w:sz w:val="16"/>
              </w:rPr>
              <w:t>7.7x</w:t>
            </w:r>
          </w:p>
        </w:tc>
      </w:tr>
      <w:tr>
        <w:tc>
          <w:tcPr>
            <w:tcW w:type="dxa" w:w="1411"/>
            <w:vAlign w:val="center"/>
          </w:tcPr>
          <w:p>
            <w:pPr>
              <w:spacing w:after="0"/>
            </w:pPr>
            <w:r/>
            <w:r>
              <w:rPr>
                <w:rFonts w:ascii="Calibri" w:hAnsi="Calibri"/>
                <w:b w:val="0"/>
                <w:sz w:val="16"/>
              </w:rPr>
              <w:t>Neural Network (MLP)</w:t>
            </w:r>
          </w:p>
        </w:tc>
        <w:tc>
          <w:tcPr>
            <w:tcW w:type="dxa" w:w="1411"/>
            <w:vAlign w:val="center"/>
          </w:tcPr>
          <w:p>
            <w:pPr>
              <w:spacing w:after="0"/>
            </w:pPr>
            <w:r/>
            <w:r>
              <w:rPr>
                <w:rFonts w:ascii="Calibri" w:hAnsi="Calibri"/>
                <w:b w:val="0"/>
                <w:sz w:val="16"/>
              </w:rPr>
              <w:t>0.8711</w:t>
            </w:r>
          </w:p>
        </w:tc>
        <w:tc>
          <w:tcPr>
            <w:tcW w:type="dxa" w:w="1411"/>
            <w:vAlign w:val="center"/>
          </w:tcPr>
          <w:p>
            <w:pPr>
              <w:spacing w:after="0"/>
            </w:pPr>
            <w:r/>
            <w:r>
              <w:rPr>
                <w:rFonts w:ascii="Calibri" w:hAnsi="Calibri"/>
                <w:b w:val="0"/>
                <w:sz w:val="16"/>
              </w:rPr>
              <w:t>0.8167</w:t>
            </w:r>
          </w:p>
        </w:tc>
        <w:tc>
          <w:tcPr>
            <w:tcW w:type="dxa" w:w="1411"/>
            <w:vAlign w:val="center"/>
          </w:tcPr>
          <w:p>
            <w:pPr>
              <w:spacing w:after="0"/>
            </w:pPr>
            <w:r/>
            <w:r>
              <w:rPr>
                <w:rFonts w:ascii="Calibri" w:hAnsi="Calibri"/>
                <w:b w:val="0"/>
                <w:sz w:val="16"/>
              </w:rPr>
              <w:t>261</w:t>
            </w:r>
          </w:p>
        </w:tc>
        <w:tc>
          <w:tcPr>
            <w:tcW w:type="dxa" w:w="1411"/>
            <w:vAlign w:val="center"/>
          </w:tcPr>
          <w:p>
            <w:pPr>
              <w:spacing w:after="0"/>
            </w:pPr>
            <w:r/>
            <w:r>
              <w:rPr>
                <w:rFonts w:ascii="Calibri" w:hAnsi="Calibri"/>
                <w:b w:val="0"/>
                <w:sz w:val="16"/>
              </w:rPr>
              <w:t>20/20</w:t>
            </w:r>
          </w:p>
        </w:tc>
        <w:tc>
          <w:tcPr>
            <w:tcW w:type="dxa" w:w="1411"/>
            <w:vAlign w:val="center"/>
          </w:tcPr>
          <w:p>
            <w:pPr>
              <w:spacing w:after="0"/>
            </w:pPr>
            <w:r/>
            <w:r>
              <w:rPr>
                <w:rFonts w:ascii="Calibri" w:hAnsi="Calibri"/>
                <w:b w:val="0"/>
                <w:sz w:val="16"/>
              </w:rPr>
              <w:t>0.0766</w:t>
            </w:r>
          </w:p>
        </w:tc>
        <w:tc>
          <w:tcPr>
            <w:tcW w:type="dxa" w:w="1411"/>
            <w:vAlign w:val="center"/>
          </w:tcPr>
          <w:p>
            <w:pPr>
              <w:spacing w:after="0"/>
            </w:pPr>
            <w:r/>
            <w:r>
              <w:rPr>
                <w:rFonts w:ascii="Calibri" w:hAnsi="Calibri"/>
                <w:b w:val="0"/>
                <w:sz w:val="16"/>
              </w:rPr>
              <w:t>7.7x</w:t>
            </w:r>
          </w:p>
        </w:tc>
      </w:tr>
    </w:tbl>
    <w:p>
      <w:pPr>
        <w:spacing w:before="60" w:after="160"/>
        <w:jc w:val="center"/>
      </w:pPr>
      <w:r>
        <w:rPr>
          <w:rFonts w:ascii="Calibri" w:hAnsi="Calibri"/>
          <w:i/>
          <w:color w:val="5A5A5A"/>
          <w:sz w:val="17"/>
        </w:rPr>
        <w:t>Table 9. Synthetic ground-truth validation: feature recovery rates across model classes.</w:t>
      </w:r>
    </w:p>
    <w:p>
      <w:r>
        <w:br w:type="page"/>
      </w:r>
    </w:p>
    <w:p>
      <w:pPr>
        <w:pStyle w:val="Heading1"/>
        <w:keepNext/>
        <w:spacing w:before="240" w:after="100"/>
      </w:pPr>
    </w:p>
    <w:p>
      <w:pPr>
        <w:spacing w:before="0" w:after="140" w:line="283" w:lineRule="auto"/>
      </w:pPr>
      <w:r>
        <w:rPr>
          <w:rFonts w:ascii="Calibri" w:hAnsi="Calibri"/>
          <w:color w:val="141F2B"/>
          <w:sz w:val="20"/>
        </w:rPr>
        <w:t>The classifiers predicted proliferation status from transcriptomic features even after removing the ten cell-cycle genes that define the target. Top SHAP features included genes involved in ribosome biogenesis, DNA replication, and mitochondrial translation. High-proliferation patients had shorter survival in GEO (log-rank p = 0.037) and TCGA (log-rank p = 0.034). The Cox model did not reach significance after adjusting for age, sex, and stage (HR = 0.84, p = 0.3088). The reason for the disagreement is that proliferation and stage are correlated. High-proliferation tumors are more likely to be Stage III/IV. When stage enters the Cox model, it absorbs the survival signal that the univariate log-rank test attributes to proliferation alone. The univariate association is real and consistent across two cohorts, but proliferation does not add independent prognostic information beyond what stage already captures. External validation on TCGA and CPTAC gave ROC-AUCs up to 0.973 and 0.949. Platt scaling corrected cross-platform shifts, with calibrated accuracies of 0.921 (TCGA) and 0.868 (CPTAC). On CPTAC (n = 105), Random Forest had a calibrated AUC of 0.9487 and accuracy of 0.8679.</w:t>
        <w:br/>
        <w:br/>
        <w:t>The AUCs in this study are higher than what is typically reported for clinical ML classifiers. This is partly because the task itself is easier: the proliferation median split gives a Cohen's d of 2.3, meaning the two classes barely overlap. Proliferation drives broad transcriptional changes, so thousands of genes beyond the 10 I removed correlate with the target. The models capture these co-expression patterns, which is biologically consistent but means the classification problem is less discriminating than a typical diagnostic task.</w:t>
        <w:br/>
        <w:br/>
        <w:t>The TCGA validation AUC of 0.97 also came with help from quantile normalization. QN maps TCGA's expression distributions to match GEO's for each gene. This makes the cross-platform comparison fairer but can inflate apparent performance. The real validation for clinical use would need prospective testing on fresh tissue with matched Ki-67 immunohistochemistry.</w:t>
      </w:r>
    </w:p>
    <w:p>
      <w:pPr>
        <w:spacing w:before="0" w:after="140" w:line="283" w:lineRule="auto"/>
      </w:pPr>
      <w:r>
        <w:rPr>
          <w:rFonts w:ascii="Calibri" w:hAnsi="Calibri"/>
          <w:color w:val="141F2B"/>
          <w:sz w:val="20"/>
        </w:rPr>
        <w:t>I compared ColoGrowth-ML against two baselines: a simple logistic regression using only MKI67 expression (to measure the added value of multi-gene modeling) and a published Ki-67 histology-based classifier (Zeng et al., 2025). Table 9 summarizes the results.</w:t>
      </w:r>
    </w:p>
    <w:tbl>
      <w:tblPr>
        <w:tblW w:type="auto" w:w="0"/>
        <w:jc w:val="center"/>
        <w:tblLook w:firstColumn="1" w:firstRow="1" w:lastColumn="0" w:lastRow="0" w:noHBand="0" w:noVBand="1" w:val="04A0"/>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1411"/>
        <w:gridCol w:w="1411"/>
        <w:gridCol w:w="1411"/>
        <w:gridCol w:w="1411"/>
        <w:gridCol w:w="1411"/>
        <w:gridCol w:w="1411"/>
        <w:gridCol w:w="1411"/>
      </w:tblGrid>
      <w:tr>
        <w:trPr>
          <w:tblHeader w:val="true"/>
        </w:trPr>
        <w:tc>
          <w:tcPr>
            <w:tcW w:type="dxa" w:w="1411"/>
            <w:shd w:fill="F4F6F9"/>
            <w:vAlign w:val="center"/>
          </w:tcPr>
          <w:p>
            <w:pPr>
              <w:spacing w:after="0"/>
            </w:pPr>
            <w:r/>
            <w:r>
              <w:rPr>
                <w:rFonts w:ascii="Calibri" w:hAnsi="Calibri"/>
                <w:b/>
                <w:color w:val="141F2B"/>
                <w:sz w:val="16"/>
              </w:rPr>
              <w:t>Study</w:t>
            </w:r>
          </w:p>
        </w:tc>
        <w:tc>
          <w:tcPr>
            <w:tcW w:type="dxa" w:w="1411"/>
            <w:shd w:fill="F4F6F9"/>
            <w:vAlign w:val="center"/>
          </w:tcPr>
          <w:p>
            <w:pPr>
              <w:spacing w:after="0"/>
            </w:pPr>
            <w:r/>
            <w:r>
              <w:rPr>
                <w:rFonts w:ascii="Calibri" w:hAnsi="Calibri"/>
                <w:b/>
                <w:color w:val="141F2B"/>
                <w:sz w:val="16"/>
              </w:rPr>
              <w:t>Year</w:t>
            </w:r>
          </w:p>
        </w:tc>
        <w:tc>
          <w:tcPr>
            <w:tcW w:type="dxa" w:w="1411"/>
            <w:shd w:fill="F4F6F9"/>
            <w:vAlign w:val="center"/>
          </w:tcPr>
          <w:p>
            <w:pPr>
              <w:spacing w:after="0"/>
            </w:pPr>
            <w:r/>
            <w:r>
              <w:rPr>
                <w:rFonts w:ascii="Calibri" w:hAnsi="Calibri"/>
                <w:b/>
                <w:color w:val="141F2B"/>
                <w:sz w:val="16"/>
              </w:rPr>
              <w:t>Cohort/Platform</w:t>
            </w:r>
          </w:p>
        </w:tc>
        <w:tc>
          <w:tcPr>
            <w:tcW w:type="dxa" w:w="1411"/>
            <w:shd w:fill="F4F6F9"/>
            <w:vAlign w:val="center"/>
          </w:tcPr>
          <w:p>
            <w:pPr>
              <w:spacing w:after="0"/>
            </w:pPr>
            <w:r/>
            <w:r>
              <w:rPr>
                <w:rFonts w:ascii="Calibri" w:hAnsi="Calibri"/>
                <w:b/>
                <w:color w:val="141F2B"/>
                <w:sz w:val="16"/>
              </w:rPr>
              <w:t>N</w:t>
            </w:r>
          </w:p>
        </w:tc>
        <w:tc>
          <w:tcPr>
            <w:tcW w:type="dxa" w:w="1411"/>
            <w:shd w:fill="F4F6F9"/>
            <w:vAlign w:val="center"/>
          </w:tcPr>
          <w:p>
            <w:pPr>
              <w:spacing w:after="0"/>
            </w:pPr>
            <w:r/>
            <w:r>
              <w:rPr>
                <w:rFonts w:ascii="Calibri" w:hAnsi="Calibri"/>
                <w:b/>
                <w:color w:val="141F2B"/>
                <w:sz w:val="16"/>
              </w:rPr>
              <w:t>AUC/Accuracy</w:t>
            </w:r>
          </w:p>
        </w:tc>
        <w:tc>
          <w:tcPr>
            <w:tcW w:type="dxa" w:w="1411"/>
            <w:shd w:fill="F4F6F9"/>
            <w:vAlign w:val="center"/>
          </w:tcPr>
          <w:p>
            <w:pPr>
              <w:spacing w:after="0"/>
            </w:pPr>
            <w:r/>
            <w:r>
              <w:rPr>
                <w:rFonts w:ascii="Calibri" w:hAnsi="Calibri"/>
                <w:b/>
                <w:color w:val="141F2B"/>
                <w:sz w:val="16"/>
              </w:rPr>
              <w:t>Leakage-controlled?</w:t>
            </w:r>
          </w:p>
        </w:tc>
        <w:tc>
          <w:tcPr>
            <w:tcW w:type="dxa" w:w="1411"/>
            <w:shd w:fill="F4F6F9"/>
            <w:vAlign w:val="center"/>
          </w:tcPr>
          <w:p>
            <w:pPr>
              <w:spacing w:after="0"/>
            </w:pPr>
            <w:r/>
            <w:r>
              <w:rPr>
                <w:rFonts w:ascii="Calibri" w:hAnsi="Calibri"/>
                <w:b/>
                <w:color w:val="141F2B"/>
                <w:sz w:val="16"/>
              </w:rPr>
              <w:t>Cross-platform validated?</w:t>
            </w:r>
          </w:p>
        </w:tc>
      </w:tr>
      <w:tr>
        <w:tc>
          <w:tcPr>
            <w:tcW w:type="dxa" w:w="1411"/>
            <w:vAlign w:val="center"/>
          </w:tcPr>
          <w:p>
            <w:pPr>
              <w:spacing w:after="0"/>
            </w:pPr>
            <w:r/>
            <w:r>
              <w:rPr>
                <w:rFonts w:ascii="Calibri" w:hAnsi="Calibri"/>
                <w:b w:val="0"/>
                <w:sz w:val="16"/>
              </w:rPr>
              <w:t>MKI67 expression alone (LR)</w:t>
            </w:r>
          </w:p>
        </w:tc>
        <w:tc>
          <w:tcPr>
            <w:tcW w:type="dxa" w:w="1411"/>
            <w:vAlign w:val="center"/>
          </w:tcPr>
          <w:p>
            <w:pPr>
              <w:spacing w:after="0"/>
            </w:pPr>
            <w:r/>
            <w:r>
              <w:rPr>
                <w:rFonts w:ascii="Calibri" w:hAnsi="Calibri"/>
                <w:b w:val="0"/>
                <w:sz w:val="16"/>
              </w:rPr>
              <w:t>This study</w:t>
            </w:r>
          </w:p>
        </w:tc>
        <w:tc>
          <w:tcPr>
            <w:tcW w:type="dxa" w:w="1411"/>
            <w:vAlign w:val="center"/>
          </w:tcPr>
          <w:p>
            <w:pPr>
              <w:spacing w:after="0"/>
            </w:pPr>
            <w:r/>
            <w:r>
              <w:rPr>
                <w:rFonts w:ascii="Calibri" w:hAnsi="Calibri"/>
                <w:b w:val="0"/>
                <w:sz w:val="16"/>
              </w:rPr>
              <w:t>GEO microarray</w:t>
            </w:r>
          </w:p>
        </w:tc>
        <w:tc>
          <w:tcPr>
            <w:tcW w:type="dxa" w:w="1411"/>
            <w:vAlign w:val="center"/>
          </w:tcPr>
          <w:p>
            <w:pPr>
              <w:spacing w:after="0"/>
            </w:pPr>
            <w:r/>
            <w:r>
              <w:rPr>
                <w:rFonts w:ascii="Calibri" w:hAnsi="Calibri"/>
                <w:b w:val="0"/>
                <w:sz w:val="16"/>
              </w:rPr>
              <w:t>585</w:t>
            </w:r>
          </w:p>
        </w:tc>
        <w:tc>
          <w:tcPr>
            <w:tcW w:type="dxa" w:w="1411"/>
            <w:vAlign w:val="center"/>
          </w:tcPr>
          <w:p>
            <w:pPr>
              <w:spacing w:after="0"/>
            </w:pPr>
            <w:r/>
            <w:r>
              <w:rPr>
                <w:rFonts w:ascii="Calibri" w:hAnsi="Calibri"/>
                <w:b w:val="0"/>
                <w:sz w:val="16"/>
              </w:rPr>
              <w:t>~0.950 (AUC)</w:t>
            </w:r>
          </w:p>
        </w:tc>
        <w:tc>
          <w:tcPr>
            <w:tcW w:type="dxa" w:w="1411"/>
            <w:vAlign w:val="center"/>
          </w:tcPr>
          <w:p>
            <w:pPr>
              <w:spacing w:after="0"/>
            </w:pPr>
            <w:r/>
            <w:r>
              <w:rPr>
                <w:rFonts w:ascii="Calibri" w:hAnsi="Calibri"/>
                <w:b w:val="0"/>
                <w:sz w:val="16"/>
              </w:rPr>
              <w:t>N/A (Single gene)</w:t>
            </w:r>
          </w:p>
        </w:tc>
        <w:tc>
          <w:tcPr>
            <w:tcW w:type="dxa" w:w="1411"/>
            <w:vAlign w:val="center"/>
          </w:tcPr>
          <w:p>
            <w:pPr>
              <w:spacing w:after="0"/>
            </w:pPr>
            <w:r/>
            <w:r>
              <w:rPr>
                <w:rFonts w:ascii="Calibri" w:hAnsi="Calibri"/>
                <w:b w:val="0"/>
                <w:sz w:val="16"/>
              </w:rPr>
              <w:t>Yes (TCGA RNA-seq)</w:t>
            </w:r>
          </w:p>
        </w:tc>
      </w:tr>
      <w:tr>
        <w:tc>
          <w:tcPr>
            <w:tcW w:type="dxa" w:w="1411"/>
            <w:vAlign w:val="center"/>
          </w:tcPr>
          <w:p>
            <w:pPr>
              <w:spacing w:after="0"/>
            </w:pPr>
            <w:r/>
            <w:r>
              <w:rPr>
                <w:rFonts w:ascii="Calibri" w:hAnsi="Calibri"/>
                <w:b w:val="0"/>
                <w:sz w:val="16"/>
              </w:rPr>
              <w:t>Zeng et al. (Ki-67 ML)</w:t>
            </w:r>
          </w:p>
        </w:tc>
        <w:tc>
          <w:tcPr>
            <w:tcW w:type="dxa" w:w="1411"/>
            <w:vAlign w:val="center"/>
          </w:tcPr>
          <w:p>
            <w:pPr>
              <w:spacing w:after="0"/>
            </w:pPr>
            <w:r/>
            <w:r>
              <w:rPr>
                <w:rFonts w:ascii="Calibri" w:hAnsi="Calibri"/>
                <w:b w:val="0"/>
                <w:sz w:val="16"/>
              </w:rPr>
              <w:t>2025</w:t>
            </w:r>
          </w:p>
        </w:tc>
        <w:tc>
          <w:tcPr>
            <w:tcW w:type="dxa" w:w="1411"/>
            <w:vAlign w:val="center"/>
          </w:tcPr>
          <w:p>
            <w:pPr>
              <w:spacing w:after="0"/>
            </w:pPr>
            <w:r/>
            <w:r>
              <w:rPr>
                <w:rFonts w:ascii="Calibri" w:hAnsi="Calibri"/>
                <w:b w:val="0"/>
                <w:sz w:val="16"/>
              </w:rPr>
              <w:t>Histology (SVM/XGB)</w:t>
            </w:r>
          </w:p>
        </w:tc>
        <w:tc>
          <w:tcPr>
            <w:tcW w:type="dxa" w:w="1411"/>
            <w:vAlign w:val="center"/>
          </w:tcPr>
          <w:p>
            <w:pPr>
              <w:spacing w:after="0"/>
            </w:pPr>
            <w:r/>
            <w:r>
              <w:rPr>
                <w:rFonts w:ascii="Calibri" w:hAnsi="Calibri"/>
                <w:b w:val="0"/>
                <w:sz w:val="16"/>
              </w:rPr>
              <w:t>312</w:t>
            </w:r>
          </w:p>
        </w:tc>
        <w:tc>
          <w:tcPr>
            <w:tcW w:type="dxa" w:w="1411"/>
            <w:vAlign w:val="center"/>
          </w:tcPr>
          <w:p>
            <w:pPr>
              <w:spacing w:after="0"/>
            </w:pPr>
            <w:r/>
            <w:r>
              <w:rPr>
                <w:rFonts w:ascii="Calibri" w:hAnsi="Calibri"/>
                <w:b w:val="0"/>
                <w:sz w:val="16"/>
              </w:rPr>
              <w:t>0.750-0.795 (AUC)</w:t>
            </w:r>
          </w:p>
        </w:tc>
        <w:tc>
          <w:tcPr>
            <w:tcW w:type="dxa" w:w="1411"/>
            <w:vAlign w:val="center"/>
          </w:tcPr>
          <w:p>
            <w:pPr>
              <w:spacing w:after="0"/>
            </w:pPr>
            <w:r/>
            <w:r>
              <w:rPr>
                <w:rFonts w:ascii="Calibri" w:hAnsi="Calibri"/>
                <w:b w:val="0"/>
                <w:sz w:val="16"/>
              </w:rPr>
              <w:t>No (Morphology-based)</w:t>
            </w:r>
          </w:p>
        </w:tc>
        <w:tc>
          <w:tcPr>
            <w:tcW w:type="dxa" w:w="1411"/>
            <w:vAlign w:val="center"/>
          </w:tcPr>
          <w:p>
            <w:pPr>
              <w:spacing w:after="0"/>
            </w:pPr>
            <w:r/>
            <w:r>
              <w:rPr>
                <w:rFonts w:ascii="Calibri" w:hAnsi="Calibri"/>
                <w:b w:val="0"/>
                <w:sz w:val="16"/>
              </w:rPr>
              <w:t>Yes (External center)</w:t>
            </w:r>
          </w:p>
        </w:tc>
      </w:tr>
      <w:tr>
        <w:tc>
          <w:tcPr>
            <w:tcW w:type="dxa" w:w="1411"/>
            <w:vAlign w:val="center"/>
          </w:tcPr>
          <w:p>
            <w:pPr>
              <w:spacing w:after="0"/>
            </w:pPr>
            <w:r/>
            <w:r>
              <w:rPr>
                <w:rFonts w:ascii="Calibri" w:hAnsi="Calibri"/>
                <w:b w:val="0"/>
                <w:sz w:val="16"/>
              </w:rPr>
              <w:t>ColoGrowth-ML (Ours)</w:t>
            </w:r>
          </w:p>
        </w:tc>
        <w:tc>
          <w:tcPr>
            <w:tcW w:type="dxa" w:w="1411"/>
            <w:vAlign w:val="center"/>
          </w:tcPr>
          <w:p>
            <w:pPr>
              <w:spacing w:after="0"/>
            </w:pPr>
            <w:r/>
            <w:r>
              <w:rPr>
                <w:rFonts w:ascii="Calibri" w:hAnsi="Calibri"/>
                <w:b w:val="0"/>
                <w:sz w:val="16"/>
              </w:rPr>
              <w:t>2026</w:t>
            </w:r>
          </w:p>
        </w:tc>
        <w:tc>
          <w:tcPr>
            <w:tcW w:type="dxa" w:w="1411"/>
            <w:vAlign w:val="center"/>
          </w:tcPr>
          <w:p>
            <w:pPr>
              <w:spacing w:after="0"/>
            </w:pPr>
            <w:r/>
            <w:r>
              <w:rPr>
                <w:rFonts w:ascii="Calibri" w:hAnsi="Calibri"/>
                <w:b w:val="0"/>
                <w:sz w:val="16"/>
              </w:rPr>
              <w:t>Microarray / RNA-seq</w:t>
            </w:r>
          </w:p>
        </w:tc>
        <w:tc>
          <w:tcPr>
            <w:tcW w:type="dxa" w:w="1411"/>
            <w:vAlign w:val="center"/>
          </w:tcPr>
          <w:p>
            <w:pPr>
              <w:spacing w:after="0"/>
            </w:pPr>
            <w:r/>
            <w:r>
              <w:rPr>
                <w:rFonts w:ascii="Calibri" w:hAnsi="Calibri"/>
                <w:b w:val="0"/>
                <w:sz w:val="16"/>
              </w:rPr>
              <w:t>585 / 322 / 105</w:t>
            </w:r>
          </w:p>
        </w:tc>
        <w:tc>
          <w:tcPr>
            <w:tcW w:type="dxa" w:w="1411"/>
            <w:vAlign w:val="center"/>
          </w:tcPr>
          <w:p>
            <w:pPr>
              <w:spacing w:after="0"/>
            </w:pPr>
            <w:r/>
            <w:r>
              <w:rPr>
                <w:rFonts w:ascii="Calibri" w:hAnsi="Calibri"/>
                <w:b w:val="0"/>
                <w:sz w:val="16"/>
              </w:rPr>
              <w:t>0.994 / 0.973 / 0.949 (AUC)</w:t>
            </w:r>
          </w:p>
        </w:tc>
        <w:tc>
          <w:tcPr>
            <w:tcW w:type="dxa" w:w="1411"/>
            <w:vAlign w:val="center"/>
          </w:tcPr>
          <w:p>
            <w:pPr>
              <w:spacing w:after="0"/>
            </w:pPr>
            <w:r/>
            <w:r>
              <w:rPr>
                <w:rFonts w:ascii="Calibri" w:hAnsi="Calibri"/>
                <w:b w:val="0"/>
                <w:sz w:val="16"/>
              </w:rPr>
              <w:t>Yes (Removed 10 core genes)</w:t>
            </w:r>
          </w:p>
        </w:tc>
        <w:tc>
          <w:tcPr>
            <w:tcW w:type="dxa" w:w="1411"/>
            <w:vAlign w:val="center"/>
          </w:tcPr>
          <w:p>
            <w:pPr>
              <w:spacing w:after="0"/>
            </w:pPr>
            <w:r/>
            <w:r>
              <w:rPr>
                <w:rFonts w:ascii="Calibri" w:hAnsi="Calibri"/>
                <w:b w:val="0"/>
                <w:sz w:val="16"/>
              </w:rPr>
              <w:t>Yes (Microarray to RNA-seq ×2)</w:t>
            </w:r>
          </w:p>
        </w:tc>
      </w:tr>
    </w:tbl>
    <w:p>
      <w:pPr>
        <w:spacing w:before="60" w:after="160"/>
        <w:jc w:val="center"/>
      </w:pPr>
      <w:r>
        <w:rPr>
          <w:rFonts w:ascii="Calibri" w:hAnsi="Calibri"/>
          <w:i/>
          <w:color w:val="5A5A5A"/>
          <w:sz w:val="17"/>
        </w:rPr>
        <w:t>Table 10. Performance and methodological comparisons with published signatures.</w:t>
      </w:r>
    </w:p>
    <w:p>
      <w:pPr>
        <w:spacing w:before="0" w:after="140" w:line="283" w:lineRule="auto"/>
      </w:pPr>
      <w:r>
        <w:rPr>
          <w:rFonts w:ascii="Calibri" w:hAnsi="Calibri"/>
          <w:color w:val="141F2B"/>
          <w:sz w:val="20"/>
        </w:rPr>
        <w:t>Top features MCM10, SPC25, NCAPH, and RFC4 are downstream of cell-cycle entry. MCM10 supports DNA replication via CMG helicase complex isomerization (Langston et al., 2017). RFC4 recruits DNA polymerase delta to repair sites (Overmeer et al., 2010). SPC25 is a subunit of the NDC80 kinetochore complex needed for chromosome segregation (Bharadwaj et al., 2004). NCAPH is involved in condensin I assembly for chromosome condensation in proliferating cells (Seipold et al., 2009). Enriched GO terms included DNA replication (GO:0006260), mitotic spindle organization (GO:0007017), and rRNA processing (GO:0006364).</w:t>
      </w:r>
    </w:p>
    <w:p>
      <w:pPr>
        <w:pStyle w:val="Heading1"/>
        <w:keepNext/>
        <w:spacing w:before="240" w:after="100"/>
      </w:pPr>
    </w:p>
    <w:p>
      <w:pPr>
        <w:spacing w:before="0" w:after="140" w:line="283" w:lineRule="auto"/>
      </w:pPr>
      <w:r>
        <w:rPr>
          <w:rFonts w:ascii="Calibri" w:hAnsi="Calibri"/>
          <w:b/>
          <w:color w:val="141F2B"/>
          <w:sz w:val="20"/>
        </w:rPr>
        <w:t>LIMITATIONS:</w:t>
      </w:r>
    </w:p>
    <w:p>
      <w:pPr>
        <w:pStyle w:val="ListBullet"/>
        <w:spacing w:after="60"/>
      </w:pPr>
      <w:r>
        <w:rPr>
          <w:rFonts w:ascii="Calibri" w:hAnsi="Calibri"/>
          <w:color w:val="141F2B"/>
          <w:sz w:val="20"/>
        </w:rPr>
        <w:t>Sample size: GEO GSE39582 (n=585) is moderate. CPTAC-COAD (n=105) has only 7 survival events, substantially limiting statistical power for survival analysis on that cohort.</w:t>
      </w:r>
    </w:p>
    <w:p>
      <w:pPr>
        <w:pStyle w:val="ListBullet"/>
        <w:spacing w:after="60"/>
      </w:pPr>
      <w:r>
        <w:rPr>
          <w:rFonts w:ascii="Calibri" w:hAnsi="Calibri"/>
          <w:color w:val="141F2B"/>
          <w:sz w:val="20"/>
        </w:rPr>
        <w:t>Target binarization at the median is standard but arbitrary. Continuous risk scores would preserve more information.</w:t>
      </w:r>
    </w:p>
    <w:p>
      <w:pPr>
        <w:pStyle w:val="ListBullet"/>
        <w:spacing w:after="60"/>
      </w:pPr>
      <w:r>
        <w:rPr>
          <w:rFonts w:ascii="Calibri" w:hAnsi="Calibri"/>
          <w:color w:val="141F2B"/>
          <w:sz w:val="20"/>
        </w:rPr>
        <w:t>Proliferation classes barely overlap (Cohen's d = 2.3), making binary separation easier than typical clinical ML tasks. The model's AUC &gt;0.97 should be interpreted in this context.</w:t>
      </w:r>
    </w:p>
    <w:p>
      <w:pPr>
        <w:pStyle w:val="ListBullet"/>
        <w:spacing w:after="60"/>
      </w:pPr>
      <w:r>
        <w:rPr>
          <w:rFonts w:ascii="Calibri" w:hAnsi="Calibri"/>
          <w:color w:val="141F2B"/>
          <w:sz w:val="20"/>
        </w:rPr>
        <w:t>Cox regression showed proliferation class was not an independent predictor after adjusting for stage. This limits the clinical utility of the prognostic claim.</w:t>
      </w:r>
    </w:p>
    <w:p>
      <w:pPr>
        <w:pStyle w:val="ListBullet"/>
        <w:spacing w:after="60"/>
      </w:pPr>
      <w:r>
        <w:rPr>
          <w:rFonts w:ascii="Calibri" w:hAnsi="Calibri"/>
          <w:color w:val="141F2B"/>
          <w:sz w:val="20"/>
        </w:rPr>
        <w:t>Microarray and RNA-seq platforms have different dynamic ranges, requiring post-hoc Platt calibration for cross-platform probability calibration.</w:t>
      </w:r>
    </w:p>
    <w:p>
      <w:pPr>
        <w:pStyle w:val="ListBullet"/>
        <w:spacing w:after="60"/>
      </w:pPr>
      <w:r>
        <w:rPr>
          <w:rFonts w:ascii="Calibri" w:hAnsi="Calibri"/>
          <w:color w:val="141F2B"/>
          <w:sz w:val="20"/>
        </w:rPr>
        <w:t>The drug screen uses GDSC2 cell line data and does not account for tissue-specific expression differences across cell lines.</w:t>
      </w:r>
    </w:p>
    <w:p>
      <w:pPr>
        <w:pStyle w:val="ListBullet"/>
        <w:spacing w:after="60"/>
      </w:pPr>
      <w:r>
        <w:rPr>
          <w:rFonts w:ascii="Calibri" w:hAnsi="Calibri"/>
          <w:color w:val="141F2B"/>
          <w:sz w:val="20"/>
        </w:rPr>
        <w:t>SHAP scores reflect correlation, not causation. Top features should not be interpreted as therapeutic targets without experimental validation.</w:t>
      </w:r>
    </w:p>
    <w:p>
      <w:pPr>
        <w:pStyle w:val="ListBullet"/>
        <w:spacing w:after="60"/>
      </w:pPr>
      <w:r>
        <w:rPr>
          <w:rFonts w:ascii="Calibri" w:hAnsi="Calibri"/>
          <w:color w:val="141F2B"/>
          <w:sz w:val="20"/>
        </w:rPr>
        <w:t>Only 20% of the data was held out for final evaluation. A larger holdout would give more stable performance estimates.</w:t>
      </w:r>
    </w:p>
    <w:p>
      <w:pPr>
        <w:spacing w:before="0" w:after="140" w:line="283" w:lineRule="auto"/>
      </w:pPr>
      <w:r>
        <w:rPr>
          <w:rFonts w:ascii="Calibri" w:hAnsi="Calibri"/>
          <w:b/>
          <w:color w:val="141F2B"/>
          <w:sz w:val="20"/>
        </w:rPr>
        <w:t>FUTURE WORK:</w:t>
      </w:r>
    </w:p>
    <w:p>
      <w:pPr>
        <w:pStyle w:val="ListBullet"/>
        <w:spacing w:after="60"/>
      </w:pPr>
      <w:r>
        <w:rPr>
          <w:rFonts w:ascii="Calibri" w:hAnsi="Calibri"/>
          <w:color w:val="141F2B"/>
          <w:sz w:val="20"/>
        </w:rPr>
        <w:t>Prospective validation on new COAD biopsy cohorts with matched RNA-seq and Ki-67 IHC.</w:t>
      </w:r>
    </w:p>
    <w:p>
      <w:pPr>
        <w:pStyle w:val="ListBullet"/>
        <w:spacing w:after="60"/>
      </w:pPr>
      <w:r>
        <w:rPr>
          <w:rFonts w:ascii="Calibri" w:hAnsi="Calibri"/>
          <w:color w:val="141F2B"/>
          <w:sz w:val="20"/>
        </w:rPr>
        <w:t>qPCR knockdown of top SHAP genes (RPS3, RPS11, MCM10) to distinguish correlation from causation.</w:t>
      </w:r>
    </w:p>
    <w:p>
      <w:pPr>
        <w:pStyle w:val="ListBullet"/>
        <w:spacing w:after="60"/>
      </w:pPr>
      <w:r>
        <w:rPr>
          <w:rFonts w:ascii="Calibri" w:hAnsi="Calibri"/>
          <w:color w:val="141F2B"/>
          <w:sz w:val="20"/>
        </w:rPr>
        <w:t>Continuous risk score modeling (instead of binarized proliferation class) for survival analysis.</w:t>
      </w:r>
    </w:p>
    <w:p>
      <w:pPr>
        <w:pStyle w:val="ListBullet"/>
        <w:spacing w:after="60"/>
      </w:pPr>
      <w:r>
        <w:rPr>
          <w:rFonts w:ascii="Calibri" w:hAnsi="Calibri"/>
          <w:color w:val="141F2B"/>
          <w:sz w:val="20"/>
        </w:rPr>
        <w:t>Integration of CNVs, somatic mutations, and methylation data into the feature space.</w:t>
      </w:r>
    </w:p>
    <w:p>
      <w:pPr>
        <w:pStyle w:val="ListBullet"/>
        <w:spacing w:after="60"/>
      </w:pPr>
      <w:r>
        <w:rPr>
          <w:rFonts w:ascii="Calibri" w:hAnsi="Calibri"/>
          <w:color w:val="141F2B"/>
          <w:sz w:val="20"/>
        </w:rPr>
        <w:t>Submission of the trained pipelines as a web API for independent validation by other labs.</w:t>
      </w:r>
    </w:p>
    <w:p>
      <w:r>
        <w:br w:type="page"/>
      </w:r>
    </w:p>
    <w:p>
      <w:pPr>
        <w:pStyle w:val="Heading1"/>
        <w:keepNext/>
        <w:spacing w:before="240" w:after="100"/>
      </w:pPr>
    </w:p>
    <w:p>
      <w:pPr>
        <w:pStyle w:val="ListNumber"/>
        <w:spacing w:after="60"/>
      </w:pPr>
      <w:r>
        <w:rPr>
          <w:rFonts w:ascii="Calibri" w:hAnsi="Calibri"/>
          <w:color w:val="141F2B"/>
          <w:sz w:val="19"/>
        </w:rPr>
        <w:t>Marisa, L. et al. Gene expression classification of colon cancer into molecular subtypes: characterization, validation, and prognostic value. PLoS Medicine, 2013. DOI: 10.1371/journal.pmed.1001453</w:t>
      </w:r>
    </w:p>
    <w:p>
      <w:pPr>
        <w:pStyle w:val="ListNumber"/>
        <w:spacing w:after="60"/>
      </w:pPr>
      <w:r>
        <w:rPr>
          <w:rFonts w:ascii="Calibri" w:hAnsi="Calibri"/>
          <w:color w:val="141F2B"/>
          <w:sz w:val="19"/>
        </w:rPr>
        <w:t>Whitfield, M. L. et al. Identification of genes periodically expressed in the human cell cycle and their expression in tumors. Molecular Biology of the Cell, 2002. DOI: 10.1091/mbc.02-02-0030</w:t>
      </w:r>
    </w:p>
    <w:p>
      <w:pPr>
        <w:pStyle w:val="ListNumber"/>
        <w:spacing w:after="60"/>
      </w:pPr>
      <w:r>
        <w:rPr>
          <w:rFonts w:ascii="Calibri" w:hAnsi="Calibri"/>
          <w:color w:val="141F2B"/>
          <w:sz w:val="19"/>
        </w:rPr>
        <w:t>Lundberg, S. M. and Lee, S.-I. A unified approach to interpreting model predictions. Advances in Neural Information Processing Systems, 2017.</w:t>
      </w:r>
    </w:p>
    <w:p>
      <w:pPr>
        <w:pStyle w:val="ListNumber"/>
        <w:spacing w:after="60"/>
      </w:pPr>
      <w:r>
        <w:rPr>
          <w:rFonts w:ascii="Calibri" w:hAnsi="Calibri"/>
          <w:color w:val="141F2B"/>
          <w:sz w:val="19"/>
        </w:rPr>
        <w:t>The Cancer Genome Atlas Research Network. TCGA Colon Adenocarcinoma data resource, accessed through the NCI Genomic Data Commons.</w:t>
      </w:r>
    </w:p>
    <w:p>
      <w:pPr>
        <w:pStyle w:val="ListNumber"/>
        <w:spacing w:after="60"/>
      </w:pPr>
      <w:r>
        <w:rPr>
          <w:rFonts w:ascii="Calibri" w:hAnsi="Calibri"/>
          <w:color w:val="141F2B"/>
          <w:sz w:val="19"/>
        </w:rPr>
        <w:t>National Center for Biotechnology Information Gene Expression Omnibus. GSE39582 dataset record.</w:t>
      </w:r>
    </w:p>
    <w:p>
      <w:pPr>
        <w:pStyle w:val="ListNumber"/>
        <w:spacing w:after="60"/>
      </w:pPr>
      <w:r>
        <w:rPr>
          <w:rFonts w:ascii="Calibri" w:hAnsi="Calibri"/>
          <w:color w:val="141F2B"/>
          <w:sz w:val="19"/>
        </w:rPr>
        <w:t>Zeng, D.-T. et al. Prognostic role of Ki-67 in colorectal carcinoma: Development and evaluation of machine learning prediction models. World Journal of Clinical Oncology, 2025. DOI: 10.5306/wjco.v16.i8.107306</w:t>
      </w:r>
    </w:p>
    <w:p>
      <w:pPr>
        <w:pStyle w:val="ListNumber"/>
        <w:spacing w:after="60"/>
      </w:pPr>
      <w:r>
        <w:rPr>
          <w:rFonts w:ascii="Calibri" w:hAnsi="Calibri"/>
          <w:color w:val="141F2B"/>
          <w:sz w:val="19"/>
        </w:rPr>
        <w:t>Agesen, T. H. et al. ColoGuideEx: a robust gene classifier specific for stage II colorectal cancer prognosis. Gut, 2012. DOI: 10.1136/gutjnl-2011-301179</w:t>
      </w:r>
    </w:p>
    <w:p>
      <w:pPr>
        <w:pStyle w:val="ListNumber"/>
        <w:spacing w:after="60"/>
      </w:pPr>
      <w:r>
        <w:rPr>
          <w:rFonts w:ascii="Calibri" w:hAnsi="Calibri"/>
          <w:color w:val="141F2B"/>
          <w:sz w:val="19"/>
        </w:rPr>
        <w:t>O'Connell, M. J. et al. Relationship between tumor gene expression and recurrence in four independent studies of patients with stage II/III colon cancer treated with surgery alone or surgery plus adjuvant fluorouracil plus leucovorin. Journal of Clinical Oncology, 2010. DOI: 10.1200/JCO.2010.28.9538</w:t>
      </w:r>
    </w:p>
    <w:p>
      <w:pPr>
        <w:pStyle w:val="ListNumber"/>
        <w:spacing w:after="60"/>
      </w:pPr>
      <w:r>
        <w:rPr>
          <w:rFonts w:ascii="Calibri" w:hAnsi="Calibri"/>
          <w:color w:val="141F2B"/>
          <w:sz w:val="19"/>
        </w:rPr>
        <w:t>Langston, L. D. et al. Mcm10 promotes rapid isomerization of CMG-DNA for replisome bypass of lagging strand DNA blocks. eLife, 2017. DOI: 10.7554/eLife.29118</w:t>
      </w:r>
    </w:p>
    <w:p>
      <w:pPr>
        <w:pStyle w:val="ListNumber"/>
        <w:spacing w:after="60"/>
      </w:pPr>
      <w:r>
        <w:rPr>
          <w:rFonts w:ascii="Calibri" w:hAnsi="Calibri"/>
          <w:color w:val="141F2B"/>
          <w:sz w:val="19"/>
        </w:rPr>
        <w:t>Bharadwaj, R., Qi, W., and Yu, H. Identification of two novel components of the human NDC80 kinetochore complex. Journal of Biological Chemistry, 2004. DOI: 10.1074/jbc.M310224200</w:t>
      </w:r>
    </w:p>
    <w:p>
      <w:pPr>
        <w:pStyle w:val="ListNumber"/>
        <w:spacing w:after="60"/>
      </w:pPr>
      <w:r>
        <w:rPr>
          <w:rFonts w:ascii="Calibri" w:hAnsi="Calibri"/>
          <w:color w:val="141F2B"/>
          <w:sz w:val="19"/>
        </w:rPr>
        <w:t>Seipold, S. et al. Non-SMC condensin I complex proteins control chromosome segregation and survival of proliferating cells in the zebrafish neural retina. BMC Developmental Biology, 2009. DOI: 10.1186/1471-213X-9-40</w:t>
      </w:r>
    </w:p>
    <w:p>
      <w:pPr>
        <w:pStyle w:val="ListNumber"/>
        <w:spacing w:after="60"/>
      </w:pPr>
      <w:r>
        <w:rPr>
          <w:rFonts w:ascii="Calibri" w:hAnsi="Calibri"/>
          <w:color w:val="141F2B"/>
          <w:sz w:val="19"/>
        </w:rPr>
        <w:t>Overmeer, R. M. et al. Replication factor C recruits DNA polymerase delta to sites of nucleotide excision repair but is not required for PCNA recruitment. Molecular and Cellular Biology, 2010. DOI: 10.1128/MCB.00285-10</w:t>
      </w:r>
    </w:p>
    <w:p>
      <w:pPr>
        <w:pStyle w:val="ListNumber"/>
        <w:spacing w:after="60"/>
      </w:pPr>
      <w:r>
        <w:rPr>
          <w:rFonts w:ascii="Calibri" w:hAnsi="Calibri"/>
          <w:color w:val="141F2B"/>
          <w:sz w:val="19"/>
        </w:rPr>
        <w:t>Guinney, J. et al. The consensus molecular subtypes of colorectal cancer. Nature Medicine, 2015. DOI: 10.1038/nm.3967</w:t>
      </w:r>
    </w:p>
    <w:p>
      <w:pPr>
        <w:pStyle w:val="ListNumber"/>
        <w:spacing w:after="60"/>
      </w:pPr>
      <w:r>
        <w:rPr>
          <w:rFonts w:ascii="Calibri" w:hAnsi="Calibri"/>
          <w:color w:val="141F2B"/>
          <w:sz w:val="19"/>
        </w:rPr>
        <w:t>The Cancer Genome Atlas Network. Comprehensive molecular characterization of human colon and rectal cancer. Nature, 2012. DOI: 10.1038/nature11252</w:t>
      </w:r>
    </w:p>
    <w:p>
      <w:pPr>
        <w:pStyle w:val="ListNumber"/>
        <w:spacing w:after="60"/>
      </w:pPr>
      <w:r>
        <w:rPr>
          <w:rFonts w:ascii="Calibri" w:hAnsi="Calibri"/>
          <w:color w:val="141F2B"/>
          <w:sz w:val="19"/>
        </w:rPr>
        <w:t>Platt, J. Probabilistic outputs for support vector machines and comparisons to regularized likelihood methods. Advances in Large Margin Classifiers, 1999.</w:t>
      </w:r>
    </w:p>
    <w:p>
      <w:pPr>
        <w:pStyle w:val="ListNumber"/>
        <w:spacing w:after="60"/>
      </w:pPr>
      <w:r>
        <w:rPr>
          <w:rFonts w:ascii="Calibri" w:hAnsi="Calibri"/>
          <w:color w:val="141F2B"/>
          <w:sz w:val="19"/>
        </w:rPr>
        <w:t>Yang, W. et al. Genomics of Drug Sensitivity in Cancer (GDSC): a resource for therapeutic biomarker discovery in cancer cells. Nucleic Acids Research, 2013. DOI: 10.1093/nar/gks1111</w:t>
      </w:r>
    </w:p>
    <w:p>
      <w:pPr>
        <w:pStyle w:val="ListNumber"/>
        <w:spacing w:after="60"/>
      </w:pPr>
      <w:r>
        <w:rPr>
          <w:rFonts w:ascii="Calibri" w:hAnsi="Calibri"/>
          <w:color w:val="141F2B"/>
          <w:sz w:val="19"/>
        </w:rPr>
        <w:t>Meinshausen, N. and Buhlmann, P. Stability selection. Journal of the Royal Statistical Society: Series B, 2010. DOI: 10.1111/j.1467-9868.2010.00740.x</w:t>
      </w:r>
    </w:p>
    <w:p>
      <w:pPr>
        <w:pStyle w:val="ListNumber"/>
        <w:spacing w:after="60"/>
      </w:pPr>
      <w:r>
        <w:rPr>
          <w:rFonts w:ascii="Calibri" w:hAnsi="Calibri"/>
          <w:color w:val="141F2B"/>
          <w:sz w:val="19"/>
        </w:rPr>
        <w:t>Cohen, J. Statistical Power Analysis for the Behavioral Sciences. 2nd ed. Lawrence Erlbaum Associates, 1988.</w:t>
      </w:r>
    </w:p>
    <w:p>
      <w:pPr>
        <w:pStyle w:val="ListNumber"/>
        <w:spacing w:after="60"/>
      </w:pPr>
      <w:r>
        <w:rPr>
          <w:rFonts w:ascii="Calibri" w:hAnsi="Calibri"/>
          <w:color w:val="141F2B"/>
          <w:sz w:val="19"/>
        </w:rPr>
        <w:t>Vasaikar, S. et al. Proteogenomic analysis of human colon cancer reveals new therapeutic opportunities. Cell, 2019. DOI: 10.1016/j.cell.2019.03.030</w:t>
      </w:r>
    </w:p>
    <w:p>
      <w:pPr>
        <w:pStyle w:val="Heading1"/>
        <w:keepNext/>
        <w:spacing w:before="240" w:after="100"/>
      </w:pPr>
    </w:p>
    <w:p>
      <w:pPr>
        <w:spacing w:before="0" w:after="140" w:line="283" w:lineRule="auto"/>
      </w:pPr>
      <w:r>
        <w:rPr>
          <w:rFonts w:ascii="Calibri" w:hAnsi="Calibri"/>
          <w:color w:val="141F2B"/>
          <w:sz w:val="20"/>
        </w:rPr>
        <w:t>GEO GSE39582 is available at: https://www.ncbi.nlm.nih.gov/geo/query/acc.cgi?acc=GSE39582. TCGA-COAD is available at UCSC Xena: https://xenabrowser.net/. CPTAC-COAD data is available at: https://cptac-data-portal.georgetown.edu/. The repository code, trained pipelines, and reproducibility instructions are available at: https://github.com/Ronisnotasianfr/ColoGrowth-ML.</w:t>
      </w:r>
    </w:p>
    <w:p>
      <w:pPr>
        <w:pStyle w:val="Heading1"/>
        <w:keepNext/>
        <w:spacing w:before="240" w:after="100"/>
      </w:pPr>
    </w:p>
    <w:p>
      <w:pPr>
        <w:spacing w:before="0" w:after="140" w:line="283" w:lineRule="auto"/>
      </w:pPr>
      <w:r>
        <w:rPr>
          <w:rFonts w:ascii="Calibri" w:hAnsi="Calibri"/>
          <w:color w:val="141F2B"/>
          <w:sz w:val="20"/>
        </w:rPr>
        <w:t>Secondary analysis of de-identified public datasets did not require institutional review board (IRB) approval. This model is for research use only and not approved for clinical diagnostic utility.</w:t>
      </w:r>
    </w:p>
    <w:p>
      <w:pPr>
        <w:pStyle w:val="Heading2"/>
        <w:keepNext/>
        <w:spacing w:before="160" w:after="100"/>
      </w:pPr>
    </w:p>
    <w:p>
      <w:pPr>
        <w:spacing w:before="0" w:after="140" w:line="283" w:lineRule="auto"/>
      </w:pPr>
      <w:r>
        <w:rPr>
          <w:rFonts w:ascii="Calibri" w:hAnsi="Calibri"/>
          <w:color w:val="141F2B"/>
          <w:sz w:val="21"/>
        </w:rPr>
        <w:t>Claude (Anthropic) was used as a coding assistant during implementation. All study design decisions, data interpretation, statistical analysis, and written conclusions are the author's own. The model architecture, leakage-control strategy, and validation framework were designed by the author. Claude assisted with debugging syntax errors, generating table formats, and optimizing parallel computation settings. Full prompt logs are available in the project repository.</w:t>
      </w:r>
    </w:p>
    <w:sectPr w:rsidR="00FC693F" w:rsidRPr="0006063C" w:rsidSect="00034616">
      <w:footerReference w:type="default" r:id="rId9"/>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5A5A"/>
        <w:sz w:val="17"/>
      </w:rPr>
      <w:t>ColoGrowth-ML | Leakage-free cross-platform validation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41F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2D4B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