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36"/>
        </w:rPr>
        <w:t>Leakage-Free Machine Learning Classification of Colon Cancer Proliferation from Downstream Transcriptional Signatures: A Cross-Platform Validation Study</w:t>
      </w:r>
    </w:p>
    <w:p>
      <w:pPr>
        <w:spacing w:after="240"/>
      </w:pPr>
      <w:r>
        <w:rPr>
          <w:rFonts w:ascii="Calibri" w:hAnsi="Calibri"/>
          <w:i/>
          <w:color w:val="5A5A5A"/>
          <w:sz w:val="23"/>
        </w:rPr>
        <w:t>Independent computational biology research report prepared for peer-reviewed journal submission</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journal submission draft</w:t>
            </w:r>
          </w:p>
        </w:tc>
      </w:tr>
    </w:tbl>
    <w:p>
      <w:pPr>
        <w:pStyle w:val="Heading1"/>
        <w:keepNext/>
        <w:spacing w:before="240" w:after="100"/>
      </w:pPr>
    </w:p>
    <w:p>
      <w:pPr>
        <w:spacing w:before="0" w:after="140" w:line="283" w:lineRule="auto"/>
      </w:pPr>
      <w:r>
        <w:rPr>
          <w:rFonts w:ascii="Calibri" w:hAnsi="Calibri"/>
          <w:color w:val="141F2B"/>
          <w:sz w:val="20"/>
        </w:rPr>
        <w:t>Tumor cell proliferation rates correlate with prognosis and therapy response in colon cancer. We trained classifiers on GEO microarray data (GSE39582, n = 585) and validated on TCGA-COAD (RNA-seq, n = 322) and CPTAC-COAD (n = 105). The ten cell-cycle genes used to define the proliferation target were removed from features before training. Logistic Regression achieved a holdout ROC-AUC of 0.9834 (95% CI: 0.9685-0.9943) and accuracy of 0.9487 on GEO. External validation on TCGA-COAD gave a raw ROC-AUC of 0.978; Platt scaling recovered accuracy lost to cross-platform distribution shift (Random Forest: 0.921, XGBoost: 0.903). On CPTAC-COAD (n = 105), Random Forest gave a calibrated AUC of 0.9487 and accuracy of 0.8679. High-proliferation status correlated with reduced overall survival in both GEO (log-rank p = 0.037) and TCGA (log-rank p = 0.034) cohorts.. Code: https://github.com/Ronisnotasianfr/ColoGrowth-ML.</w:t>
      </w:r>
    </w:p>
    <w:p>
      <w:pPr>
        <w:pStyle w:val="Heading1"/>
        <w:keepNext/>
        <w:spacing w:before="240" w:after="100"/>
      </w:pPr>
    </w:p>
    <w:p>
      <w:pPr>
        <w:spacing w:before="0" w:after="140" w:line="283" w:lineRule="auto"/>
      </w:pPr>
      <w:r>
        <w:rPr>
          <w:rFonts w:ascii="Calibri" w:hAnsi="Calibri"/>
          <w:color w:val="141F2B"/>
          <w:sz w:val="20"/>
        </w:rPr>
        <w:t>Tumor cell proliferation rates correlate with survival, recurrence, and chemotherapy response in colon adenocarcinoma. Clinicians estimate proliferation through Ki-67 staining or staging systems. These methods have inter-observer variability and miss the broader transcriptomic shifts that come with cell-cycle deregulation. Machine learning on gene expression data could provide an objective alternative.</w:t>
      </w:r>
    </w:p>
    <w:p>
      <w:pPr>
        <w:spacing w:before="0" w:after="140" w:line="283" w:lineRule="auto"/>
      </w:pPr>
      <w:r>
        <w:rPr>
          <w:rFonts w:ascii="Calibri" w:hAnsi="Calibri"/>
          <w:color w:val="141F2B"/>
          <w:sz w:val="20"/>
        </w:rPr>
        <w:t>We trained classifiers on microarray data to predict high versus low proliferation states from gene expression and clinical covariates. The ten cell-cycle genes used to define the target were removed from the feature space. We evaluated Logistic Regression, Random Forest, XGBoost, and a Multilayer Perceptron using nested CV on microarray data and external validation on an independent RNA-seq cohort.</w:t>
      </w:r>
    </w:p>
    <w:p>
      <w:r>
        <w:br w:type="page"/>
      </w:r>
    </w:p>
    <w:p>
      <w:pPr>
        <w:pStyle w:val="Heading1"/>
        <w:keepNext/>
        <w:spacing w:before="240" w:after="100"/>
      </w:pPr>
    </w:p>
    <w:p>
      <w:pPr>
        <w:spacing w:before="0" w:after="140" w:line="283" w:lineRule="auto"/>
      </w:pPr>
      <w:r>
        <w:rPr>
          <w:rFonts w:ascii="Calibri" w:hAnsi="Calibri"/>
          <w:color w:val="141F2B"/>
          <w:sz w:val="20"/>
        </w:rPr>
        <w:t>The GEO dataset has 585 samples and 22182 features (after removing the ten signature genes). Clinical covariates: age, sex, stage. Target: 292 low, 293 high. 80/20 stratified split: 468 training, 117 holdout.</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geo_X_features / y_target</w:t>
            </w:r>
          </w:p>
        </w:tc>
        <w:tc>
          <w:tcPr>
            <w:tcW w:type="dxa" w:w="2469"/>
            <w:vAlign w:val="center"/>
          </w:tcPr>
          <w:p>
            <w:pPr>
              <w:spacing w:after="0"/>
            </w:pPr>
            <w:r/>
            <w:r>
              <w:rPr>
                <w:rFonts w:ascii="Calibri" w:hAnsi="Calibri"/>
                <w:b w:val="0"/>
                <w:sz w:val="17"/>
              </w:rPr>
              <w:t>585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292 low, 293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468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117</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We used a multi-cohort design: GEO-train/GEO-holdout, TCGA-calibration/TCGA-evaluation, and CPTAC-evaluation. Direct cross-cohort testing fails when platform distribution shifts degrade accuracy. TCGA-COAD (n = 322) was split into calibration and evaluation halves (161 each). The calibration set was used to fit Platt scaling. CPTAC-COAD (n = 105) was split similarly (52 calibration, 53 evaluation) for an additional holdout with no extra training. Feature selection, scaling, and model training used only GEO data. No TCGA or CPTAC samples entered training.</w:t>
      </w:r>
    </w:p>
    <w:p>
      <w:pPr>
        <w:spacing w:before="0" w:after="140" w:line="283" w:lineRule="auto"/>
      </w:pPr>
      <w:r>
        <w:rPr>
          <w:rFonts w:ascii="Calibri" w:hAnsi="Calibri"/>
          <w:color w:val="141F2B"/>
          <w:sz w:val="20"/>
        </w:rPr>
        <w:t>The three-way validation data-flow schematic is detailed in Figure 7.</w:t>
      </w:r>
    </w:p>
    <w:p>
      <w:pPr>
        <w:spacing w:before="80" w:after="80" w:line="220" w:lineRule="exact"/>
      </w:pPr>
      <w:r>
        <w:rPr>
          <w:rFonts w:ascii="Consolas" w:hAnsi="Consolas"/>
          <w:color w:val="141F2B"/>
          <w:sz w:val="16"/>
        </w:rPr>
        <w:t xml:space="preserve">                     [ GEO Cohort (n=585) ]</w:t>
        <w:br/>
        <w:t xml:space="preserve">                               |</w:t>
        <w:br/>
        <w:t xml:space="preserve">                 +-------------+-------------+</w:t>
        <w:br/>
        <w:t xml:space="preserve">                 v                           v</w:t>
        <w:br/>
        <w:t xml:space="preserve">        GEO-Train (80%, n=468)      GEO-Holdout (20%, n=117)</w:t>
        <w:br/>
        <w:t xml:space="preserve">                 |                           |</w:t>
        <w:br/>
        <w:t xml:space="preserve">                 +-&gt; [Feature Selection]     +-&gt; [Evaluate Model]</w:t>
        <w:br/>
        <w:t xml:space="preserve">                 +-&gt; [GridSearchCV Tuning]   |</w:t>
        <w:br/>
        <w:t xml:space="preserve">                 +-&gt; [Fit Model Coefficients]|</w:t>
        <w:br/>
        <w:t xml:space="preserve">                                             |</w:t>
        <w:br/>
        <w:t xml:space="preserve">          +----------------------------------+</w:t>
        <w:br/>
        <w:t xml:space="preserve">          v                                   v</w:t>
        <w:br/>
        <w:t xml:space="preserve">  [TCGA Cohort (n=322)]            [CPTAC Cohort (n=105)]</w:t>
        <w:br/>
        <w:t xml:space="preserve">          |                                   |</w:t>
        <w:br/>
        <w:t xml:space="preserve">    +-----+-----+                       +----+------+</w:t>
        <w:br/>
        <w:t xml:space="preserve">    v           v                       v           v</w:t>
        <w:br/>
        <w:t xml:space="preserve">  Calib (50%)  Eval (50%)           Calib (50%)  Eval (50%)</w:t>
      </w:r>
    </w:p>
    <w:p>
      <w:pPr>
        <w:spacing w:before="60" w:after="160"/>
        <w:jc w:val="center"/>
      </w:pPr>
      <w:r>
        <w:rPr>
          <w:rFonts w:ascii="Calibri" w:hAnsi="Calibri"/>
          <w:i/>
          <w:color w:val="5A5A5A"/>
          <w:sz w:val="17"/>
        </w:rPr>
        <w:t>Figure 7. Three-way cohort validation and probability calibration workflow schematic.</w:t>
      </w:r>
    </w:p>
    <w:p>
      <w:pPr>
        <w:spacing w:before="0" w:after="140" w:line="283" w:lineRule="auto"/>
      </w:pPr>
      <w:r>
        <w:rPr>
          <w:rFonts w:ascii="Calibri" w:hAnsi="Calibri"/>
          <w:color w:val="141F2B"/>
          <w:sz w:val="20"/>
        </w:rPr>
        <w:t>Four classifiers: Logistic Regression, Random Forest, XGBoost, Multilayer Perceptron. Each sat in a Pipeline: standardization, variance filtering (threshold = 0.01), SelectKBest (ANOVA F-values), then the classifier. GridSearchCV tuned hyperparameters. Nested five-fold CV on the training pool kept preprocessing inside folds. Multiple probes mapping to the same gene were averaged.</w:t>
      </w:r>
    </w:p>
    <w:p>
      <w:pPr>
        <w:spacing w:before="0" w:after="140" w:line="283" w:lineRule="auto"/>
      </w:pPr>
      <w:r>
        <w:rPr>
          <w:rFonts w:ascii="Calibri" w:hAnsi="Calibri"/>
          <w:color w:val="141F2B"/>
          <w:sz w:val="20"/>
        </w:rPr>
        <w:t>We defined the target using mean z-scores of ten cell-cycle genes: MKI67, PCNA, TOP2A, MCM2, MCM6, AURKA, BUB1, CCNB1, CDK1, and BIRC5. These ten genes were removed from the feature matrix before splitting the data. Keeping them would let the classifier reconstruct the label without learning anything about broader transcription. All preprocessing steps (scaling, variance filtering, feature selection) were put inside a scikit-learn Pipeline so they are fit only on the active training fold and applied to the validation and test folds.</w:t>
      </w:r>
    </w:p>
    <w:p>
      <w:pPr>
        <w:spacing w:before="0" w:after="140" w:line="283" w:lineRule="auto"/>
      </w:pPr>
      <w:r>
        <w:rPr>
          <w:rFonts w:ascii="Calibri" w:hAnsi="Calibri"/>
          <w:color w:val="141F2B"/>
          <w:sz w:val="20"/>
        </w:rPr>
        <w:t>GridSearchCV parameter search spaces and optimal configurations are shown in Table 2.</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Model</w:t>
            </w:r>
          </w:p>
        </w:tc>
        <w:tc>
          <w:tcPr>
            <w:tcW w:type="dxa" w:w="1976"/>
            <w:shd w:fill="F4F6F9"/>
            <w:vAlign w:val="center"/>
          </w:tcPr>
          <w:p>
            <w:pPr>
              <w:spacing w:after="0"/>
            </w:pPr>
            <w:r/>
            <w:r>
              <w:rPr>
                <w:rFonts w:ascii="Calibri" w:hAnsi="Calibri"/>
                <w:b/>
                <w:color w:val="141F2B"/>
                <w:sz w:val="16"/>
              </w:rPr>
              <w:t>Hyperparameter</w:t>
            </w:r>
          </w:p>
        </w:tc>
        <w:tc>
          <w:tcPr>
            <w:tcW w:type="dxa" w:w="1976"/>
            <w:shd w:fill="F4F6F9"/>
            <w:vAlign w:val="center"/>
          </w:tcPr>
          <w:p>
            <w:pPr>
              <w:spacing w:after="0"/>
            </w:pPr>
            <w:r/>
            <w:r>
              <w:rPr>
                <w:rFonts w:ascii="Calibri" w:hAnsi="Calibri"/>
                <w:b/>
                <w:color w:val="141F2B"/>
                <w:sz w:val="16"/>
              </w:rPr>
              <w:t>Search Range</w:t>
            </w:r>
          </w:p>
        </w:tc>
        <w:tc>
          <w:tcPr>
            <w:tcW w:type="dxa" w:w="1976"/>
            <w:shd w:fill="F4F6F9"/>
            <w:vAlign w:val="center"/>
          </w:tcPr>
          <w:p>
            <w:pPr>
              <w:spacing w:after="0"/>
            </w:pPr>
            <w:r/>
            <w:r>
              <w:rPr>
                <w:rFonts w:ascii="Calibri" w:hAnsi="Calibri"/>
                <w:b/>
                <w:color w:val="141F2B"/>
                <w:sz w:val="16"/>
              </w:rPr>
              <w:t>Selected</w:t>
            </w:r>
          </w:p>
        </w:tc>
        <w:tc>
          <w:tcPr>
            <w:tcW w:type="dxa" w:w="1976"/>
            <w:shd w:fill="F4F6F9"/>
            <w:vAlign w:val="center"/>
          </w:tcPr>
          <w:p>
            <w:pPr>
              <w:spacing w:after="0"/>
            </w:pPr>
            <w:r/>
            <w:r>
              <w:rPr>
                <w:rFonts w:ascii="Calibri" w:hAnsi="Calibri"/>
                <w:b/>
                <w:color w:val="141F2B"/>
                <w:sz w:val="16"/>
              </w:rPr>
              <w:t>Notes</w:t>
            </w:r>
          </w:p>
        </w:tc>
      </w:tr>
      <w:tr>
        <w:tc>
          <w:tcPr>
            <w:tcW w:type="dxa" w:w="1976"/>
            <w:vAlign w:val="center"/>
          </w:tcPr>
          <w:p>
            <w:pPr>
              <w:spacing w:after="0"/>
            </w:pPr>
            <w:r/>
            <w:r>
              <w:rPr>
                <w:rFonts w:ascii="Calibri" w:hAnsi="Calibri"/>
                <w:b w:val="0"/>
                <w:sz w:val="16"/>
              </w:rPr>
              <w:t>Logistic Regression</w:t>
            </w:r>
          </w:p>
        </w:tc>
        <w:tc>
          <w:tcPr>
            <w:tcW w:type="dxa" w:w="1976"/>
            <w:vAlign w:val="center"/>
          </w:tcPr>
          <w:p>
            <w:pPr>
              <w:spacing w:after="0"/>
            </w:pPr>
            <w:r/>
            <w:r>
              <w:rPr>
                <w:rFonts w:ascii="Calibri" w:hAnsi="Calibri"/>
                <w:b w:val="0"/>
                <w:sz w:val="16"/>
              </w:rPr>
              <w:t>C (Regularization)</w:t>
            </w:r>
          </w:p>
        </w:tc>
        <w:tc>
          <w:tcPr>
            <w:tcW w:type="dxa" w:w="1976"/>
            <w:vAlign w:val="center"/>
          </w:tcPr>
          <w:p>
            <w:pPr>
              <w:spacing w:after="0"/>
            </w:pPr>
            <w:r/>
            <w:r>
              <w:rPr>
                <w:rFonts w:ascii="Calibri" w:hAnsi="Calibri"/>
                <w:b w:val="0"/>
                <w:sz w:val="16"/>
              </w:rPr>
              <w:t>[0.01, 0.1, 1.0, 10.0]</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L2 penalty, liblinear solver</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Ensemble size</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[5, 10, None]</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Tree depth limit</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min_samples_leaf</w:t>
            </w:r>
          </w:p>
        </w:tc>
        <w:tc>
          <w:tcPr>
            <w:tcW w:type="dxa" w:w="1976"/>
            <w:vAlign w:val="center"/>
          </w:tcPr>
          <w:p>
            <w:pPr>
              <w:spacing w:after="0"/>
            </w:pPr>
            <w:r/>
            <w:r>
              <w:rPr>
                <w:rFonts w:ascii="Calibri" w:hAnsi="Calibri"/>
                <w:b w:val="0"/>
                <w:sz w:val="16"/>
              </w:rPr>
              <w:t>[2, 4]</w:t>
            </w:r>
          </w:p>
        </w:tc>
        <w:tc>
          <w:tcPr>
            <w:tcW w:type="dxa" w:w="1976"/>
            <w:vAlign w:val="center"/>
          </w:tcPr>
          <w:p>
            <w:pPr>
              <w:spacing w:after="0"/>
            </w:pPr>
            <w:r/>
            <w:r>
              <w:rPr>
                <w:rFonts w:ascii="Calibri" w:hAnsi="Calibri"/>
                <w:b w:val="0"/>
                <w:sz w:val="16"/>
              </w:rPr>
              <w:t>2</w:t>
            </w:r>
          </w:p>
        </w:tc>
        <w:tc>
          <w:tcPr>
            <w:tcW w:type="dxa" w:w="1976"/>
            <w:vAlign w:val="center"/>
          </w:tcPr>
          <w:p>
            <w:pPr>
              <w:spacing w:after="0"/>
            </w:pPr>
            <w:r/>
            <w:r>
              <w:rPr>
                <w:rFonts w:ascii="Calibri" w:hAnsi="Calibri"/>
                <w:b w:val="0"/>
                <w:sz w:val="16"/>
              </w:rPr>
              <w:t>Leaf node size</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Boosting iterations</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[3, 5, 7]</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Max tree depth</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learning_rate</w:t>
            </w:r>
          </w:p>
        </w:tc>
        <w:tc>
          <w:tcPr>
            <w:tcW w:type="dxa" w:w="1976"/>
            <w:vAlign w:val="center"/>
          </w:tcPr>
          <w:p>
            <w:pPr>
              <w:spacing w:after="0"/>
            </w:pPr>
            <w:r/>
            <w:r>
              <w:rPr>
                <w:rFonts w:ascii="Calibri" w:hAnsi="Calibri"/>
                <w:b w:val="0"/>
                <w:sz w:val="16"/>
              </w:rPr>
              <w:t>[0.01, 0.05, 0.1]</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Shrinkage rate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hidden_layer_sizes</w:t>
            </w:r>
          </w:p>
        </w:tc>
        <w:tc>
          <w:tcPr>
            <w:tcW w:type="dxa" w:w="1976"/>
            <w:vAlign w:val="center"/>
          </w:tcPr>
          <w:p>
            <w:pPr>
              <w:spacing w:after="0"/>
            </w:pPr>
            <w:r/>
            <w:r>
              <w:rPr>
                <w:rFonts w:ascii="Calibri" w:hAnsi="Calibri"/>
                <w:b w:val="0"/>
                <w:sz w:val="16"/>
              </w:rPr>
              <w:t>[(128, 64), (256, 128, 64)]</w:t>
            </w:r>
          </w:p>
        </w:tc>
        <w:tc>
          <w:tcPr>
            <w:tcW w:type="dxa" w:w="1976"/>
            <w:vAlign w:val="center"/>
          </w:tcPr>
          <w:p>
            <w:pPr>
              <w:spacing w:after="0"/>
            </w:pPr>
            <w:r/>
            <w:r>
              <w:rPr>
                <w:rFonts w:ascii="Calibri" w:hAnsi="Calibri"/>
                <w:b w:val="0"/>
                <w:sz w:val="16"/>
              </w:rPr>
              <w:t>(256, 128, 64)</w:t>
            </w:r>
          </w:p>
        </w:tc>
        <w:tc>
          <w:tcPr>
            <w:tcW w:type="dxa" w:w="1976"/>
            <w:vAlign w:val="center"/>
          </w:tcPr>
          <w:p>
            <w:pPr>
              <w:spacing w:after="0"/>
            </w:pPr>
            <w:r/>
            <w:r>
              <w:rPr>
                <w:rFonts w:ascii="Calibri" w:hAnsi="Calibri"/>
                <w:b w:val="0"/>
                <w:sz w:val="16"/>
              </w:rPr>
              <w:t>Network architecture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alpha</w:t>
            </w:r>
          </w:p>
        </w:tc>
        <w:tc>
          <w:tcPr>
            <w:tcW w:type="dxa" w:w="1976"/>
            <w:vAlign w:val="center"/>
          </w:tcPr>
          <w:p>
            <w:pPr>
              <w:spacing w:after="0"/>
            </w:pPr>
            <w:r/>
            <w:r>
              <w:rPr>
                <w:rFonts w:ascii="Calibri" w:hAnsi="Calibri"/>
                <w:b w:val="0"/>
                <w:sz w:val="16"/>
              </w:rPr>
              <w:t>[0.0001, 0.001]</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L2 regularization term</w:t>
            </w:r>
          </w:p>
        </w:tc>
      </w:tr>
    </w:tbl>
    <w:p>
      <w:pPr>
        <w:spacing w:before="60" w:after="160"/>
        <w:jc w:val="center"/>
      </w:pPr>
      <w:r>
        <w:rPr>
          <w:rFonts w:ascii="Calibri" w:hAnsi="Calibri"/>
          <w:i/>
          <w:color w:val="5A5A5A"/>
          <w:sz w:val="17"/>
        </w:rPr>
        <w:t>Table 2. Hyperparameter optimization search ranges and selected settings.</w:t>
      </w:r>
    </w:p>
    <w:p>
      <w:r>
        <w:br w:type="page"/>
      </w:r>
    </w:p>
    <w:p>
      <w:pPr>
        <w:pStyle w:val="Heading1"/>
        <w:keepNext/>
        <w:spacing w:before="240" w:after="100"/>
      </w:pPr>
    </w:p>
    <w:p>
      <w:pPr>
        <w:spacing w:before="0" w:after="140" w:line="283" w:lineRule="auto"/>
      </w:pPr>
      <w:r>
        <w:rPr>
          <w:rFonts w:ascii="Calibri" w:hAnsi="Calibri"/>
          <w:color w:val="141F2B"/>
          <w:sz w:val="20"/>
        </w:rPr>
        <w:t>We tested four models using nested five-fold CV on the GEO training pool (n = 468) with the ten signature genes removed. Random Forest gave a mean CV ROC-AUC of 0.9832 (+/- 0.0094), XGBoost 0.9756 (+/- 0.0120), Logistic Regression 0.9801 (+/- 0.0092), and the MLP 0.9711 (+/- 0.0184). A simple Logistic Regression without SelectKBest gave a holdout accuracy of 0.9697; a majority-class baseline gave 0.4970.</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 (95% CI)</w:t>
            </w:r>
          </w:p>
        </w:tc>
        <w:tc>
          <w:tcPr>
            <w:tcW w:type="dxa" w:w="2469"/>
            <w:shd w:fill="F4F6F9"/>
            <w:vAlign w:val="center"/>
          </w:tcPr>
          <w:p>
            <w:pPr>
              <w:spacing w:after="0"/>
            </w:pPr>
            <w:r/>
            <w:r>
              <w:rPr>
                <w:rFonts w:ascii="Calibri" w:hAnsi="Calibri"/>
                <w:b/>
                <w:color w:val="141F2B"/>
                <w:sz w:val="16"/>
              </w:rPr>
              <w:t>Holdout ROC-AUC (95% CI)</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0.9801 (+/- 0.0092)</w:t>
            </w:r>
          </w:p>
        </w:tc>
        <w:tc>
          <w:tcPr>
            <w:tcW w:type="dxa" w:w="2469"/>
            <w:vAlign w:val="center"/>
          </w:tcPr>
          <w:p>
            <w:pPr>
              <w:spacing w:after="0"/>
            </w:pPr>
            <w:r/>
            <w:r>
              <w:rPr>
                <w:rFonts w:ascii="Calibri" w:hAnsi="Calibri"/>
                <w:b w:val="0"/>
                <w:sz w:val="16"/>
              </w:rPr>
              <w:t>0.9091 (95% CI: 0.8606-0.9515)</w:t>
            </w:r>
          </w:p>
        </w:tc>
        <w:tc>
          <w:tcPr>
            <w:tcW w:type="dxa" w:w="2469"/>
            <w:vAlign w:val="center"/>
          </w:tcPr>
          <w:p>
            <w:pPr>
              <w:spacing w:after="0"/>
            </w:pPr>
            <w:r/>
            <w:r>
              <w:rPr>
                <w:rFonts w:ascii="Calibri" w:hAnsi="Calibri"/>
                <w:b w:val="0"/>
                <w:sz w:val="16"/>
              </w:rPr>
              <w:t>0.9834 (95% CI: 0.9685-0.9943)</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0.9832 (+/- 0.0094)</w:t>
            </w:r>
          </w:p>
        </w:tc>
        <w:tc>
          <w:tcPr>
            <w:tcW w:type="dxa" w:w="2469"/>
            <w:vAlign w:val="center"/>
          </w:tcPr>
          <w:p>
            <w:pPr>
              <w:spacing w:after="0"/>
            </w:pPr>
            <w:r/>
            <w:r>
              <w:rPr>
                <w:rFonts w:ascii="Calibri" w:hAnsi="Calibri"/>
                <w:b w:val="0"/>
                <w:sz w:val="16"/>
              </w:rPr>
              <w:t>0.9394 (95% CI: 0.9030-0.9758)</w:t>
            </w:r>
          </w:p>
        </w:tc>
        <w:tc>
          <w:tcPr>
            <w:tcW w:type="dxa" w:w="2469"/>
            <w:vAlign w:val="center"/>
          </w:tcPr>
          <w:p>
            <w:pPr>
              <w:spacing w:after="0"/>
            </w:pPr>
            <w:r/>
            <w:r>
              <w:rPr>
                <w:rFonts w:ascii="Calibri" w:hAnsi="Calibri"/>
                <w:b w:val="0"/>
                <w:sz w:val="16"/>
              </w:rPr>
              <w:t>0.9881 (95% CI: 0.9763-0.9966)</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0.9756 (+/- 0.0120)</w:t>
            </w:r>
          </w:p>
        </w:tc>
        <w:tc>
          <w:tcPr>
            <w:tcW w:type="dxa" w:w="2469"/>
            <w:vAlign w:val="center"/>
          </w:tcPr>
          <w:p>
            <w:pPr>
              <w:spacing w:after="0"/>
            </w:pPr>
            <w:r/>
            <w:r>
              <w:rPr>
                <w:rFonts w:ascii="Calibri" w:hAnsi="Calibri"/>
                <w:b w:val="0"/>
                <w:sz w:val="16"/>
              </w:rPr>
              <w:t>0.9273 (95% CI: 0.8848-0.9697)</w:t>
            </w:r>
          </w:p>
        </w:tc>
        <w:tc>
          <w:tcPr>
            <w:tcW w:type="dxa" w:w="2469"/>
            <w:vAlign w:val="center"/>
          </w:tcPr>
          <w:p>
            <w:pPr>
              <w:spacing w:after="0"/>
            </w:pPr>
            <w:r/>
            <w:r>
              <w:rPr>
                <w:rFonts w:ascii="Calibri" w:hAnsi="Calibri"/>
                <w:b w:val="0"/>
                <w:sz w:val="16"/>
              </w:rPr>
              <w:t>0.9910 (95% CI: 0.9813-0.9978)</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0.9711 (+/- 0.0184)</w:t>
            </w:r>
          </w:p>
        </w:tc>
        <w:tc>
          <w:tcPr>
            <w:tcW w:type="dxa" w:w="2469"/>
            <w:vAlign w:val="center"/>
          </w:tcPr>
          <w:p>
            <w:pPr>
              <w:spacing w:after="0"/>
            </w:pPr>
            <w:r/>
            <w:r>
              <w:rPr>
                <w:rFonts w:ascii="Calibri" w:hAnsi="Calibri"/>
                <w:b w:val="0"/>
                <w:sz w:val="16"/>
              </w:rPr>
              <w:t>0.8970 (95% CI: 0.8485-0.9455)</w:t>
            </w:r>
          </w:p>
        </w:tc>
        <w:tc>
          <w:tcPr>
            <w:tcW w:type="dxa" w:w="2469"/>
            <w:vAlign w:val="center"/>
          </w:tcPr>
          <w:p>
            <w:pPr>
              <w:spacing w:after="0"/>
            </w:pPr>
            <w:r/>
            <w:r>
              <w:rPr>
                <w:rFonts w:ascii="Calibri" w:hAnsi="Calibri"/>
                <w:b w:val="0"/>
                <w:sz w:val="16"/>
              </w:rPr>
              <w:t>0.9812 (95% CI: 0.9647-0.9937)</w:t>
            </w:r>
          </w:p>
        </w:tc>
      </w:tr>
    </w:tbl>
    <w:p>
      <w:pPr>
        <w:spacing w:before="60" w:after="160"/>
        <w:jc w:val="center"/>
      </w:pPr>
      <w:r>
        <w:rPr>
          <w:rFonts w:ascii="Calibri" w:hAnsi="Calibri"/>
          <w:i/>
          <w:color w:val="5A5A5A"/>
          <w:sz w:val="17"/>
        </w:rPr>
        <w:t>Table 3. Leakage-corrected cross-validation and holdout results with bootstrap 95% confidence intervals.</w:t>
      </w:r>
    </w:p>
    <w:p>
      <w:pPr>
        <w:spacing w:before="40" w:after="40"/>
        <w:jc w:val="center"/>
      </w:pPr>
      <w:r>
        <w:drawing>
          <wp:inline xmlns:a="http://schemas.openxmlformats.org/drawingml/2006/main" xmlns:pic="http://schemas.openxmlformats.org/drawingml/2006/picture">
            <wp:extent cx="4754880" cy="3803904"/>
            <wp:docPr id="1" name="Picture 1"/>
            <wp:cNvGraphicFramePr>
              <a:graphicFrameLocks noChangeAspect="1"/>
            </wp:cNvGraphicFramePr>
            <a:graphic>
              <a:graphicData uri="http://schemas.openxmlformats.org/drawingml/2006/picture">
                <pic:pic>
                  <pic:nvPicPr>
                    <pic:cNvPr id="0" name="calibration_comparison_curves.png"/>
                    <pic:cNvPicPr/>
                  </pic:nvPicPr>
                  <pic:blipFill>
                    <a:blip r:embed="rId10"/>
                    <a:stretch>
                      <a:fillRect/>
                    </a:stretch>
                  </pic:blipFill>
                  <pic:spPr>
                    <a:xfrm>
                      <a:off x="0" y="0"/>
                      <a:ext cx="4754880" cy="3803904"/>
                    </a:xfrm>
                    <a:prstGeom prst="rect"/>
                  </pic:spPr>
                </pic:pic>
              </a:graphicData>
            </a:graphic>
          </wp:inline>
        </w:drawing>
      </w:r>
    </w:p>
    <w:p>
      <w:pPr>
        <w:spacing w:before="60" w:after="160"/>
        <w:jc w:val="center"/>
      </w:pPr>
      <w:r>
        <w:rPr>
          <w:rFonts w:ascii="Calibri" w:hAnsi="Calibri"/>
          <w:i/>
          <w:color w:val="5A5A5A"/>
          <w:sz w:val="17"/>
        </w:rPr>
        <w:t>Figure 1. Calibration curves showing observed positive fraction vs. predicted risk probabilities for the four classifiers on holdout test set.</w:t>
      </w:r>
    </w:p>
    <w:p>
      <w:pPr>
        <w:spacing w:before="0" w:after="140" w:line="283" w:lineRule="auto"/>
      </w:pPr>
      <w:r>
        <w:rPr>
          <w:rFonts w:ascii="Calibri" w:hAnsi="Calibri"/>
          <w:color w:val="141F2B"/>
          <w:sz w:val="20"/>
        </w:rPr>
        <w:t>On the holdout (n = 117), Logistic Regression gave an ROC-AUC of 0.9834 (95% CI: 0.9685-0.9943) and accuracy of 0.9487. On holdout: Logistic Regression (Brier=0.0523, ECE=0.0548), Random Forest (Brier=0.0530, ECE=0.0653), XGBoost (Brier=0.0461, ECE=0.0481), Neural Network (MLP) (Brier=0.0566, ECE=0.0625). Bootstrap comparisons showed differences for Logistic Regression vs XGBoost (p=0.0351); XGBoost vs Neural Network (MLP) (p=0.0369). External validation on TCGA (n = 322) maintained rank-ordering: Random Forest calibrated AUC 0.973, accuracy 0.921; XGBoost calibrated AUC 0.968, accuracy 0.903. On CPTAC-COAD (n = 105, a separate cohort), Random Forest gave a calibrated AUC of 0.9487 and accuracy of 0.8679. Full results: Logistic Regression (AUC=0.8832, Acc=0.7925); Random Forest (AUC=0.9487, Acc=0.8679); XGBoost (AUC=0.9231, Acc=0.8302); Neural Network (MLP) (AUC=0.9402, Acc=0.8302).</w:t>
      </w:r>
    </w:p>
    <w:p>
      <w:r>
        <w:br w:type="page"/>
      </w:r>
    </w:p>
    <w:p>
      <w:pPr>
        <w:pStyle w:val="Heading1"/>
        <w:keepNext/>
        <w:spacing w:before="240" w:after="100"/>
      </w:pPr>
    </w:p>
    <w:p>
      <w:pPr>
        <w:spacing w:before="0" w:after="140" w:line="283" w:lineRule="auto"/>
      </w:pPr>
      <w:r>
        <w:rPr>
          <w:rFonts w:ascii="Calibri" w:hAnsi="Calibri"/>
          <w:color w:val="141F2B"/>
          <w:sz w:val="20"/>
        </w:rPr>
        <w:t>SHAP values were computed from pipeline-transformed features. Because the ten signature genes were removed, the top features are correlates of proliferation, not artifacts of target construction. Top ANOVA-ranked features are in Table 4.</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Rank</w:t>
            </w:r>
          </w:p>
        </w:tc>
        <w:tc>
          <w:tcPr>
            <w:tcW w:type="dxa" w:w="2469"/>
            <w:shd w:fill="F4F6F9"/>
            <w:vAlign w:val="center"/>
          </w:tcPr>
          <w:p>
            <w:pPr>
              <w:spacing w:after="0"/>
            </w:pPr>
            <w:r/>
            <w:r>
              <w:rPr>
                <w:rFonts w:ascii="Calibri" w:hAnsi="Calibri"/>
                <w:b/>
                <w:color w:val="141F2B"/>
                <w:sz w:val="17"/>
              </w:rPr>
              <w:t>Gene Symbol</w:t>
            </w:r>
          </w:p>
        </w:tc>
        <w:tc>
          <w:tcPr>
            <w:tcW w:type="dxa" w:w="2469"/>
            <w:shd w:fill="F4F6F9"/>
            <w:vAlign w:val="center"/>
          </w:tcPr>
          <w:p>
            <w:pPr>
              <w:spacing w:after="0"/>
            </w:pPr>
            <w:r/>
            <w:r>
              <w:rPr>
                <w:rFonts w:ascii="Calibri" w:hAnsi="Calibri"/>
                <w:b/>
                <w:color w:val="141F2B"/>
                <w:sz w:val="17"/>
              </w:rPr>
              <w:t>ANOVA F-Score</w:t>
            </w:r>
          </w:p>
        </w:tc>
        <w:tc>
          <w:tcPr>
            <w:tcW w:type="dxa" w:w="2469"/>
            <w:shd w:fill="F4F6F9"/>
            <w:vAlign w:val="center"/>
          </w:tcPr>
          <w:p>
            <w:pPr>
              <w:spacing w:after="0"/>
            </w:pPr>
            <w:r/>
            <w:r>
              <w:rPr>
                <w:rFonts w:ascii="Calibri" w:hAnsi="Calibri"/>
                <w:b/>
                <w:color w:val="141F2B"/>
                <w:sz w:val="17"/>
              </w:rPr>
              <w:t>CV Selection Frequency</w:t>
            </w:r>
          </w:p>
        </w:tc>
      </w:tr>
      <w:tr>
        <w:tc>
          <w:tcPr>
            <w:tcW w:type="dxa" w:w="2469"/>
            <w:vAlign w:val="center"/>
          </w:tcPr>
          <w:p>
            <w:pPr>
              <w:spacing w:after="0"/>
            </w:pPr>
            <w:r/>
            <w:r>
              <w:rPr>
                <w:rFonts w:ascii="Calibri" w:hAnsi="Calibri"/>
                <w:b w:val="0"/>
                <w:sz w:val="16"/>
              </w:rPr>
              <w:t>1</w:t>
            </w:r>
          </w:p>
        </w:tc>
        <w:tc>
          <w:tcPr>
            <w:tcW w:type="dxa" w:w="2469"/>
            <w:vAlign w:val="center"/>
          </w:tcPr>
          <w:p>
            <w:pPr>
              <w:spacing w:after="0"/>
            </w:pPr>
            <w:r/>
            <w:r>
              <w:rPr>
                <w:rFonts w:ascii="Calibri" w:hAnsi="Calibri"/>
                <w:b w:val="0"/>
                <w:sz w:val="16"/>
              </w:rPr>
              <w:t>MCM10</w:t>
            </w:r>
          </w:p>
        </w:tc>
        <w:tc>
          <w:tcPr>
            <w:tcW w:type="dxa" w:w="2469"/>
            <w:vAlign w:val="center"/>
          </w:tcPr>
          <w:p>
            <w:pPr>
              <w:spacing w:after="0"/>
            </w:pPr>
            <w:r/>
            <w:r>
              <w:rPr>
                <w:rFonts w:ascii="Calibri" w:hAnsi="Calibri"/>
                <w:b w:val="0"/>
                <w:sz w:val="16"/>
              </w:rPr>
              <w:t>886.276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w:t>
            </w:r>
          </w:p>
        </w:tc>
        <w:tc>
          <w:tcPr>
            <w:tcW w:type="dxa" w:w="2469"/>
            <w:vAlign w:val="center"/>
          </w:tcPr>
          <w:p>
            <w:pPr>
              <w:spacing w:after="0"/>
            </w:pPr>
            <w:r/>
            <w:r>
              <w:rPr>
                <w:rFonts w:ascii="Calibri" w:hAnsi="Calibri"/>
                <w:b w:val="0"/>
                <w:sz w:val="16"/>
              </w:rPr>
              <w:t>NCAPH</w:t>
            </w:r>
          </w:p>
        </w:tc>
        <w:tc>
          <w:tcPr>
            <w:tcW w:type="dxa" w:w="2469"/>
            <w:vAlign w:val="center"/>
          </w:tcPr>
          <w:p>
            <w:pPr>
              <w:spacing w:after="0"/>
            </w:pPr>
            <w:r/>
            <w:r>
              <w:rPr>
                <w:rFonts w:ascii="Calibri" w:hAnsi="Calibri"/>
                <w:b w:val="0"/>
                <w:sz w:val="16"/>
              </w:rPr>
              <w:t>849.649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3</w:t>
            </w:r>
          </w:p>
        </w:tc>
        <w:tc>
          <w:tcPr>
            <w:tcW w:type="dxa" w:w="2469"/>
            <w:vAlign w:val="center"/>
          </w:tcPr>
          <w:p>
            <w:pPr>
              <w:spacing w:after="0"/>
            </w:pPr>
            <w:r/>
            <w:r>
              <w:rPr>
                <w:rFonts w:ascii="Calibri" w:hAnsi="Calibri"/>
                <w:b w:val="0"/>
                <w:sz w:val="16"/>
              </w:rPr>
              <w:t>EXO1</w:t>
            </w:r>
          </w:p>
        </w:tc>
        <w:tc>
          <w:tcPr>
            <w:tcW w:type="dxa" w:w="2469"/>
            <w:vAlign w:val="center"/>
          </w:tcPr>
          <w:p>
            <w:pPr>
              <w:spacing w:after="0"/>
            </w:pPr>
            <w:r/>
            <w:r>
              <w:rPr>
                <w:rFonts w:ascii="Calibri" w:hAnsi="Calibri"/>
                <w:b w:val="0"/>
                <w:sz w:val="16"/>
              </w:rPr>
              <w:t>836.489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4</w:t>
            </w:r>
          </w:p>
        </w:tc>
        <w:tc>
          <w:tcPr>
            <w:tcW w:type="dxa" w:w="2469"/>
            <w:vAlign w:val="center"/>
          </w:tcPr>
          <w:p>
            <w:pPr>
              <w:spacing w:after="0"/>
            </w:pPr>
            <w:r/>
            <w:r>
              <w:rPr>
                <w:rFonts w:ascii="Calibri" w:hAnsi="Calibri"/>
                <w:b w:val="0"/>
                <w:sz w:val="16"/>
              </w:rPr>
              <w:t>MTFR2</w:t>
            </w:r>
          </w:p>
        </w:tc>
        <w:tc>
          <w:tcPr>
            <w:tcW w:type="dxa" w:w="2469"/>
            <w:vAlign w:val="center"/>
          </w:tcPr>
          <w:p>
            <w:pPr>
              <w:spacing w:after="0"/>
            </w:pPr>
            <w:r/>
            <w:r>
              <w:rPr>
                <w:rFonts w:ascii="Calibri" w:hAnsi="Calibri"/>
                <w:b w:val="0"/>
                <w:sz w:val="16"/>
              </w:rPr>
              <w:t>827.047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5</w:t>
            </w:r>
          </w:p>
        </w:tc>
        <w:tc>
          <w:tcPr>
            <w:tcW w:type="dxa" w:w="2469"/>
            <w:vAlign w:val="center"/>
          </w:tcPr>
          <w:p>
            <w:pPr>
              <w:spacing w:after="0"/>
            </w:pPr>
            <w:r/>
            <w:r>
              <w:rPr>
                <w:rFonts w:ascii="Calibri" w:hAnsi="Calibri"/>
                <w:b w:val="0"/>
                <w:sz w:val="16"/>
              </w:rPr>
              <w:t>ORC1</w:t>
            </w:r>
          </w:p>
        </w:tc>
        <w:tc>
          <w:tcPr>
            <w:tcW w:type="dxa" w:w="2469"/>
            <w:vAlign w:val="center"/>
          </w:tcPr>
          <w:p>
            <w:pPr>
              <w:spacing w:after="0"/>
            </w:pPr>
            <w:r/>
            <w:r>
              <w:rPr>
                <w:rFonts w:ascii="Calibri" w:hAnsi="Calibri"/>
                <w:b w:val="0"/>
                <w:sz w:val="16"/>
              </w:rPr>
              <w:t>792.038</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6</w:t>
            </w:r>
          </w:p>
        </w:tc>
        <w:tc>
          <w:tcPr>
            <w:tcW w:type="dxa" w:w="2469"/>
            <w:vAlign w:val="center"/>
          </w:tcPr>
          <w:p>
            <w:pPr>
              <w:spacing w:after="0"/>
            </w:pPr>
            <w:r/>
            <w:r>
              <w:rPr>
                <w:rFonts w:ascii="Calibri" w:hAnsi="Calibri"/>
                <w:b w:val="0"/>
                <w:sz w:val="16"/>
              </w:rPr>
              <w:t>FANCI</w:t>
            </w:r>
          </w:p>
        </w:tc>
        <w:tc>
          <w:tcPr>
            <w:tcW w:type="dxa" w:w="2469"/>
            <w:vAlign w:val="center"/>
          </w:tcPr>
          <w:p>
            <w:pPr>
              <w:spacing w:after="0"/>
            </w:pPr>
            <w:r/>
            <w:r>
              <w:rPr>
                <w:rFonts w:ascii="Calibri" w:hAnsi="Calibri"/>
                <w:b w:val="0"/>
                <w:sz w:val="16"/>
              </w:rPr>
              <w:t>790.832</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7</w:t>
            </w:r>
          </w:p>
        </w:tc>
        <w:tc>
          <w:tcPr>
            <w:tcW w:type="dxa" w:w="2469"/>
            <w:vAlign w:val="center"/>
          </w:tcPr>
          <w:p>
            <w:pPr>
              <w:spacing w:after="0"/>
            </w:pPr>
            <w:r/>
            <w:r>
              <w:rPr>
                <w:rFonts w:ascii="Calibri" w:hAnsi="Calibri"/>
                <w:b w:val="0"/>
                <w:sz w:val="16"/>
              </w:rPr>
              <w:t>CENPN</w:t>
            </w:r>
          </w:p>
        </w:tc>
        <w:tc>
          <w:tcPr>
            <w:tcW w:type="dxa" w:w="2469"/>
            <w:vAlign w:val="center"/>
          </w:tcPr>
          <w:p>
            <w:pPr>
              <w:spacing w:after="0"/>
            </w:pPr>
            <w:r/>
            <w:r>
              <w:rPr>
                <w:rFonts w:ascii="Calibri" w:hAnsi="Calibri"/>
                <w:b w:val="0"/>
                <w:sz w:val="16"/>
              </w:rPr>
              <w:t>782.427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8</w:t>
            </w:r>
          </w:p>
        </w:tc>
        <w:tc>
          <w:tcPr>
            <w:tcW w:type="dxa" w:w="2469"/>
            <w:vAlign w:val="center"/>
          </w:tcPr>
          <w:p>
            <w:pPr>
              <w:spacing w:after="0"/>
            </w:pPr>
            <w:r/>
            <w:r>
              <w:rPr>
                <w:rFonts w:ascii="Calibri" w:hAnsi="Calibri"/>
                <w:b w:val="0"/>
                <w:sz w:val="16"/>
              </w:rPr>
              <w:t>NCAPD3</w:t>
            </w:r>
          </w:p>
        </w:tc>
        <w:tc>
          <w:tcPr>
            <w:tcW w:type="dxa" w:w="2469"/>
            <w:vAlign w:val="center"/>
          </w:tcPr>
          <w:p>
            <w:pPr>
              <w:spacing w:after="0"/>
            </w:pPr>
            <w:r/>
            <w:r>
              <w:rPr>
                <w:rFonts w:ascii="Calibri" w:hAnsi="Calibri"/>
                <w:b w:val="0"/>
                <w:sz w:val="16"/>
              </w:rPr>
              <w:t>776.616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9</w:t>
            </w:r>
          </w:p>
        </w:tc>
        <w:tc>
          <w:tcPr>
            <w:tcW w:type="dxa" w:w="2469"/>
            <w:vAlign w:val="center"/>
          </w:tcPr>
          <w:p>
            <w:pPr>
              <w:spacing w:after="0"/>
            </w:pPr>
            <w:r/>
            <w:r>
              <w:rPr>
                <w:rFonts w:ascii="Calibri" w:hAnsi="Calibri"/>
                <w:b w:val="0"/>
                <w:sz w:val="16"/>
              </w:rPr>
              <w:t>CHEK1</w:t>
            </w:r>
          </w:p>
        </w:tc>
        <w:tc>
          <w:tcPr>
            <w:tcW w:type="dxa" w:w="2469"/>
            <w:vAlign w:val="center"/>
          </w:tcPr>
          <w:p>
            <w:pPr>
              <w:spacing w:after="0"/>
            </w:pPr>
            <w:r/>
            <w:r>
              <w:rPr>
                <w:rFonts w:ascii="Calibri" w:hAnsi="Calibri"/>
                <w:b w:val="0"/>
                <w:sz w:val="16"/>
              </w:rPr>
              <w:t>769.846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10</w:t>
            </w:r>
          </w:p>
        </w:tc>
        <w:tc>
          <w:tcPr>
            <w:tcW w:type="dxa" w:w="2469"/>
            <w:vAlign w:val="center"/>
          </w:tcPr>
          <w:p>
            <w:pPr>
              <w:spacing w:after="0"/>
            </w:pPr>
            <w:r/>
            <w:r>
              <w:rPr>
                <w:rFonts w:ascii="Calibri" w:hAnsi="Calibri"/>
                <w:b w:val="0"/>
                <w:sz w:val="16"/>
              </w:rPr>
              <w:t>AUNIP</w:t>
            </w:r>
          </w:p>
        </w:tc>
        <w:tc>
          <w:tcPr>
            <w:tcW w:type="dxa" w:w="2469"/>
            <w:vAlign w:val="center"/>
          </w:tcPr>
          <w:p>
            <w:pPr>
              <w:spacing w:after="0"/>
            </w:pPr>
            <w:r/>
            <w:r>
              <w:rPr>
                <w:rFonts w:ascii="Calibri" w:hAnsi="Calibri"/>
                <w:b w:val="0"/>
                <w:sz w:val="16"/>
              </w:rPr>
              <w:t>759.041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11</w:t>
            </w:r>
          </w:p>
        </w:tc>
        <w:tc>
          <w:tcPr>
            <w:tcW w:type="dxa" w:w="2469"/>
            <w:vAlign w:val="center"/>
          </w:tcPr>
          <w:p>
            <w:pPr>
              <w:spacing w:after="0"/>
            </w:pPr>
            <w:r/>
            <w:r>
              <w:rPr>
                <w:rFonts w:ascii="Calibri" w:hAnsi="Calibri"/>
                <w:b w:val="0"/>
                <w:sz w:val="16"/>
              </w:rPr>
              <w:t>PLK4</w:t>
            </w:r>
          </w:p>
        </w:tc>
        <w:tc>
          <w:tcPr>
            <w:tcW w:type="dxa" w:w="2469"/>
            <w:vAlign w:val="center"/>
          </w:tcPr>
          <w:p>
            <w:pPr>
              <w:spacing w:after="0"/>
            </w:pPr>
            <w:r/>
            <w:r>
              <w:rPr>
                <w:rFonts w:ascii="Calibri" w:hAnsi="Calibri"/>
                <w:b w:val="0"/>
                <w:sz w:val="16"/>
              </w:rPr>
              <w:t>751.620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12</w:t>
            </w:r>
          </w:p>
        </w:tc>
        <w:tc>
          <w:tcPr>
            <w:tcW w:type="dxa" w:w="2469"/>
            <w:vAlign w:val="center"/>
          </w:tcPr>
          <w:p>
            <w:pPr>
              <w:spacing w:after="0"/>
            </w:pPr>
            <w:r/>
            <w:r>
              <w:rPr>
                <w:rFonts w:ascii="Calibri" w:hAnsi="Calibri"/>
                <w:b w:val="0"/>
                <w:sz w:val="16"/>
              </w:rPr>
              <w:t>FBXO5</w:t>
            </w:r>
          </w:p>
        </w:tc>
        <w:tc>
          <w:tcPr>
            <w:tcW w:type="dxa" w:w="2469"/>
            <w:vAlign w:val="center"/>
          </w:tcPr>
          <w:p>
            <w:pPr>
              <w:spacing w:after="0"/>
            </w:pPr>
            <w:r/>
            <w:r>
              <w:rPr>
                <w:rFonts w:ascii="Calibri" w:hAnsi="Calibri"/>
                <w:b w:val="0"/>
                <w:sz w:val="16"/>
              </w:rPr>
              <w:t>750.786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13</w:t>
            </w:r>
          </w:p>
        </w:tc>
        <w:tc>
          <w:tcPr>
            <w:tcW w:type="dxa" w:w="2469"/>
            <w:vAlign w:val="center"/>
          </w:tcPr>
          <w:p>
            <w:pPr>
              <w:spacing w:after="0"/>
            </w:pPr>
            <w:r/>
            <w:r>
              <w:rPr>
                <w:rFonts w:ascii="Calibri" w:hAnsi="Calibri"/>
                <w:b w:val="0"/>
                <w:sz w:val="16"/>
              </w:rPr>
              <w:t>POLE2</w:t>
            </w:r>
          </w:p>
        </w:tc>
        <w:tc>
          <w:tcPr>
            <w:tcW w:type="dxa" w:w="2469"/>
            <w:vAlign w:val="center"/>
          </w:tcPr>
          <w:p>
            <w:pPr>
              <w:spacing w:after="0"/>
            </w:pPr>
            <w:r/>
            <w:r>
              <w:rPr>
                <w:rFonts w:ascii="Calibri" w:hAnsi="Calibri"/>
                <w:b w:val="0"/>
                <w:sz w:val="16"/>
              </w:rPr>
              <w:t>744.791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14</w:t>
            </w:r>
          </w:p>
        </w:tc>
        <w:tc>
          <w:tcPr>
            <w:tcW w:type="dxa" w:w="2469"/>
            <w:vAlign w:val="center"/>
          </w:tcPr>
          <w:p>
            <w:pPr>
              <w:spacing w:after="0"/>
            </w:pPr>
            <w:r/>
            <w:r>
              <w:rPr>
                <w:rFonts w:ascii="Calibri" w:hAnsi="Calibri"/>
                <w:b w:val="0"/>
                <w:sz w:val="16"/>
              </w:rPr>
              <w:t>CCNF</w:t>
            </w:r>
          </w:p>
        </w:tc>
        <w:tc>
          <w:tcPr>
            <w:tcW w:type="dxa" w:w="2469"/>
            <w:vAlign w:val="center"/>
          </w:tcPr>
          <w:p>
            <w:pPr>
              <w:spacing w:after="0"/>
            </w:pPr>
            <w:r/>
            <w:r>
              <w:rPr>
                <w:rFonts w:ascii="Calibri" w:hAnsi="Calibri"/>
                <w:b w:val="0"/>
                <w:sz w:val="16"/>
              </w:rPr>
              <w:t>737.666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15</w:t>
            </w:r>
          </w:p>
        </w:tc>
        <w:tc>
          <w:tcPr>
            <w:tcW w:type="dxa" w:w="2469"/>
            <w:vAlign w:val="center"/>
          </w:tcPr>
          <w:p>
            <w:pPr>
              <w:spacing w:after="0"/>
            </w:pPr>
            <w:r/>
            <w:r>
              <w:rPr>
                <w:rFonts w:ascii="Calibri" w:hAnsi="Calibri"/>
                <w:b w:val="0"/>
                <w:sz w:val="16"/>
              </w:rPr>
              <w:t>OIP5</w:t>
            </w:r>
          </w:p>
        </w:tc>
        <w:tc>
          <w:tcPr>
            <w:tcW w:type="dxa" w:w="2469"/>
            <w:vAlign w:val="center"/>
          </w:tcPr>
          <w:p>
            <w:pPr>
              <w:spacing w:after="0"/>
            </w:pPr>
            <w:r/>
            <w:r>
              <w:rPr>
                <w:rFonts w:ascii="Calibri" w:hAnsi="Calibri"/>
                <w:b w:val="0"/>
                <w:sz w:val="16"/>
              </w:rPr>
              <w:t>734.686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16</w:t>
            </w:r>
          </w:p>
        </w:tc>
        <w:tc>
          <w:tcPr>
            <w:tcW w:type="dxa" w:w="2469"/>
            <w:vAlign w:val="center"/>
          </w:tcPr>
          <w:p>
            <w:pPr>
              <w:spacing w:after="0"/>
            </w:pPr>
            <w:r/>
            <w:r>
              <w:rPr>
                <w:rFonts w:ascii="Calibri" w:hAnsi="Calibri"/>
                <w:b w:val="0"/>
                <w:sz w:val="16"/>
              </w:rPr>
              <w:t>NEMP1</w:t>
            </w:r>
          </w:p>
        </w:tc>
        <w:tc>
          <w:tcPr>
            <w:tcW w:type="dxa" w:w="2469"/>
            <w:vAlign w:val="center"/>
          </w:tcPr>
          <w:p>
            <w:pPr>
              <w:spacing w:after="0"/>
            </w:pPr>
            <w:r/>
            <w:r>
              <w:rPr>
                <w:rFonts w:ascii="Calibri" w:hAnsi="Calibri"/>
                <w:b w:val="0"/>
                <w:sz w:val="16"/>
              </w:rPr>
              <w:t>733.817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17</w:t>
            </w:r>
          </w:p>
        </w:tc>
        <w:tc>
          <w:tcPr>
            <w:tcW w:type="dxa" w:w="2469"/>
            <w:vAlign w:val="center"/>
          </w:tcPr>
          <w:p>
            <w:pPr>
              <w:spacing w:after="0"/>
            </w:pPr>
            <w:r/>
            <w:r>
              <w:rPr>
                <w:rFonts w:ascii="Calibri" w:hAnsi="Calibri"/>
                <w:b w:val="0"/>
                <w:sz w:val="16"/>
              </w:rPr>
              <w:t>PRIM1</w:t>
            </w:r>
          </w:p>
        </w:tc>
        <w:tc>
          <w:tcPr>
            <w:tcW w:type="dxa" w:w="2469"/>
            <w:vAlign w:val="center"/>
          </w:tcPr>
          <w:p>
            <w:pPr>
              <w:spacing w:after="0"/>
            </w:pPr>
            <w:r/>
            <w:r>
              <w:rPr>
                <w:rFonts w:ascii="Calibri" w:hAnsi="Calibri"/>
                <w:b w:val="0"/>
                <w:sz w:val="16"/>
              </w:rPr>
              <w:t>731.574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18</w:t>
            </w:r>
          </w:p>
        </w:tc>
        <w:tc>
          <w:tcPr>
            <w:tcW w:type="dxa" w:w="2469"/>
            <w:vAlign w:val="center"/>
          </w:tcPr>
          <w:p>
            <w:pPr>
              <w:spacing w:after="0"/>
            </w:pPr>
            <w:r/>
            <w:r>
              <w:rPr>
                <w:rFonts w:ascii="Calibri" w:hAnsi="Calibri"/>
                <w:b w:val="0"/>
                <w:sz w:val="16"/>
              </w:rPr>
              <w:t>CHEK2</w:t>
            </w:r>
          </w:p>
        </w:tc>
        <w:tc>
          <w:tcPr>
            <w:tcW w:type="dxa" w:w="2469"/>
            <w:vAlign w:val="center"/>
          </w:tcPr>
          <w:p>
            <w:pPr>
              <w:spacing w:after="0"/>
            </w:pPr>
            <w:r/>
            <w:r>
              <w:rPr>
                <w:rFonts w:ascii="Calibri" w:hAnsi="Calibri"/>
                <w:b w:val="0"/>
                <w:sz w:val="16"/>
              </w:rPr>
              <w:t>729.750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19</w:t>
            </w:r>
          </w:p>
        </w:tc>
        <w:tc>
          <w:tcPr>
            <w:tcW w:type="dxa" w:w="2469"/>
            <w:vAlign w:val="center"/>
          </w:tcPr>
          <w:p>
            <w:pPr>
              <w:spacing w:after="0"/>
            </w:pPr>
            <w:r/>
            <w:r>
              <w:rPr>
                <w:rFonts w:ascii="Calibri" w:hAnsi="Calibri"/>
                <w:b w:val="0"/>
                <w:sz w:val="16"/>
              </w:rPr>
              <w:t>NEIL3</w:t>
            </w:r>
          </w:p>
        </w:tc>
        <w:tc>
          <w:tcPr>
            <w:tcW w:type="dxa" w:w="2469"/>
            <w:vAlign w:val="center"/>
          </w:tcPr>
          <w:p>
            <w:pPr>
              <w:spacing w:after="0"/>
            </w:pPr>
            <w:r/>
            <w:r>
              <w:rPr>
                <w:rFonts w:ascii="Calibri" w:hAnsi="Calibri"/>
                <w:b w:val="0"/>
                <w:sz w:val="16"/>
              </w:rPr>
              <w:t>728.787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20</w:t>
            </w:r>
          </w:p>
        </w:tc>
        <w:tc>
          <w:tcPr>
            <w:tcW w:type="dxa" w:w="2469"/>
            <w:vAlign w:val="center"/>
          </w:tcPr>
          <w:p>
            <w:pPr>
              <w:spacing w:after="0"/>
            </w:pPr>
            <w:r/>
            <w:r>
              <w:rPr>
                <w:rFonts w:ascii="Calibri" w:hAnsi="Calibri"/>
                <w:b w:val="0"/>
                <w:sz w:val="16"/>
              </w:rPr>
              <w:t>NUSAP1</w:t>
            </w:r>
          </w:p>
        </w:tc>
        <w:tc>
          <w:tcPr>
            <w:tcW w:type="dxa" w:w="2469"/>
            <w:vAlign w:val="center"/>
          </w:tcPr>
          <w:p>
            <w:pPr>
              <w:spacing w:after="0"/>
            </w:pPr>
            <w:r/>
            <w:r>
              <w:rPr>
                <w:rFonts w:ascii="Calibri" w:hAnsi="Calibri"/>
                <w:b w:val="0"/>
                <w:sz w:val="16"/>
              </w:rPr>
              <w:t>728.209</w:t>
            </w:r>
          </w:p>
        </w:tc>
        <w:tc>
          <w:tcPr>
            <w:tcW w:type="dxa" w:w="2469"/>
            <w:vAlign w:val="center"/>
          </w:tcPr>
          <w:p>
            <w:pPr>
              <w:spacing w:after="0"/>
            </w:pPr>
            <w:r/>
            <w:r>
              <w:rPr>
                <w:rFonts w:ascii="Calibri" w:hAnsi="Calibri"/>
                <w:b w:val="0"/>
                <w:sz w:val="16"/>
              </w:rPr>
              <w:t>5 / 5</w:t>
            </w:r>
          </w:p>
        </w:tc>
      </w:tr>
    </w:tbl>
    <w:p>
      <w:pPr>
        <w:spacing w:before="60" w:after="160"/>
        <w:jc w:val="center"/>
      </w:pPr>
      <w:r>
        <w:rPr>
          <w:rFonts w:ascii="Calibri" w:hAnsi="Calibri"/>
          <w:i/>
          <w:color w:val="5A5A5A"/>
          <w:sz w:val="17"/>
        </w:rPr>
        <w:t>Table 4. Top selected transcriptomic feature genes ranked by ANOVA F-score.</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showing feature impact (red/high, blue/low expression) on proliferation class prediction.</w:t>
      </w:r>
    </w:p>
    <w:p>
      <w:pPr>
        <w:spacing w:before="0" w:after="140" w:line="283" w:lineRule="auto"/>
      </w:pPr>
      <w:r>
        <w:rPr>
          <w:rFonts w:ascii="Calibri" w:hAnsi="Calibri"/>
          <w:color w:val="141F2B"/>
          <w:sz w:val="20"/>
        </w:rPr>
        <w:t>The top 30 SHAP features were tested against KEGG and GO databases. Significant enrichment appeared in pathways downstream of cell-cycle regulation (Figure 3).</w:t>
      </w:r>
    </w:p>
    <w:p>
      <w:pPr>
        <w:spacing w:before="40" w:after="40"/>
        <w:jc w:val="center"/>
      </w:pPr>
      <w:r>
        <w:drawing>
          <wp:inline xmlns:a="http://schemas.openxmlformats.org/drawingml/2006/main" xmlns:pic="http://schemas.openxmlformats.org/drawingml/2006/picture">
            <wp:extent cx="4892040" cy="2717800"/>
            <wp:docPr id="3" name="Picture 3"/>
            <wp:cNvGraphicFramePr>
              <a:graphicFrameLocks noChangeAspect="1"/>
            </wp:cNvGraphicFramePr>
            <a:graphic>
              <a:graphicData uri="http://schemas.openxmlformats.org/drawingml/2006/picture">
                <pic:pic>
                  <pic:nvPicPr>
                    <pic:cNvPr id="0" name="pathway_enrichment.png"/>
                    <pic:cNvPicPr/>
                  </pic:nvPicPr>
                  <pic:blipFill>
                    <a:blip r:embed="rId12"/>
                    <a:stretch>
                      <a:fillRect/>
                    </a:stretch>
                  </pic:blipFill>
                  <pic:spPr>
                    <a:xfrm>
                      <a:off x="0" y="0"/>
                      <a:ext cx="4892040" cy="2717800"/>
                    </a:xfrm>
                    <a:prstGeom prst="rect"/>
                  </pic:spPr>
                </pic:pic>
              </a:graphicData>
            </a:graphic>
          </wp:inline>
        </w:drawing>
      </w:r>
    </w:p>
    <w:p>
      <w:pPr>
        <w:spacing w:before="60" w:after="160"/>
        <w:jc w:val="center"/>
      </w:pPr>
      <w:r>
        <w:rPr>
          <w:rFonts w:ascii="Calibri" w:hAnsi="Calibri"/>
          <w:i/>
          <w:color w:val="5A5A5A"/>
          <w:sz w:val="17"/>
        </w:rPr>
        <w:t>Figure 3. Enriched biological pathways (FDR &lt; 0.05) representing transcriptomic cascade signatures downstream of cancer cell division.</w:t>
      </w:r>
    </w:p>
    <w:p>
      <w:pPr>
        <w:spacing w:before="0" w:after="140" w:line="283" w:lineRule="auto"/>
      </w:pPr>
      <w:r>
        <w:rPr>
          <w:rFonts w:ascii="Calibri" w:hAnsi="Calibri"/>
          <w:color w:val="141F2B"/>
          <w:sz w:val="20"/>
        </w:rPr>
        <w:t>Decision Curve Analysis (Figure 4) showed that all four models gave higher net benefit than treating all patients or none.</w:t>
      </w:r>
    </w:p>
    <w:p>
      <w:pPr>
        <w:spacing w:before="40" w:after="40"/>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clinical_dca.png"/>
                    <pic:cNvPicPr/>
                  </pic:nvPicPr>
                  <pic:blipFill>
                    <a:blip r:embed="rId13"/>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4. Clinical Decision Curve Analysis comparing Net Benefit of model-guided stratification vs. default intervention strategies.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Model</w:t>
            </w:r>
          </w:p>
        </w:tc>
        <w:tc>
          <w:tcPr>
            <w:tcW w:type="dxa" w:w="1411"/>
            <w:shd w:fill="F4F6F9"/>
            <w:vAlign w:val="center"/>
          </w:tcPr>
          <w:p>
            <w:pPr>
              <w:spacing w:after="0"/>
            </w:pPr>
            <w:r/>
            <w:r>
              <w:rPr>
                <w:rFonts w:ascii="Calibri" w:hAnsi="Calibri"/>
                <w:b/>
                <w:color w:val="141F2B"/>
                <w:sz w:val="16"/>
              </w:rPr>
              <w:t>Threshold</w:t>
            </w:r>
          </w:p>
        </w:tc>
        <w:tc>
          <w:tcPr>
            <w:tcW w:type="dxa" w:w="1411"/>
            <w:shd w:fill="F4F6F9"/>
            <w:vAlign w:val="center"/>
          </w:tcPr>
          <w:p>
            <w:pPr>
              <w:spacing w:after="0"/>
            </w:pPr>
            <w:r/>
            <w:r>
              <w:rPr>
                <w:rFonts w:ascii="Calibri" w:hAnsi="Calibri"/>
                <w:b/>
                <w:color w:val="141F2B"/>
                <w:sz w:val="16"/>
              </w:rPr>
              <w:t>Sensitivity</w:t>
            </w:r>
          </w:p>
        </w:tc>
        <w:tc>
          <w:tcPr>
            <w:tcW w:type="dxa" w:w="1411"/>
            <w:shd w:fill="F4F6F9"/>
            <w:vAlign w:val="center"/>
          </w:tcPr>
          <w:p>
            <w:pPr>
              <w:spacing w:after="0"/>
            </w:pPr>
            <w:r/>
            <w:r>
              <w:rPr>
                <w:rFonts w:ascii="Calibri" w:hAnsi="Calibri"/>
                <w:b/>
                <w:color w:val="141F2B"/>
                <w:sz w:val="16"/>
              </w:rPr>
              <w:t>Specificity</w:t>
            </w:r>
          </w:p>
        </w:tc>
        <w:tc>
          <w:tcPr>
            <w:tcW w:type="dxa" w:w="1411"/>
            <w:shd w:fill="F4F6F9"/>
            <w:vAlign w:val="center"/>
          </w:tcPr>
          <w:p>
            <w:pPr>
              <w:spacing w:after="0"/>
            </w:pPr>
            <w:r/>
            <w:r>
              <w:rPr>
                <w:rFonts w:ascii="Calibri" w:hAnsi="Calibri"/>
                <w:b/>
                <w:color w:val="141F2B"/>
                <w:sz w:val="16"/>
              </w:rPr>
              <w:t>PPV</w:t>
            </w:r>
          </w:p>
        </w:tc>
        <w:tc>
          <w:tcPr>
            <w:tcW w:type="dxa" w:w="1411"/>
            <w:shd w:fill="F4F6F9"/>
            <w:vAlign w:val="center"/>
          </w:tcPr>
          <w:p>
            <w:pPr>
              <w:spacing w:after="0"/>
            </w:pPr>
            <w:r/>
            <w:r>
              <w:rPr>
                <w:rFonts w:ascii="Calibri" w:hAnsi="Calibri"/>
                <w:b/>
                <w:color w:val="141F2B"/>
                <w:sz w:val="16"/>
              </w:rPr>
              <w:t>NPV</w:t>
            </w:r>
          </w:p>
        </w:tc>
        <w:tc>
          <w:tcPr>
            <w:tcW w:type="dxa" w:w="1411"/>
            <w:shd w:fill="F4F6F9"/>
            <w:vAlign w:val="center"/>
          </w:tcPr>
          <w:p>
            <w:pPr>
              <w:spacing w:after="0"/>
            </w:pPr>
            <w:r/>
            <w:r>
              <w:rPr>
                <w:rFonts w:ascii="Calibri" w:hAnsi="Calibri"/>
                <w:b/>
                <w:color w:val="141F2B"/>
                <w:sz w:val="16"/>
              </w:rPr>
              <w:t>NNT</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0.9250</w:t>
            </w:r>
          </w:p>
        </w:tc>
        <w:tc>
          <w:tcPr>
            <w:tcW w:type="dxa" w:w="1411"/>
            <w:vAlign w:val="center"/>
          </w:tcPr>
          <w:p>
            <w:pPr>
              <w:spacing w:after="0"/>
            </w:pPr>
            <w:r/>
            <w:r>
              <w:rPr>
                <w:rFonts w:ascii="Calibri" w:hAnsi="Calibri"/>
                <w:b w:val="0"/>
                <w:sz w:val="16"/>
              </w:rPr>
              <w:t>0.8941</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0.8675</w:t>
            </w:r>
          </w:p>
        </w:tc>
        <w:tc>
          <w:tcPr>
            <w:tcW w:type="dxa" w:w="1411"/>
            <w:vAlign w:val="center"/>
          </w:tcPr>
          <w:p>
            <w:pPr>
              <w:spacing w:after="0"/>
            </w:pPr>
            <w:r/>
            <w:r>
              <w:rPr>
                <w:rFonts w:ascii="Calibri" w:hAnsi="Calibri"/>
                <w:b w:val="0"/>
                <w:sz w:val="16"/>
              </w:rPr>
              <w:t>0.9756</w:t>
            </w:r>
          </w:p>
        </w:tc>
        <w:tc>
          <w:tcPr>
            <w:tcW w:type="dxa" w:w="1411"/>
            <w:vAlign w:val="center"/>
          </w:tcPr>
          <w:p>
            <w:pPr>
              <w:spacing w:after="0"/>
            </w:pPr>
            <w:r/>
            <w:r>
              <w:rPr>
                <w:rFonts w:ascii="Calibri" w:hAnsi="Calibri"/>
                <w:b w:val="0"/>
                <w:sz w:val="16"/>
              </w:rPr>
              <w:t>0.9730</w:t>
            </w:r>
          </w:p>
        </w:tc>
        <w:tc>
          <w:tcPr>
            <w:tcW w:type="dxa" w:w="1411"/>
            <w:vAlign w:val="center"/>
          </w:tcPr>
          <w:p>
            <w:pPr>
              <w:spacing w:after="0"/>
            </w:pPr>
            <w:r/>
            <w:r>
              <w:rPr>
                <w:rFonts w:ascii="Calibri" w:hAnsi="Calibri"/>
                <w:b w:val="0"/>
                <w:sz w:val="16"/>
              </w:rPr>
              <w:t>0.8791</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0.9759</w:t>
            </w:r>
          </w:p>
        </w:tc>
        <w:tc>
          <w:tcPr>
            <w:tcW w:type="dxa" w:w="1411"/>
            <w:vAlign w:val="center"/>
          </w:tcPr>
          <w:p>
            <w:pPr>
              <w:spacing w:after="0"/>
            </w:pPr>
            <w:r/>
            <w:r>
              <w:rPr>
                <w:rFonts w:ascii="Calibri" w:hAnsi="Calibri"/>
                <w:b w:val="0"/>
                <w:sz w:val="16"/>
              </w:rPr>
              <w:t>0.9024</w:t>
            </w:r>
          </w:p>
        </w:tc>
        <w:tc>
          <w:tcPr>
            <w:tcW w:type="dxa" w:w="1411"/>
            <w:vAlign w:val="center"/>
          </w:tcPr>
          <w:p>
            <w:pPr>
              <w:spacing w:after="0"/>
            </w:pPr>
            <w:r/>
            <w:r>
              <w:rPr>
                <w:rFonts w:ascii="Calibri" w:hAnsi="Calibri"/>
                <w:b w:val="0"/>
                <w:sz w:val="16"/>
              </w:rPr>
              <w:t>0.9101</w:t>
            </w:r>
          </w:p>
        </w:tc>
        <w:tc>
          <w:tcPr>
            <w:tcW w:type="dxa" w:w="1411"/>
            <w:vAlign w:val="center"/>
          </w:tcPr>
          <w:p>
            <w:pPr>
              <w:spacing w:after="0"/>
            </w:pPr>
            <w:r/>
            <w:r>
              <w:rPr>
                <w:rFonts w:ascii="Calibri" w:hAnsi="Calibri"/>
                <w:b w:val="0"/>
                <w:sz w:val="16"/>
              </w:rPr>
              <w:t>0.9737</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0.9512</w:t>
            </w:r>
          </w:p>
        </w:tc>
        <w:tc>
          <w:tcPr>
            <w:tcW w:type="dxa" w:w="1411"/>
            <w:vAlign w:val="center"/>
          </w:tcPr>
          <w:p>
            <w:pPr>
              <w:spacing w:after="0"/>
            </w:pPr>
            <w:r/>
            <w:r>
              <w:rPr>
                <w:rFonts w:ascii="Calibri" w:hAnsi="Calibri"/>
                <w:b w:val="0"/>
                <w:sz w:val="16"/>
              </w:rPr>
              <w:t>0.9487</w:t>
            </w:r>
          </w:p>
        </w:tc>
        <w:tc>
          <w:tcPr>
            <w:tcW w:type="dxa" w:w="1411"/>
            <w:vAlign w:val="center"/>
          </w:tcPr>
          <w:p>
            <w:pPr>
              <w:spacing w:after="0"/>
            </w:pPr>
            <w:r/>
            <w:r>
              <w:rPr>
                <w:rFonts w:ascii="Calibri" w:hAnsi="Calibri"/>
                <w:b w:val="0"/>
                <w:sz w:val="16"/>
              </w:rPr>
              <w:t>0.8966</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0.9398</w:t>
            </w:r>
          </w:p>
        </w:tc>
        <w:tc>
          <w:tcPr>
            <w:tcW w:type="dxa" w:w="1411"/>
            <w:vAlign w:val="center"/>
          </w:tcPr>
          <w:p>
            <w:pPr>
              <w:spacing w:after="0"/>
            </w:pPr>
            <w:r/>
            <w:r>
              <w:rPr>
                <w:rFonts w:ascii="Calibri" w:hAnsi="Calibri"/>
                <w:b w:val="0"/>
                <w:sz w:val="16"/>
              </w:rPr>
              <w:t>0.9146</w:t>
            </w:r>
          </w:p>
        </w:tc>
        <w:tc>
          <w:tcPr>
            <w:tcW w:type="dxa" w:w="1411"/>
            <w:vAlign w:val="center"/>
          </w:tcPr>
          <w:p>
            <w:pPr>
              <w:spacing w:after="0"/>
            </w:pPr>
            <w:r/>
            <w:r>
              <w:rPr>
                <w:rFonts w:ascii="Calibri" w:hAnsi="Calibri"/>
                <w:b w:val="0"/>
                <w:sz w:val="16"/>
              </w:rPr>
              <w:t>0.9176</w:t>
            </w:r>
          </w:p>
        </w:tc>
        <w:tc>
          <w:tcPr>
            <w:tcW w:type="dxa" w:w="1411"/>
            <w:vAlign w:val="center"/>
          </w:tcPr>
          <w:p>
            <w:pPr>
              <w:spacing w:after="0"/>
            </w:pPr>
            <w:r/>
            <w:r>
              <w:rPr>
                <w:rFonts w:ascii="Calibri" w:hAnsi="Calibri"/>
                <w:b w:val="0"/>
                <w:sz w:val="16"/>
              </w:rPr>
              <w:t>0.9375</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0.8659</w:t>
            </w:r>
          </w:p>
        </w:tc>
        <w:tc>
          <w:tcPr>
            <w:tcW w:type="dxa" w:w="1411"/>
            <w:vAlign w:val="center"/>
          </w:tcPr>
          <w:p>
            <w:pPr>
              <w:spacing w:after="0"/>
            </w:pPr>
            <w:r/>
            <w:r>
              <w:rPr>
                <w:rFonts w:ascii="Calibri" w:hAnsi="Calibri"/>
                <w:b w:val="0"/>
                <w:sz w:val="16"/>
              </w:rPr>
              <w:t>0.8750</w:t>
            </w:r>
          </w:p>
        </w:tc>
        <w:tc>
          <w:tcPr>
            <w:tcW w:type="dxa" w:w="1411"/>
            <w:vAlign w:val="center"/>
          </w:tcPr>
          <w:p>
            <w:pPr>
              <w:spacing w:after="0"/>
            </w:pPr>
            <w:r/>
            <w:r>
              <w:rPr>
                <w:rFonts w:ascii="Calibri" w:hAnsi="Calibri"/>
                <w:b w:val="0"/>
                <w:sz w:val="16"/>
              </w:rPr>
              <w:t>0.9221</w:t>
            </w:r>
          </w:p>
        </w:tc>
        <w:tc>
          <w:tcPr>
            <w:tcW w:type="dxa" w:w="1411"/>
            <w:vAlign w:val="center"/>
          </w:tcPr>
          <w:p>
            <w:pPr>
              <w:spacing w:after="0"/>
            </w:pPr>
            <w:r/>
            <w:r>
              <w:rPr>
                <w:rFonts w:ascii="Calibri" w:hAnsi="Calibri"/>
                <w:b w:val="0"/>
                <w:sz w:val="16"/>
              </w:rPr>
              <w:t>2.5</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0.8780</w:t>
            </w:r>
          </w:p>
        </w:tc>
        <w:tc>
          <w:tcPr>
            <w:tcW w:type="dxa" w:w="1411"/>
            <w:vAlign w:val="center"/>
          </w:tcPr>
          <w:p>
            <w:pPr>
              <w:spacing w:after="0"/>
            </w:pPr>
            <w:r/>
            <w:r>
              <w:rPr>
                <w:rFonts w:ascii="Calibri" w:hAnsi="Calibri"/>
                <w:b w:val="0"/>
                <w:sz w:val="16"/>
              </w:rPr>
              <w:t>0.8810</w:t>
            </w:r>
          </w:p>
        </w:tc>
        <w:tc>
          <w:tcPr>
            <w:tcW w:type="dxa" w:w="1411"/>
            <w:vAlign w:val="center"/>
          </w:tcPr>
          <w:p>
            <w:pPr>
              <w:spacing w:after="0"/>
            </w:pPr>
            <w:r/>
            <w:r>
              <w:rPr>
                <w:rFonts w:ascii="Calibri" w:hAnsi="Calibri"/>
                <w:b w:val="0"/>
                <w:sz w:val="16"/>
              </w:rPr>
              <w:t>0.8889</w:t>
            </w:r>
          </w:p>
        </w:tc>
        <w:tc>
          <w:tcPr>
            <w:tcW w:type="dxa" w:w="1411"/>
            <w:vAlign w:val="center"/>
          </w:tcPr>
          <w:p>
            <w:pPr>
              <w:spacing w:after="0"/>
            </w:pPr>
            <w:r/>
            <w:r>
              <w:rPr>
                <w:rFonts w:ascii="Calibri" w:hAnsi="Calibri"/>
                <w:b w:val="0"/>
                <w:sz w:val="16"/>
              </w:rPr>
              <w:t>2.8</w:t>
            </w:r>
          </w:p>
        </w:tc>
      </w:tr>
    </w:tbl>
    <w:p>
      <w:pPr>
        <w:spacing w:before="60" w:after="160"/>
        <w:jc w:val="center"/>
      </w:pPr>
      <w:r>
        <w:rPr>
          <w:rFonts w:ascii="Calibri" w:hAnsi="Calibri"/>
          <w:i/>
          <w:color w:val="5A5A5A"/>
          <w:sz w:val="17"/>
        </w:rPr>
        <w:t>Table 5. Diagnostic performance and Number Needed to Treat (NNT) at clinical risk thresholds.</w:t>
      </w:r>
    </w:p>
    <w:p>
      <w:r>
        <w:br w:type="page"/>
      </w:r>
    </w:p>
    <w:p>
      <w:pPr>
        <w:pStyle w:val="Heading1"/>
        <w:keepNext/>
        <w:spacing w:before="240" w:after="100"/>
      </w:pPr>
    </w:p>
    <w:p>
      <w:pPr>
        <w:spacing w:before="0" w:after="140" w:line="283" w:lineRule="auto"/>
      </w:pPr>
      <w:r>
        <w:rPr>
          <w:rFonts w:ascii="Calibri" w:hAnsi="Calibri"/>
          <w:color w:val="141F2B"/>
          <w:sz w:val="20"/>
        </w:rPr>
        <w:t>Subgroup analyses checked for performance differences across age, sex, and stage. Accuracy and ROC-AUC were consistent across all groups. Bootstrap interaction tests showed no significant differences (p &gt; 0.05). Results in Table 6.</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Subgroup</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Accuracy</w:t>
            </w:r>
          </w:p>
        </w:tc>
        <w:tc>
          <w:tcPr>
            <w:tcW w:type="dxa" w:w="1411"/>
            <w:shd w:fill="F4F6F9"/>
            <w:vAlign w:val="center"/>
          </w:tcPr>
          <w:p>
            <w:pPr>
              <w:spacing w:after="0"/>
            </w:pPr>
            <w:r/>
            <w:r>
              <w:rPr>
                <w:rFonts w:ascii="Calibri" w:hAnsi="Calibri"/>
                <w:b/>
                <w:color w:val="141F2B"/>
                <w:sz w:val="16"/>
              </w:rPr>
              <w:t>ROC-AUC</w:t>
            </w:r>
          </w:p>
        </w:tc>
        <w:tc>
          <w:tcPr>
            <w:tcW w:type="dxa" w:w="1411"/>
            <w:shd w:fill="F4F6F9"/>
            <w:vAlign w:val="center"/>
          </w:tcPr>
          <w:p>
            <w:pPr>
              <w:spacing w:after="0"/>
            </w:pPr>
            <w:r/>
            <w:r>
              <w:rPr>
                <w:rFonts w:ascii="Calibri" w:hAnsi="Calibri"/>
                <w:b/>
                <w:color w:val="141F2B"/>
                <w:sz w:val="16"/>
              </w:rPr>
              <w:t>ROC-AUC 95% CI</w:t>
            </w:r>
          </w:p>
        </w:tc>
        <w:tc>
          <w:tcPr>
            <w:tcW w:type="dxa" w:w="1411"/>
            <w:shd w:fill="F4F6F9"/>
            <w:vAlign w:val="center"/>
          </w:tcPr>
          <w:p>
            <w:pPr>
              <w:spacing w:after="0"/>
            </w:pPr>
            <w:r/>
            <w:r>
              <w:rPr>
                <w:rFonts w:ascii="Calibri" w:hAnsi="Calibri"/>
                <w:b/>
                <w:color w:val="141F2B"/>
                <w:sz w:val="16"/>
              </w:rPr>
              <w:t>Interaction p-value</w:t>
            </w:r>
          </w:p>
        </w:tc>
        <w:tc>
          <w:tcPr>
            <w:tcW w:type="dxa" w:w="1411"/>
            <w:shd w:fill="F4F6F9"/>
            <w:vAlign w:val="center"/>
          </w:tcPr>
          <w:p>
            <w:pPr>
              <w:spacing w:after="0"/>
            </w:pPr>
            <w:r/>
            <w:r>
              <w:rPr>
                <w:rFonts w:ascii="Calibri" w:hAnsi="Calibri"/>
                <w:b/>
                <w:color w:val="141F2B"/>
                <w:sz w:val="16"/>
              </w:rPr>
              <w:t>Interaction 95% CI</w:t>
            </w:r>
          </w:p>
        </w:tc>
      </w:tr>
      <w:tr>
        <w:tc>
          <w:tcPr>
            <w:tcW w:type="dxa" w:w="1411"/>
            <w:vAlign w:val="center"/>
          </w:tcPr>
          <w:p>
            <w:pPr>
              <w:spacing w:after="0"/>
            </w:pPr>
            <w:r/>
            <w:r>
              <w:rPr>
                <w:rFonts w:ascii="Calibri" w:hAnsi="Calibri"/>
                <w:b w:val="0"/>
                <w:sz w:val="16"/>
              </w:rPr>
              <w:t>All</w:t>
            </w:r>
          </w:p>
        </w:tc>
        <w:tc>
          <w:tcPr>
            <w:tcW w:type="dxa" w:w="1411"/>
            <w:vAlign w:val="center"/>
          </w:tcPr>
          <w:p>
            <w:pPr>
              <w:spacing w:after="0"/>
            </w:pPr>
            <w:r/>
            <w:r>
              <w:rPr>
                <w:rFonts w:ascii="Calibri" w:hAnsi="Calibri"/>
                <w:b w:val="0"/>
                <w:sz w:val="16"/>
              </w:rPr>
              <w:t>165</w:t>
            </w:r>
          </w:p>
        </w:tc>
        <w:tc>
          <w:tcPr>
            <w:tcW w:type="dxa" w:w="1411"/>
            <w:vAlign w:val="center"/>
          </w:tcPr>
          <w:p>
            <w:pPr>
              <w:spacing w:after="0"/>
            </w:pPr>
            <w:r/>
            <w:r>
              <w:rPr>
                <w:rFonts w:ascii="Calibri" w:hAnsi="Calibri"/>
                <w:b w:val="0"/>
                <w:sz w:val="16"/>
              </w:rPr>
              <w:t>0.9091</w:t>
            </w:r>
          </w:p>
        </w:tc>
        <w:tc>
          <w:tcPr>
            <w:tcW w:type="dxa" w:w="1411"/>
            <w:vAlign w:val="center"/>
          </w:tcPr>
          <w:p>
            <w:pPr>
              <w:spacing w:after="0"/>
            </w:pPr>
            <w:r/>
            <w:r>
              <w:rPr>
                <w:rFonts w:ascii="Calibri" w:hAnsi="Calibri"/>
                <w:b w:val="0"/>
                <w:sz w:val="16"/>
              </w:rPr>
              <w:t>0.9834</w:t>
            </w:r>
          </w:p>
        </w:tc>
        <w:tc>
          <w:tcPr>
            <w:tcW w:type="dxa" w:w="1411"/>
            <w:vAlign w:val="center"/>
          </w:tcPr>
          <w:p>
            <w:pPr>
              <w:spacing w:after="0"/>
            </w:pPr>
            <w:r/>
            <w:r>
              <w:rPr>
                <w:rFonts w:ascii="Calibri" w:hAnsi="Calibri"/>
                <w:b w:val="0"/>
                <w:sz w:val="16"/>
              </w:rPr>
              <w:t>(0.9688-0.9942)</w:t>
            </w:r>
          </w:p>
        </w:tc>
        <w:tc>
          <w:tcPr>
            <w:tcW w:type="dxa" w:w="1411"/>
            <w:vAlign w:val="center"/>
          </w:tcPr>
          <w:p>
            <w:pPr>
              <w:spacing w:after="0"/>
            </w:pPr>
            <w:r/>
            <w:r>
              <w:rPr>
                <w:rFonts w:ascii="Calibri" w:hAnsi="Calibri"/>
                <w:b w:val="0"/>
                <w:sz w:val="16"/>
              </w:rPr>
              <w:t>-</w:t>
            </w:r>
          </w:p>
        </w:tc>
        <w:tc>
          <w:tcPr>
            <w:tcW w:type="dxa" w:w="1411"/>
            <w:vAlign w:val="center"/>
          </w:tcPr>
          <w:p>
            <w:pPr>
              <w:spacing w:after="0"/>
            </w:pPr>
            <w:r/>
            <w:r>
              <w:rPr>
                <w:rFonts w:ascii="Calibri" w:hAnsi="Calibri"/>
                <w:b w:val="0"/>
                <w:sz w:val="16"/>
              </w:rPr>
              <w:t>-</w:t>
            </w:r>
          </w:p>
        </w:tc>
      </w:tr>
      <w:tr>
        <w:tc>
          <w:tcPr>
            <w:tcW w:type="dxa" w:w="1411"/>
            <w:vAlign w:val="center"/>
          </w:tcPr>
          <w:p>
            <w:pPr>
              <w:spacing w:after="0"/>
            </w:pPr>
            <w:r/>
            <w:r>
              <w:rPr>
                <w:rFonts w:ascii="Calibri" w:hAnsi="Calibri"/>
                <w:b w:val="0"/>
                <w:sz w:val="16"/>
              </w:rPr>
              <w:t>Age &lt; 65</w:t>
            </w:r>
          </w:p>
        </w:tc>
        <w:tc>
          <w:tcPr>
            <w:tcW w:type="dxa" w:w="1411"/>
            <w:vAlign w:val="center"/>
          </w:tcPr>
          <w:p>
            <w:pPr>
              <w:spacing w:after="0"/>
            </w:pPr>
            <w:r/>
            <w:r>
              <w:rPr>
                <w:rFonts w:ascii="Calibri" w:hAnsi="Calibri"/>
                <w:b w:val="0"/>
                <w:sz w:val="16"/>
              </w:rPr>
              <w:t>39</w:t>
            </w:r>
          </w:p>
        </w:tc>
        <w:tc>
          <w:tcPr>
            <w:tcW w:type="dxa" w:w="1411"/>
            <w:vAlign w:val="center"/>
          </w:tcPr>
          <w:p>
            <w:pPr>
              <w:spacing w:after="0"/>
            </w:pPr>
            <w:r/>
            <w:r>
              <w:rPr>
                <w:rFonts w:ascii="Calibri" w:hAnsi="Calibri"/>
                <w:b w:val="0"/>
                <w:sz w:val="16"/>
              </w:rPr>
              <w:t>0.8205</w:t>
            </w:r>
          </w:p>
        </w:tc>
        <w:tc>
          <w:tcPr>
            <w:tcW w:type="dxa" w:w="1411"/>
            <w:vAlign w:val="center"/>
          </w:tcPr>
          <w:p>
            <w:pPr>
              <w:spacing w:after="0"/>
            </w:pPr>
            <w:r/>
            <w:r>
              <w:rPr>
                <w:rFonts w:ascii="Calibri" w:hAnsi="Calibri"/>
                <w:b w:val="0"/>
                <w:sz w:val="16"/>
              </w:rPr>
              <w:t>0.9484</w:t>
            </w:r>
          </w:p>
        </w:tc>
        <w:tc>
          <w:tcPr>
            <w:tcW w:type="dxa" w:w="1411"/>
            <w:vAlign w:val="center"/>
          </w:tcPr>
          <w:p>
            <w:pPr>
              <w:spacing w:after="0"/>
            </w:pPr>
            <w:r/>
            <w:r>
              <w:rPr>
                <w:rFonts w:ascii="Calibri" w:hAnsi="Calibri"/>
                <w:b w:val="0"/>
                <w:sz w:val="16"/>
              </w:rPr>
              <w:t>(0.8734-1.0000)</w:t>
            </w:r>
          </w:p>
        </w:tc>
        <w:tc>
          <w:tcPr>
            <w:tcW w:type="dxa" w:w="1411"/>
            <w:vAlign w:val="center"/>
          </w:tcPr>
          <w:p>
            <w:pPr>
              <w:spacing w:after="0"/>
            </w:pPr>
            <w:r/>
            <w:r>
              <w:rPr>
                <w:rFonts w:ascii="Calibri" w:hAnsi="Calibri"/>
                <w:b w:val="0"/>
                <w:sz w:val="16"/>
              </w:rPr>
              <w:t>0.2100</w:t>
            </w:r>
          </w:p>
        </w:tc>
        <w:tc>
          <w:tcPr>
            <w:tcW w:type="dxa" w:w="1411"/>
            <w:vAlign w:val="center"/>
          </w:tcPr>
          <w:p>
            <w:pPr>
              <w:spacing w:after="0"/>
            </w:pPr>
            <w:r/>
            <w:r>
              <w:rPr>
                <w:rFonts w:ascii="Calibri" w:hAnsi="Calibri"/>
                <w:b w:val="0"/>
                <w:sz w:val="16"/>
              </w:rPr>
              <w:t>(-0.1277 to 0.0101)</w:t>
            </w:r>
          </w:p>
        </w:tc>
      </w:tr>
      <w:tr>
        <w:tc>
          <w:tcPr>
            <w:tcW w:type="dxa" w:w="1411"/>
            <w:vAlign w:val="center"/>
          </w:tcPr>
          <w:p>
            <w:pPr>
              <w:spacing w:after="0"/>
            </w:pPr>
            <w:r/>
            <w:r>
              <w:rPr>
                <w:rFonts w:ascii="Calibri" w:hAnsi="Calibri"/>
                <w:b w:val="0"/>
                <w:sz w:val="16"/>
              </w:rPr>
              <w:t>Age &gt;= 65</w:t>
            </w:r>
          </w:p>
        </w:tc>
        <w:tc>
          <w:tcPr>
            <w:tcW w:type="dxa" w:w="1411"/>
            <w:vAlign w:val="center"/>
          </w:tcPr>
          <w:p>
            <w:pPr>
              <w:spacing w:after="0"/>
            </w:pPr>
            <w:r/>
            <w:r>
              <w:rPr>
                <w:rFonts w:ascii="Calibri" w:hAnsi="Calibri"/>
                <w:b w:val="0"/>
                <w:sz w:val="16"/>
              </w:rPr>
              <w:t>126</w:t>
            </w:r>
          </w:p>
        </w:tc>
        <w:tc>
          <w:tcPr>
            <w:tcW w:type="dxa" w:w="1411"/>
            <w:vAlign w:val="center"/>
          </w:tcPr>
          <w:p>
            <w:pPr>
              <w:spacing w:after="0"/>
            </w:pPr>
            <w:r/>
            <w:r>
              <w:rPr>
                <w:rFonts w:ascii="Calibri" w:hAnsi="Calibri"/>
                <w:b w:val="0"/>
                <w:sz w:val="16"/>
              </w:rPr>
              <w:t>0.9365</w:t>
            </w:r>
          </w:p>
        </w:tc>
        <w:tc>
          <w:tcPr>
            <w:tcW w:type="dxa" w:w="1411"/>
            <w:vAlign w:val="center"/>
          </w:tcPr>
          <w:p>
            <w:pPr>
              <w:spacing w:after="0"/>
            </w:pPr>
            <w:r/>
            <w:r>
              <w:rPr>
                <w:rFonts w:ascii="Calibri" w:hAnsi="Calibri"/>
                <w:b w:val="0"/>
                <w:sz w:val="16"/>
              </w:rPr>
              <w:t>0.9901</w:t>
            </w:r>
          </w:p>
        </w:tc>
        <w:tc>
          <w:tcPr>
            <w:tcW w:type="dxa" w:w="1411"/>
            <w:vAlign w:val="center"/>
          </w:tcPr>
          <w:p>
            <w:pPr>
              <w:spacing w:after="0"/>
            </w:pPr>
            <w:r/>
            <w:r>
              <w:rPr>
                <w:rFonts w:ascii="Calibri" w:hAnsi="Calibri"/>
                <w:b w:val="0"/>
                <w:sz w:val="16"/>
              </w:rPr>
              <w:t>(0.9783-0.9980)</w:t>
            </w:r>
          </w:p>
        </w:tc>
        <w:tc>
          <w:tcPr>
            <w:tcW w:type="dxa" w:w="1411"/>
            <w:vAlign w:val="center"/>
          </w:tcPr>
          <w:p>
            <w:pPr>
              <w:spacing w:after="0"/>
            </w:pPr>
            <w:r/>
            <w:r>
              <w:rPr>
                <w:rFonts w:ascii="Calibri" w:hAnsi="Calibri"/>
                <w:b w:val="0"/>
                <w:sz w:val="16"/>
              </w:rPr>
              <w:t>0.2100</w:t>
            </w:r>
          </w:p>
        </w:tc>
        <w:tc>
          <w:tcPr>
            <w:tcW w:type="dxa" w:w="1411"/>
            <w:vAlign w:val="center"/>
          </w:tcPr>
          <w:p>
            <w:pPr>
              <w:spacing w:after="0"/>
            </w:pPr>
            <w:r/>
            <w:r>
              <w:rPr>
                <w:rFonts w:ascii="Calibri" w:hAnsi="Calibri"/>
                <w:b w:val="0"/>
                <w:sz w:val="16"/>
              </w:rPr>
              <w:t>(-0.1277 to 0.0101)</w:t>
            </w:r>
          </w:p>
        </w:tc>
      </w:tr>
      <w:tr>
        <w:tc>
          <w:tcPr>
            <w:tcW w:type="dxa" w:w="1411"/>
            <w:vAlign w:val="center"/>
          </w:tcPr>
          <w:p>
            <w:pPr>
              <w:spacing w:after="0"/>
            </w:pPr>
            <w:r/>
            <w:r>
              <w:rPr>
                <w:rFonts w:ascii="Calibri" w:hAnsi="Calibri"/>
                <w:b w:val="0"/>
                <w:sz w:val="16"/>
              </w:rPr>
              <w:t>Male</w:t>
            </w:r>
          </w:p>
        </w:tc>
        <w:tc>
          <w:tcPr>
            <w:tcW w:type="dxa" w:w="1411"/>
            <w:vAlign w:val="center"/>
          </w:tcPr>
          <w:p>
            <w:pPr>
              <w:spacing w:after="0"/>
            </w:pPr>
            <w:r/>
            <w:r>
              <w:rPr>
                <w:rFonts w:ascii="Calibri" w:hAnsi="Calibri"/>
                <w:b w:val="0"/>
                <w:sz w:val="16"/>
              </w:rPr>
              <w:t>62</w:t>
            </w:r>
          </w:p>
        </w:tc>
        <w:tc>
          <w:tcPr>
            <w:tcW w:type="dxa" w:w="1411"/>
            <w:vAlign w:val="center"/>
          </w:tcPr>
          <w:p>
            <w:pPr>
              <w:spacing w:after="0"/>
            </w:pPr>
            <w:r/>
            <w:r>
              <w:rPr>
                <w:rFonts w:ascii="Calibri" w:hAnsi="Calibri"/>
                <w:b w:val="0"/>
                <w:sz w:val="16"/>
              </w:rPr>
              <w:t>0.9032</w:t>
            </w:r>
          </w:p>
        </w:tc>
        <w:tc>
          <w:tcPr>
            <w:tcW w:type="dxa" w:w="1411"/>
            <w:vAlign w:val="center"/>
          </w:tcPr>
          <w:p>
            <w:pPr>
              <w:spacing w:after="0"/>
            </w:pPr>
            <w:r/>
            <w:r>
              <w:rPr>
                <w:rFonts w:ascii="Calibri" w:hAnsi="Calibri"/>
                <w:b w:val="0"/>
                <w:sz w:val="16"/>
              </w:rPr>
              <w:t>0.9739</w:t>
            </w:r>
          </w:p>
        </w:tc>
        <w:tc>
          <w:tcPr>
            <w:tcW w:type="dxa" w:w="1411"/>
            <w:vAlign w:val="center"/>
          </w:tcPr>
          <w:p>
            <w:pPr>
              <w:spacing w:after="0"/>
            </w:pPr>
            <w:r/>
            <w:r>
              <w:rPr>
                <w:rFonts w:ascii="Calibri" w:hAnsi="Calibri"/>
                <w:b w:val="0"/>
                <w:sz w:val="16"/>
              </w:rPr>
              <w:t>(0.9363-0.9970)</w:t>
            </w:r>
          </w:p>
        </w:tc>
        <w:tc>
          <w:tcPr>
            <w:tcW w:type="dxa" w:w="1411"/>
            <w:vAlign w:val="center"/>
          </w:tcPr>
          <w:p>
            <w:pPr>
              <w:spacing w:after="0"/>
            </w:pPr>
            <w:r/>
            <w:r>
              <w:rPr>
                <w:rFonts w:ascii="Calibri" w:hAnsi="Calibri"/>
                <w:b w:val="0"/>
                <w:sz w:val="16"/>
              </w:rPr>
              <w:t>0.5070</w:t>
            </w:r>
          </w:p>
        </w:tc>
        <w:tc>
          <w:tcPr>
            <w:tcW w:type="dxa" w:w="1411"/>
            <w:vAlign w:val="center"/>
          </w:tcPr>
          <w:p>
            <w:pPr>
              <w:spacing w:after="0"/>
            </w:pPr>
            <w:r/>
            <w:r>
              <w:rPr>
                <w:rFonts w:ascii="Calibri" w:hAnsi="Calibri"/>
                <w:b w:val="0"/>
                <w:sz w:val="16"/>
              </w:rPr>
              <w:t>(-0.0511 to 0.0198)</w:t>
            </w:r>
          </w:p>
        </w:tc>
      </w:tr>
      <w:tr>
        <w:tc>
          <w:tcPr>
            <w:tcW w:type="dxa" w:w="1411"/>
            <w:vAlign w:val="center"/>
          </w:tcPr>
          <w:p>
            <w:pPr>
              <w:spacing w:after="0"/>
            </w:pPr>
            <w:r/>
            <w:r>
              <w:rPr>
                <w:rFonts w:ascii="Calibri" w:hAnsi="Calibri"/>
                <w:b w:val="0"/>
                <w:sz w:val="16"/>
              </w:rPr>
              <w:t>Female</w:t>
            </w:r>
          </w:p>
        </w:tc>
        <w:tc>
          <w:tcPr>
            <w:tcW w:type="dxa" w:w="1411"/>
            <w:vAlign w:val="center"/>
          </w:tcPr>
          <w:p>
            <w:pPr>
              <w:spacing w:after="0"/>
            </w:pPr>
            <w:r/>
            <w:r>
              <w:rPr>
                <w:rFonts w:ascii="Calibri" w:hAnsi="Calibri"/>
                <w:b w:val="0"/>
                <w:sz w:val="16"/>
              </w:rPr>
              <w:t>103</w:t>
            </w:r>
          </w:p>
        </w:tc>
        <w:tc>
          <w:tcPr>
            <w:tcW w:type="dxa" w:w="1411"/>
            <w:vAlign w:val="center"/>
          </w:tcPr>
          <w:p>
            <w:pPr>
              <w:spacing w:after="0"/>
            </w:pPr>
            <w:r/>
            <w:r>
              <w:rPr>
                <w:rFonts w:ascii="Calibri" w:hAnsi="Calibri"/>
                <w:b w:val="0"/>
                <w:sz w:val="16"/>
              </w:rPr>
              <w:t>0.9126</w:t>
            </w:r>
          </w:p>
        </w:tc>
        <w:tc>
          <w:tcPr>
            <w:tcW w:type="dxa" w:w="1411"/>
            <w:vAlign w:val="center"/>
          </w:tcPr>
          <w:p>
            <w:pPr>
              <w:spacing w:after="0"/>
            </w:pPr>
            <w:r/>
            <w:r>
              <w:rPr>
                <w:rFonts w:ascii="Calibri" w:hAnsi="Calibri"/>
                <w:b w:val="0"/>
                <w:sz w:val="16"/>
              </w:rPr>
              <w:t>0.9857</w:t>
            </w:r>
          </w:p>
        </w:tc>
        <w:tc>
          <w:tcPr>
            <w:tcW w:type="dxa" w:w="1411"/>
            <w:vAlign w:val="center"/>
          </w:tcPr>
          <w:p>
            <w:pPr>
              <w:spacing w:after="0"/>
            </w:pPr>
            <w:r/>
            <w:r>
              <w:rPr>
                <w:rFonts w:ascii="Calibri" w:hAnsi="Calibri"/>
                <w:b w:val="0"/>
                <w:sz w:val="16"/>
              </w:rPr>
              <w:t>(0.9635-0.9963)</w:t>
            </w:r>
          </w:p>
        </w:tc>
        <w:tc>
          <w:tcPr>
            <w:tcW w:type="dxa" w:w="1411"/>
            <w:vAlign w:val="center"/>
          </w:tcPr>
          <w:p>
            <w:pPr>
              <w:spacing w:after="0"/>
            </w:pPr>
            <w:r/>
            <w:r>
              <w:rPr>
                <w:rFonts w:ascii="Calibri" w:hAnsi="Calibri"/>
                <w:b w:val="0"/>
                <w:sz w:val="16"/>
              </w:rPr>
              <w:t>0.5070</w:t>
            </w:r>
          </w:p>
        </w:tc>
        <w:tc>
          <w:tcPr>
            <w:tcW w:type="dxa" w:w="1411"/>
            <w:vAlign w:val="center"/>
          </w:tcPr>
          <w:p>
            <w:pPr>
              <w:spacing w:after="0"/>
            </w:pPr>
            <w:r/>
            <w:r>
              <w:rPr>
                <w:rFonts w:ascii="Calibri" w:hAnsi="Calibri"/>
                <w:b w:val="0"/>
                <w:sz w:val="16"/>
              </w:rPr>
              <w:t>(-0.0511 to 0.0198)</w:t>
            </w:r>
          </w:p>
        </w:tc>
      </w:tr>
      <w:tr>
        <w:tc>
          <w:tcPr>
            <w:tcW w:type="dxa" w:w="1411"/>
            <w:vAlign w:val="center"/>
          </w:tcPr>
          <w:p>
            <w:pPr>
              <w:spacing w:after="0"/>
            </w:pPr>
            <w:r/>
            <w:r>
              <w:rPr>
                <w:rFonts w:ascii="Calibri" w:hAnsi="Calibri"/>
                <w:b w:val="0"/>
                <w:sz w:val="16"/>
              </w:rPr>
              <w:t>Stage I/II</w:t>
            </w:r>
          </w:p>
        </w:tc>
        <w:tc>
          <w:tcPr>
            <w:tcW w:type="dxa" w:w="1411"/>
            <w:vAlign w:val="center"/>
          </w:tcPr>
          <w:p>
            <w:pPr>
              <w:spacing w:after="0"/>
            </w:pPr>
            <w:r/>
            <w:r>
              <w:rPr>
                <w:rFonts w:ascii="Calibri" w:hAnsi="Calibri"/>
                <w:b w:val="0"/>
                <w:sz w:val="16"/>
              </w:rPr>
              <w:t>57</w:t>
            </w:r>
          </w:p>
        </w:tc>
        <w:tc>
          <w:tcPr>
            <w:tcW w:type="dxa" w:w="1411"/>
            <w:vAlign w:val="center"/>
          </w:tcPr>
          <w:p>
            <w:pPr>
              <w:spacing w:after="0"/>
            </w:pPr>
            <w:r/>
            <w:r>
              <w:rPr>
                <w:rFonts w:ascii="Calibri" w:hAnsi="Calibri"/>
                <w:b w:val="0"/>
                <w:sz w:val="16"/>
              </w:rPr>
              <w:t>0.9123</w:t>
            </w:r>
          </w:p>
        </w:tc>
        <w:tc>
          <w:tcPr>
            <w:tcW w:type="dxa" w:w="1411"/>
            <w:vAlign w:val="center"/>
          </w:tcPr>
          <w:p>
            <w:pPr>
              <w:spacing w:after="0"/>
            </w:pPr>
            <w:r/>
            <w:r>
              <w:rPr>
                <w:rFonts w:ascii="Calibri" w:hAnsi="Calibri"/>
                <w:b w:val="0"/>
                <w:sz w:val="16"/>
              </w:rPr>
              <w:t>0.9801</w:t>
            </w:r>
          </w:p>
        </w:tc>
        <w:tc>
          <w:tcPr>
            <w:tcW w:type="dxa" w:w="1411"/>
            <w:vAlign w:val="center"/>
          </w:tcPr>
          <w:p>
            <w:pPr>
              <w:spacing w:after="0"/>
            </w:pPr>
            <w:r/>
            <w:r>
              <w:rPr>
                <w:rFonts w:ascii="Calibri" w:hAnsi="Calibri"/>
                <w:b w:val="0"/>
                <w:sz w:val="16"/>
              </w:rPr>
              <w:t>(0.9404-1.0000)</w:t>
            </w:r>
          </w:p>
        </w:tc>
        <w:tc>
          <w:tcPr>
            <w:tcW w:type="dxa" w:w="1411"/>
            <w:vAlign w:val="center"/>
          </w:tcPr>
          <w:p>
            <w:pPr>
              <w:spacing w:after="0"/>
            </w:pPr>
            <w:r/>
            <w:r>
              <w:rPr>
                <w:rFonts w:ascii="Calibri" w:hAnsi="Calibri"/>
                <w:b w:val="0"/>
                <w:sz w:val="16"/>
              </w:rPr>
              <w:t>0.3410</w:t>
            </w:r>
          </w:p>
        </w:tc>
        <w:tc>
          <w:tcPr>
            <w:tcW w:type="dxa" w:w="1411"/>
            <w:vAlign w:val="center"/>
          </w:tcPr>
          <w:p>
            <w:pPr>
              <w:spacing w:after="0"/>
            </w:pPr>
            <w:r/>
            <w:r>
              <w:rPr>
                <w:rFonts w:ascii="Calibri" w:hAnsi="Calibri"/>
                <w:b w:val="0"/>
                <w:sz w:val="16"/>
              </w:rPr>
              <w:t>(-0.0290 to 0.0826)</w:t>
            </w:r>
          </w:p>
        </w:tc>
      </w:tr>
      <w:tr>
        <w:tc>
          <w:tcPr>
            <w:tcW w:type="dxa" w:w="1411"/>
            <w:vAlign w:val="center"/>
          </w:tcPr>
          <w:p>
            <w:pPr>
              <w:spacing w:after="0"/>
            </w:pPr>
            <w:r/>
            <w:r>
              <w:rPr>
                <w:rFonts w:ascii="Calibri" w:hAnsi="Calibri"/>
                <w:b w:val="0"/>
                <w:sz w:val="16"/>
              </w:rPr>
              <w:t>Stage III/IV</w:t>
            </w:r>
          </w:p>
        </w:tc>
        <w:tc>
          <w:tcPr>
            <w:tcW w:type="dxa" w:w="1411"/>
            <w:vAlign w:val="center"/>
          </w:tcPr>
          <w:p>
            <w:pPr>
              <w:spacing w:after="0"/>
            </w:pPr>
            <w:r/>
            <w:r>
              <w:rPr>
                <w:rFonts w:ascii="Calibri" w:hAnsi="Calibri"/>
                <w:b w:val="0"/>
                <w:sz w:val="16"/>
              </w:rPr>
              <w:t>57</w:t>
            </w:r>
          </w:p>
        </w:tc>
        <w:tc>
          <w:tcPr>
            <w:tcW w:type="dxa" w:w="1411"/>
            <w:vAlign w:val="center"/>
          </w:tcPr>
          <w:p>
            <w:pPr>
              <w:spacing w:after="0"/>
            </w:pPr>
            <w:r/>
            <w:r>
              <w:rPr>
                <w:rFonts w:ascii="Calibri" w:hAnsi="Calibri"/>
                <w:b w:val="0"/>
                <w:sz w:val="16"/>
              </w:rPr>
              <w:t>0.8596</w:t>
            </w:r>
          </w:p>
        </w:tc>
        <w:tc>
          <w:tcPr>
            <w:tcW w:type="dxa" w:w="1411"/>
            <w:vAlign w:val="center"/>
          </w:tcPr>
          <w:p>
            <w:pPr>
              <w:spacing w:after="0"/>
            </w:pPr>
            <w:r/>
            <w:r>
              <w:rPr>
                <w:rFonts w:ascii="Calibri" w:hAnsi="Calibri"/>
                <w:b w:val="0"/>
                <w:sz w:val="16"/>
              </w:rPr>
              <w:t>0.9559</w:t>
            </w:r>
          </w:p>
        </w:tc>
        <w:tc>
          <w:tcPr>
            <w:tcW w:type="dxa" w:w="1411"/>
            <w:vAlign w:val="center"/>
          </w:tcPr>
          <w:p>
            <w:pPr>
              <w:spacing w:after="0"/>
            </w:pPr>
            <w:r/>
            <w:r>
              <w:rPr>
                <w:rFonts w:ascii="Calibri" w:hAnsi="Calibri"/>
                <w:b w:val="0"/>
                <w:sz w:val="16"/>
              </w:rPr>
              <w:t>(0.8814-0.9882)</w:t>
            </w:r>
          </w:p>
        </w:tc>
        <w:tc>
          <w:tcPr>
            <w:tcW w:type="dxa" w:w="1411"/>
            <w:vAlign w:val="center"/>
          </w:tcPr>
          <w:p>
            <w:pPr>
              <w:spacing w:after="0"/>
            </w:pPr>
            <w:r/>
            <w:r>
              <w:rPr>
                <w:rFonts w:ascii="Calibri" w:hAnsi="Calibri"/>
                <w:b w:val="0"/>
                <w:sz w:val="16"/>
              </w:rPr>
              <w:t>0.3410</w:t>
            </w:r>
          </w:p>
        </w:tc>
        <w:tc>
          <w:tcPr>
            <w:tcW w:type="dxa" w:w="1411"/>
            <w:vAlign w:val="center"/>
          </w:tcPr>
          <w:p>
            <w:pPr>
              <w:spacing w:after="0"/>
            </w:pPr>
            <w:r/>
            <w:r>
              <w:rPr>
                <w:rFonts w:ascii="Calibri" w:hAnsi="Calibri"/>
                <w:b w:val="0"/>
                <w:sz w:val="16"/>
              </w:rPr>
              <w:t>(-0.0290 to 0.0826)</w:t>
            </w:r>
          </w:p>
        </w:tc>
      </w:tr>
    </w:tbl>
    <w:p>
      <w:pPr>
        <w:spacing w:before="60" w:after="160"/>
        <w:jc w:val="center"/>
      </w:pPr>
      <w:r>
        <w:rPr>
          <w:rFonts w:ascii="Calibri" w:hAnsi="Calibri"/>
          <w:i/>
          <w:color w:val="5A5A5A"/>
          <w:sz w:val="17"/>
        </w:rPr>
        <w:t>Table 6. Subgroup demographic performance validation with interaction testing (Best model: Logistic Regression).</w:t>
      </w:r>
    </w:p>
    <w:p>
      <w:pPr>
        <w:spacing w:before="0" w:after="140" w:line="283" w:lineRule="auto"/>
      </w:pPr>
      <w:r>
        <w:rPr>
          <w:rFonts w:ascii="Calibri" w:hAnsi="Calibri"/>
          <w:color w:val="141F2B"/>
          <w:sz w:val="20"/>
        </w:rPr>
        <w:t>Kaplan-Meier curves (Figures 5 and 6) compared survival by predicted proliferation class. High-proliferation patients had shorter overall survival (GEO log-rank p = 0.037, TCGA log-rank p = 0.034).</w:t>
      </w:r>
    </w:p>
    <w:p>
      <w:pPr>
        <w:spacing w:before="40" w:after="40"/>
        <w:jc w:val="center"/>
      </w:pPr>
      <w:r>
        <w:drawing>
          <wp:inline xmlns:a="http://schemas.openxmlformats.org/drawingml/2006/main" xmlns:pic="http://schemas.openxmlformats.org/drawingml/2006/picture">
            <wp:extent cx="4663440" cy="3497580"/>
            <wp:docPr id="5" name="Picture 5"/>
            <wp:cNvGraphicFramePr>
              <a:graphicFrameLocks noChangeAspect="1"/>
            </wp:cNvGraphicFramePr>
            <a:graphic>
              <a:graphicData uri="http://schemas.openxmlformats.org/drawingml/2006/picture">
                <pic:pic>
                  <pic:nvPicPr>
                    <pic:cNvPr id="0" name="kaplan_meier_geo.png"/>
                    <pic:cNvPicPr/>
                  </pic:nvPicPr>
                  <pic:blipFill>
                    <a:blip r:embed="rId14"/>
                    <a:stretch>
                      <a:fillRect/>
                    </a:stretch>
                  </pic:blipFill>
                  <pic:spPr>
                    <a:xfrm>
                      <a:off x="0" y="0"/>
                      <a:ext cx="4663440" cy="3497580"/>
                    </a:xfrm>
                    <a:prstGeom prst="rect"/>
                  </pic:spPr>
                </pic:pic>
              </a:graphicData>
            </a:graphic>
          </wp:inline>
        </w:drawing>
      </w:r>
    </w:p>
    <w:p>
      <w:pPr>
        <w:spacing w:before="60" w:after="160"/>
        <w:jc w:val="center"/>
      </w:pPr>
      <w:r>
        <w:rPr>
          <w:rFonts w:ascii="Calibri" w:hAnsi="Calibri"/>
          <w:i/>
          <w:color w:val="5A5A5A"/>
          <w:sz w:val="17"/>
        </w:rPr>
        <w:t>Figure 5. Kaplan-Meier overall survival curves comparing predicted high vs. low proliferation cohorts in GEO.</w:t>
      </w:r>
    </w:p>
    <w:p>
      <w:pPr>
        <w:spacing w:before="40" w:after="40"/>
        <w:jc w:val="center"/>
      </w:pPr>
      <w:r>
        <w:drawing>
          <wp:inline xmlns:a="http://schemas.openxmlformats.org/drawingml/2006/main" xmlns:pic="http://schemas.openxmlformats.org/drawingml/2006/picture">
            <wp:extent cx="4937760" cy="1763486"/>
            <wp:docPr id="6" name="Picture 6"/>
            <wp:cNvGraphicFramePr>
              <a:graphicFrameLocks noChangeAspect="1"/>
            </wp:cNvGraphicFramePr>
            <a:graphic>
              <a:graphicData uri="http://schemas.openxmlformats.org/drawingml/2006/picture">
                <pic:pic>
                  <pic:nvPicPr>
                    <pic:cNvPr id="0" name="kaplan_meier_stage_stratified.png"/>
                    <pic:cNvPicPr/>
                  </pic:nvPicPr>
                  <pic:blipFill>
                    <a:blip r:embed="rId15"/>
                    <a:stretch>
                      <a:fillRect/>
                    </a:stretch>
                  </pic:blipFill>
                  <pic:spPr>
                    <a:xfrm>
                      <a:off x="0" y="0"/>
                      <a:ext cx="4937760" cy="1763486"/>
                    </a:xfrm>
                    <a:prstGeom prst="rect"/>
                  </pic:spPr>
                </pic:pic>
              </a:graphicData>
            </a:graphic>
          </wp:inline>
        </w:drawing>
      </w:r>
    </w:p>
    <w:p>
      <w:pPr>
        <w:spacing w:before="60" w:after="160"/>
        <w:jc w:val="center"/>
      </w:pPr>
      <w:r>
        <w:rPr>
          <w:rFonts w:ascii="Calibri" w:hAnsi="Calibri"/>
          <w:i/>
          <w:color w:val="5A5A5A"/>
          <w:sz w:val="17"/>
        </w:rPr>
        <w:t>Figure 6. Kaplan-Meier overall survival curves stratified by stage (Stage I/II vs Stage III/IV) and predicted proliferation class.</w:t>
      </w:r>
    </w:p>
    <w:p>
      <w:pPr>
        <w:spacing w:before="0" w:after="140" w:line="283" w:lineRule="auto"/>
      </w:pPr>
      <w:r>
        <w:rPr>
          <w:rFonts w:ascii="Calibri" w:hAnsi="Calibri"/>
          <w:color w:val="141F2B"/>
          <w:sz w:val="20"/>
        </w:rPr>
        <w:t>Cox regression did not find a significant independent effect of proliferation class after adjustment for age, sex, and stage (Table 7).</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7"/>
              </w:rPr>
              <w:t>Predictor / Covariate</w:t>
            </w:r>
          </w:p>
        </w:tc>
        <w:tc>
          <w:tcPr>
            <w:tcW w:type="dxa" w:w="1976"/>
            <w:shd w:fill="F4F6F9"/>
            <w:vAlign w:val="center"/>
          </w:tcPr>
          <w:p>
            <w:pPr>
              <w:spacing w:after="0"/>
            </w:pPr>
            <w:r/>
            <w:r>
              <w:rPr>
                <w:rFonts w:ascii="Calibri" w:hAnsi="Calibri"/>
                <w:b/>
                <w:color w:val="141F2B"/>
                <w:sz w:val="17"/>
              </w:rPr>
              <w:t>Coefficient</w:t>
            </w:r>
          </w:p>
        </w:tc>
        <w:tc>
          <w:tcPr>
            <w:tcW w:type="dxa" w:w="1976"/>
            <w:shd w:fill="F4F6F9"/>
            <w:vAlign w:val="center"/>
          </w:tcPr>
          <w:p>
            <w:pPr>
              <w:spacing w:after="0"/>
            </w:pPr>
            <w:r/>
            <w:r>
              <w:rPr>
                <w:rFonts w:ascii="Calibri" w:hAnsi="Calibri"/>
                <w:b/>
                <w:color w:val="141F2B"/>
                <w:sz w:val="17"/>
              </w:rPr>
              <w:t>Hazard Ratio (HR)</w:t>
            </w:r>
          </w:p>
        </w:tc>
        <w:tc>
          <w:tcPr>
            <w:tcW w:type="dxa" w:w="1976"/>
            <w:shd w:fill="F4F6F9"/>
            <w:vAlign w:val="center"/>
          </w:tcPr>
          <w:p>
            <w:pPr>
              <w:spacing w:after="0"/>
            </w:pPr>
            <w:r/>
            <w:r>
              <w:rPr>
                <w:rFonts w:ascii="Calibri" w:hAnsi="Calibri"/>
                <w:b/>
                <w:color w:val="141F2B"/>
                <w:sz w:val="17"/>
              </w:rPr>
              <w:t>95% CI</w:t>
            </w:r>
          </w:p>
        </w:tc>
        <w:tc>
          <w:tcPr>
            <w:tcW w:type="dxa" w:w="1976"/>
            <w:shd w:fill="F4F6F9"/>
            <w:vAlign w:val="center"/>
          </w:tcPr>
          <w:p>
            <w:pPr>
              <w:spacing w:after="0"/>
            </w:pPr>
            <w:r/>
            <w:r>
              <w:rPr>
                <w:rFonts w:ascii="Calibri" w:hAnsi="Calibri"/>
                <w:b/>
                <w:color w:val="141F2B"/>
                <w:sz w:val="17"/>
              </w:rPr>
              <w:t>p-value</w:t>
            </w:r>
          </w:p>
        </w:tc>
      </w:tr>
      <w:tr>
        <w:tc>
          <w:tcPr>
            <w:tcW w:type="dxa" w:w="1976"/>
            <w:vAlign w:val="center"/>
          </w:tcPr>
          <w:p>
            <w:pPr>
              <w:spacing w:after="0"/>
            </w:pPr>
            <w:r/>
            <w:r>
              <w:rPr>
                <w:rFonts w:ascii="Calibri" w:hAnsi="Calibri"/>
                <w:b w:val="0"/>
                <w:sz w:val="16"/>
              </w:rPr>
              <w:t>High_Proliferation</w:t>
            </w:r>
          </w:p>
        </w:tc>
        <w:tc>
          <w:tcPr>
            <w:tcW w:type="dxa" w:w="1976"/>
            <w:vAlign w:val="center"/>
          </w:tcPr>
          <w:p>
            <w:pPr>
              <w:spacing w:after="0"/>
            </w:pPr>
            <w:r/>
            <w:r>
              <w:rPr>
                <w:rFonts w:ascii="Calibri" w:hAnsi="Calibri"/>
                <w:b w:val="0"/>
                <w:sz w:val="16"/>
              </w:rPr>
              <w:t>0.0861</w:t>
            </w:r>
          </w:p>
        </w:tc>
        <w:tc>
          <w:tcPr>
            <w:tcW w:type="dxa" w:w="1976"/>
            <w:vAlign w:val="center"/>
          </w:tcPr>
          <w:p>
            <w:pPr>
              <w:spacing w:after="0"/>
            </w:pPr>
            <w:r/>
            <w:r>
              <w:rPr>
                <w:rFonts w:ascii="Calibri" w:hAnsi="Calibri"/>
                <w:b w:val="0"/>
                <w:sz w:val="16"/>
              </w:rPr>
              <w:t>1.0899</w:t>
            </w:r>
          </w:p>
        </w:tc>
        <w:tc>
          <w:tcPr>
            <w:tcW w:type="dxa" w:w="1976"/>
            <w:vAlign w:val="center"/>
          </w:tcPr>
          <w:p>
            <w:pPr>
              <w:spacing w:after="0"/>
            </w:pPr>
            <w:r/>
            <w:r>
              <w:rPr>
                <w:rFonts w:ascii="Calibri" w:hAnsi="Calibri"/>
                <w:b w:val="0"/>
                <w:sz w:val="16"/>
              </w:rPr>
              <w:t>(0.83 - 1.43)</w:t>
            </w:r>
          </w:p>
        </w:tc>
        <w:tc>
          <w:tcPr>
            <w:tcW w:type="dxa" w:w="1976"/>
            <w:vAlign w:val="center"/>
          </w:tcPr>
          <w:p>
            <w:pPr>
              <w:spacing w:after="0"/>
            </w:pPr>
            <w:r/>
            <w:r>
              <w:rPr>
                <w:rFonts w:ascii="Calibri" w:hAnsi="Calibri"/>
                <w:b w:val="0"/>
                <w:sz w:val="16"/>
              </w:rPr>
              <w:t>5.3408e-01</w:t>
            </w:r>
          </w:p>
        </w:tc>
      </w:tr>
      <w:tr>
        <w:tc>
          <w:tcPr>
            <w:tcW w:type="dxa" w:w="1976"/>
            <w:vAlign w:val="center"/>
          </w:tcPr>
          <w:p>
            <w:pPr>
              <w:spacing w:after="0"/>
            </w:pPr>
            <w:r/>
            <w:r>
              <w:rPr>
                <w:rFonts w:ascii="Calibri" w:hAnsi="Calibri"/>
                <w:b w:val="0"/>
                <w:sz w:val="16"/>
              </w:rPr>
              <w:t>Age</w:t>
            </w:r>
          </w:p>
        </w:tc>
        <w:tc>
          <w:tcPr>
            <w:tcW w:type="dxa" w:w="1976"/>
            <w:vAlign w:val="center"/>
          </w:tcPr>
          <w:p>
            <w:pPr>
              <w:spacing w:after="0"/>
            </w:pPr>
            <w:r/>
            <w:r>
              <w:rPr>
                <w:rFonts w:ascii="Calibri" w:hAnsi="Calibri"/>
                <w:b w:val="0"/>
                <w:sz w:val="16"/>
              </w:rPr>
              <w:t>0.0243</w:t>
            </w:r>
          </w:p>
        </w:tc>
        <w:tc>
          <w:tcPr>
            <w:tcW w:type="dxa" w:w="1976"/>
            <w:vAlign w:val="center"/>
          </w:tcPr>
          <w:p>
            <w:pPr>
              <w:spacing w:after="0"/>
            </w:pPr>
            <w:r/>
            <w:r>
              <w:rPr>
                <w:rFonts w:ascii="Calibri" w:hAnsi="Calibri"/>
                <w:b w:val="0"/>
                <w:sz w:val="16"/>
              </w:rPr>
              <w:t>1.0246</w:t>
            </w:r>
          </w:p>
        </w:tc>
        <w:tc>
          <w:tcPr>
            <w:tcW w:type="dxa" w:w="1976"/>
            <w:vAlign w:val="center"/>
          </w:tcPr>
          <w:p>
            <w:pPr>
              <w:spacing w:after="0"/>
            </w:pPr>
            <w:r/>
            <w:r>
              <w:rPr>
                <w:rFonts w:ascii="Calibri" w:hAnsi="Calibri"/>
                <w:b w:val="0"/>
                <w:sz w:val="16"/>
              </w:rPr>
              <w:t>(1.01 - 1.04)</w:t>
            </w:r>
          </w:p>
        </w:tc>
        <w:tc>
          <w:tcPr>
            <w:tcW w:type="dxa" w:w="1976"/>
            <w:vAlign w:val="center"/>
          </w:tcPr>
          <w:p>
            <w:pPr>
              <w:spacing w:after="0"/>
            </w:pPr>
            <w:r/>
            <w:r>
              <w:rPr>
                <w:rFonts w:ascii="Calibri" w:hAnsi="Calibri"/>
                <w:b w:val="0"/>
                <w:sz w:val="16"/>
              </w:rPr>
              <w:t>2.2280e-05</w:t>
            </w:r>
          </w:p>
        </w:tc>
      </w:tr>
      <w:tr>
        <w:tc>
          <w:tcPr>
            <w:tcW w:type="dxa" w:w="1976"/>
            <w:vAlign w:val="center"/>
          </w:tcPr>
          <w:p>
            <w:pPr>
              <w:spacing w:after="0"/>
            </w:pPr>
            <w:r/>
            <w:r>
              <w:rPr>
                <w:rFonts w:ascii="Calibri" w:hAnsi="Calibri"/>
                <w:b w:val="0"/>
                <w:sz w:val="16"/>
              </w:rPr>
              <w:t>Is_Male</w:t>
            </w:r>
          </w:p>
        </w:tc>
        <w:tc>
          <w:tcPr>
            <w:tcW w:type="dxa" w:w="1976"/>
            <w:vAlign w:val="center"/>
          </w:tcPr>
          <w:p>
            <w:pPr>
              <w:spacing w:after="0"/>
            </w:pPr>
            <w:r/>
            <w:r>
              <w:rPr>
                <w:rFonts w:ascii="Calibri" w:hAnsi="Calibri"/>
                <w:b w:val="0"/>
                <w:sz w:val="16"/>
              </w:rPr>
              <w:t>0.0372</w:t>
            </w:r>
          </w:p>
        </w:tc>
        <w:tc>
          <w:tcPr>
            <w:tcW w:type="dxa" w:w="1976"/>
            <w:vAlign w:val="center"/>
          </w:tcPr>
          <w:p>
            <w:pPr>
              <w:spacing w:after="0"/>
            </w:pPr>
            <w:r/>
            <w:r>
              <w:rPr>
                <w:rFonts w:ascii="Calibri" w:hAnsi="Calibri"/>
                <w:b w:val="0"/>
                <w:sz w:val="16"/>
              </w:rPr>
              <w:t>1.0379</w:t>
            </w:r>
          </w:p>
        </w:tc>
        <w:tc>
          <w:tcPr>
            <w:tcW w:type="dxa" w:w="1976"/>
            <w:vAlign w:val="center"/>
          </w:tcPr>
          <w:p>
            <w:pPr>
              <w:spacing w:after="0"/>
            </w:pPr>
            <w:r/>
            <w:r>
              <w:rPr>
                <w:rFonts w:ascii="Calibri" w:hAnsi="Calibri"/>
                <w:b w:val="0"/>
                <w:sz w:val="16"/>
              </w:rPr>
              <w:t>(0.80 - 1.34)</w:t>
            </w:r>
          </w:p>
        </w:tc>
        <w:tc>
          <w:tcPr>
            <w:tcW w:type="dxa" w:w="1976"/>
            <w:vAlign w:val="center"/>
          </w:tcPr>
          <w:p>
            <w:pPr>
              <w:spacing w:after="0"/>
            </w:pPr>
            <w:r/>
            <w:r>
              <w:rPr>
                <w:rFonts w:ascii="Calibri" w:hAnsi="Calibri"/>
                <w:b w:val="0"/>
                <w:sz w:val="16"/>
              </w:rPr>
              <w:t>7.7829e-01</w:t>
            </w:r>
          </w:p>
        </w:tc>
      </w:tr>
      <w:tr>
        <w:tc>
          <w:tcPr>
            <w:tcW w:type="dxa" w:w="1976"/>
            <w:vAlign w:val="center"/>
          </w:tcPr>
          <w:p>
            <w:pPr>
              <w:spacing w:after="0"/>
            </w:pPr>
            <w:r/>
            <w:r>
              <w:rPr>
                <w:rFonts w:ascii="Calibri" w:hAnsi="Calibri"/>
                <w:b w:val="0"/>
                <w:sz w:val="16"/>
              </w:rPr>
              <w:t>Stage</w:t>
            </w:r>
          </w:p>
        </w:tc>
        <w:tc>
          <w:tcPr>
            <w:tcW w:type="dxa" w:w="1976"/>
            <w:vAlign w:val="center"/>
          </w:tcPr>
          <w:p>
            <w:pPr>
              <w:spacing w:after="0"/>
            </w:pPr>
            <w:r/>
            <w:r>
              <w:rPr>
                <w:rFonts w:ascii="Calibri" w:hAnsi="Calibri"/>
                <w:b w:val="0"/>
                <w:sz w:val="16"/>
              </w:rPr>
              <w:t>0.0635</w:t>
            </w:r>
          </w:p>
        </w:tc>
        <w:tc>
          <w:tcPr>
            <w:tcW w:type="dxa" w:w="1976"/>
            <w:vAlign w:val="center"/>
          </w:tcPr>
          <w:p>
            <w:pPr>
              <w:spacing w:after="0"/>
            </w:pPr>
            <w:r/>
            <w:r>
              <w:rPr>
                <w:rFonts w:ascii="Calibri" w:hAnsi="Calibri"/>
                <w:b w:val="0"/>
                <w:sz w:val="16"/>
              </w:rPr>
              <w:t>1.0655</w:t>
            </w:r>
          </w:p>
        </w:tc>
        <w:tc>
          <w:tcPr>
            <w:tcW w:type="dxa" w:w="1976"/>
            <w:vAlign w:val="center"/>
          </w:tcPr>
          <w:p>
            <w:pPr>
              <w:spacing w:after="0"/>
            </w:pPr>
            <w:r/>
            <w:r>
              <w:rPr>
                <w:rFonts w:ascii="Calibri" w:hAnsi="Calibri"/>
                <w:b w:val="0"/>
                <w:sz w:val="16"/>
              </w:rPr>
              <w:t>(0.95 - 1.20)</w:t>
            </w:r>
          </w:p>
        </w:tc>
        <w:tc>
          <w:tcPr>
            <w:tcW w:type="dxa" w:w="1976"/>
            <w:vAlign w:val="center"/>
          </w:tcPr>
          <w:p>
            <w:pPr>
              <w:spacing w:after="0"/>
            </w:pPr>
            <w:r/>
            <w:r>
              <w:rPr>
                <w:rFonts w:ascii="Calibri" w:hAnsi="Calibri"/>
                <w:b w:val="0"/>
                <w:sz w:val="16"/>
              </w:rPr>
              <w:t>2.9381e-01</w:t>
            </w:r>
          </w:p>
        </w:tc>
      </w:tr>
    </w:tbl>
    <w:p>
      <w:pPr>
        <w:spacing w:before="60" w:after="160"/>
        <w:jc w:val="center"/>
      </w:pPr>
      <w:r>
        <w:rPr>
          <w:rFonts w:ascii="Calibri" w:hAnsi="Calibri"/>
          <w:i/>
          <w:color w:val="5A5A5A"/>
          <w:sz w:val="17"/>
        </w:rPr>
        <w:t>Table 7. Multivariate Cox Proportional Hazards survival analysis summary.</w:t>
      </w:r>
    </w:p>
    <w:p>
      <w:r>
        <w:br w:type="page"/>
      </w:r>
    </w:p>
    <w:p>
      <w:pPr>
        <w:pStyle w:val="Heading1"/>
        <w:keepNext/>
        <w:spacing w:before="240" w:after="100"/>
      </w:pPr>
    </w:p>
    <w:p>
      <w:pPr>
        <w:spacing w:before="0" w:after="140" w:line="283" w:lineRule="auto"/>
      </w:pPr>
      <w:r>
        <w:rPr>
          <w:rFonts w:ascii="Calibri" w:hAnsi="Calibri"/>
          <w:color w:val="141F2B"/>
          <w:sz w:val="20"/>
        </w:rPr>
        <w:t>Sensitivity analyses varied feature selection count (k) and variance threshold (VT). ROC-AUC remained stable across the tested ranges (Table 8).</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SelectKBest k</w:t>
            </w:r>
          </w:p>
        </w:tc>
        <w:tc>
          <w:tcPr>
            <w:tcW w:type="dxa" w:w="1976"/>
            <w:shd w:fill="F4F6F9"/>
            <w:vAlign w:val="center"/>
          </w:tcPr>
          <w:p>
            <w:pPr>
              <w:spacing w:after="0"/>
            </w:pPr>
            <w:r/>
            <w:r>
              <w:rPr>
                <w:rFonts w:ascii="Calibri" w:hAnsi="Calibri"/>
                <w:b/>
                <w:color w:val="141F2B"/>
                <w:sz w:val="16"/>
              </w:rPr>
              <w:t>Holdout ROC-AUC (k)</w:t>
            </w:r>
          </w:p>
        </w:tc>
        <w:tc>
          <w:tcPr>
            <w:tcW w:type="dxa" w:w="1976"/>
            <w:shd w:fill="F4F6F9"/>
            <w:vAlign w:val="center"/>
          </w:tcPr>
          <w:p>
            <w:pPr>
              <w:spacing w:after="0"/>
            </w:pPr>
            <w:r/>
            <w:r>
              <w:rPr>
                <w:rFonts w:ascii="Calibri" w:hAnsi="Calibri"/>
                <w:b/>
                <w:color w:val="141F2B"/>
                <w:sz w:val="16"/>
              </w:rPr>
              <w:t>Variance Threshold (VT)</w:t>
            </w:r>
          </w:p>
        </w:tc>
        <w:tc>
          <w:tcPr>
            <w:tcW w:type="dxa" w:w="1976"/>
            <w:shd w:fill="F4F6F9"/>
            <w:vAlign w:val="center"/>
          </w:tcPr>
          <w:p>
            <w:pPr>
              <w:spacing w:after="0"/>
            </w:pPr>
            <w:r/>
            <w:r>
              <w:rPr>
                <w:rFonts w:ascii="Calibri" w:hAnsi="Calibri"/>
                <w:b/>
                <w:color w:val="141F2B"/>
                <w:sz w:val="16"/>
              </w:rPr>
              <w:t>Features Passed VT</w:t>
            </w:r>
          </w:p>
        </w:tc>
        <w:tc>
          <w:tcPr>
            <w:tcW w:type="dxa" w:w="1976"/>
            <w:shd w:fill="F4F6F9"/>
            <w:vAlign w:val="center"/>
          </w:tcPr>
          <w:p>
            <w:pPr>
              <w:spacing w:after="0"/>
            </w:pPr>
            <w:r/>
            <w:r>
              <w:rPr>
                <w:rFonts w:ascii="Calibri" w:hAnsi="Calibri"/>
                <w:b/>
                <w:color w:val="141F2B"/>
                <w:sz w:val="16"/>
              </w:rPr>
              <w:t>Holdout ROC-AUC (VT)</w:t>
            </w:r>
          </w:p>
        </w:tc>
      </w:tr>
      <w:tr>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0.9828</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0.9838</w:t>
            </w:r>
          </w:p>
        </w:tc>
        <w:tc>
          <w:tcPr>
            <w:tcW w:type="dxa" w:w="1976"/>
            <w:vAlign w:val="center"/>
          </w:tcPr>
          <w:p>
            <w:pPr>
              <w:spacing w:after="0"/>
            </w:pPr>
            <w:r/>
            <w:r>
              <w:rPr>
                <w:rFonts w:ascii="Calibri" w:hAnsi="Calibri"/>
                <w:b w:val="0"/>
                <w:sz w:val="16"/>
              </w:rPr>
              <w:t>0.005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300</w:t>
            </w:r>
          </w:p>
        </w:tc>
        <w:tc>
          <w:tcPr>
            <w:tcW w:type="dxa" w:w="1976"/>
            <w:vAlign w:val="center"/>
          </w:tcPr>
          <w:p>
            <w:pPr>
              <w:spacing w:after="0"/>
            </w:pPr>
            <w:r/>
            <w:r>
              <w:rPr>
                <w:rFonts w:ascii="Calibri" w:hAnsi="Calibri"/>
                <w:b w:val="0"/>
                <w:sz w:val="16"/>
              </w:rPr>
              <w:t>0.9835</w:t>
            </w:r>
          </w:p>
        </w:tc>
        <w:tc>
          <w:tcPr>
            <w:tcW w:type="dxa" w:w="1976"/>
            <w:vAlign w:val="center"/>
          </w:tcPr>
          <w:p>
            <w:pPr>
              <w:spacing w:after="0"/>
            </w:pPr>
            <w:r/>
            <w:r>
              <w:rPr>
                <w:rFonts w:ascii="Calibri" w:hAnsi="Calibri"/>
                <w:b w:val="0"/>
                <w:sz w:val="16"/>
              </w:rPr>
              <w:t>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500</w:t>
            </w:r>
          </w:p>
        </w:tc>
        <w:tc>
          <w:tcPr>
            <w:tcW w:type="dxa" w:w="1976"/>
            <w:vAlign w:val="center"/>
          </w:tcPr>
          <w:p>
            <w:pPr>
              <w:spacing w:after="0"/>
            </w:pPr>
            <w:r/>
            <w:r>
              <w:rPr>
                <w:rFonts w:ascii="Calibri" w:hAnsi="Calibri"/>
                <w:b w:val="0"/>
                <w:sz w:val="16"/>
              </w:rPr>
              <w:t>0.9825</w:t>
            </w:r>
          </w:p>
        </w:tc>
        <w:tc>
          <w:tcPr>
            <w:tcW w:type="dxa" w:w="1976"/>
            <w:vAlign w:val="center"/>
          </w:tcPr>
          <w:p>
            <w:pPr>
              <w:spacing w:after="0"/>
            </w:pPr>
            <w:r/>
            <w:r>
              <w:rPr>
                <w:rFonts w:ascii="Calibri" w:hAnsi="Calibri"/>
                <w:b w:val="0"/>
                <w:sz w:val="16"/>
              </w:rPr>
              <w:t>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1000</w:t>
            </w:r>
          </w:p>
        </w:tc>
        <w:tc>
          <w:tcPr>
            <w:tcW w:type="dxa" w:w="1976"/>
            <w:vAlign w:val="center"/>
          </w:tcPr>
          <w:p>
            <w:pPr>
              <w:spacing w:after="0"/>
            </w:pPr>
            <w:r/>
            <w:r>
              <w:rPr>
                <w:rFonts w:ascii="Calibri" w:hAnsi="Calibri"/>
                <w:b w:val="0"/>
                <w:sz w:val="16"/>
              </w:rPr>
              <w:t>0.9863</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r>
    </w:tbl>
    <w:p>
      <w:pPr>
        <w:spacing w:before="60" w:after="160"/>
        <w:jc w:val="center"/>
      </w:pPr>
      <w:r>
        <w:rPr>
          <w:rFonts w:ascii="Calibri" w:hAnsi="Calibri"/>
          <w:i/>
          <w:color w:val="5A5A5A"/>
          <w:sz w:val="17"/>
        </w:rPr>
        <w:t>Table 8. Model pre-processing sensitivity analyses for feature selection size (k) and variance threshold (VT).</w:t>
      </w:r>
    </w:p>
    <w:p>
      <w:r>
        <w:br w:type="page"/>
      </w:r>
    </w:p>
    <w:p>
      <w:pPr>
        <w:pStyle w:val="Heading1"/>
        <w:keepNext/>
        <w:spacing w:before="240" w:after="100"/>
      </w:pPr>
    </w:p>
    <w:p>
      <w:pPr>
        <w:spacing w:before="0" w:after="140" w:line="283" w:lineRule="auto"/>
      </w:pPr>
      <w:r>
        <w:rPr>
          <w:rFonts w:ascii="Calibri" w:hAnsi="Calibri"/>
          <w:color w:val="141F2B"/>
          <w:sz w:val="20"/>
        </w:rPr>
        <w:t>Proliferation status can be predicted from transcriptomic features even after removing the ten cell-cycle genes that define the target. This suggests proliferation drives broad transcriptional remodeling. Top SHAP features included ribosome biogenesis, DNA replication, and mitochondrial translation genes that support cell division. High-proliferation patients showed shorter survival in GEO (log-rank p = 0.037) and TCGA (log-rank p = 0.034). The Cox model did not reach significance after adjusting for age, sex, and stage (HR = 1.09, p = 0.5341). External validation on TCGA and CPTAC gave ROC-AUCs up to 0.973 and 0.949. Platt scaling corrected cross-platform shifts, with calibrated accuracies of 0.921 (TCGA) and 0.868 (CPTAC). On CPTAC (n = 105), Random Forest gave a calibrated AUC of 0.9487 and accuracy of 0.8679.</w:t>
      </w:r>
    </w:p>
    <w:p>
      <w:pPr>
        <w:spacing w:before="0" w:after="140" w:line="283" w:lineRule="auto"/>
      </w:pPr>
      <w:r>
        <w:rPr>
          <w:rFonts w:ascii="Calibri" w:hAnsi="Calibri"/>
          <w:color w:val="141F2B"/>
          <w:sz w:val="20"/>
        </w:rPr>
        <w:t>We compared the performance and validation characteristics of ColoGrowth-ML with other prognostic classifiers in colorectal cancer (Table 9).</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Study</w:t>
            </w:r>
          </w:p>
        </w:tc>
        <w:tc>
          <w:tcPr>
            <w:tcW w:type="dxa" w:w="1411"/>
            <w:shd w:fill="F4F6F9"/>
            <w:vAlign w:val="center"/>
          </w:tcPr>
          <w:p>
            <w:pPr>
              <w:spacing w:after="0"/>
            </w:pPr>
            <w:r/>
            <w:r>
              <w:rPr>
                <w:rFonts w:ascii="Calibri" w:hAnsi="Calibri"/>
                <w:b/>
                <w:color w:val="141F2B"/>
                <w:sz w:val="16"/>
              </w:rPr>
              <w:t>Year</w:t>
            </w:r>
          </w:p>
        </w:tc>
        <w:tc>
          <w:tcPr>
            <w:tcW w:type="dxa" w:w="1411"/>
            <w:shd w:fill="F4F6F9"/>
            <w:vAlign w:val="center"/>
          </w:tcPr>
          <w:p>
            <w:pPr>
              <w:spacing w:after="0"/>
            </w:pPr>
            <w:r/>
            <w:r>
              <w:rPr>
                <w:rFonts w:ascii="Calibri" w:hAnsi="Calibri"/>
                <w:b/>
                <w:color w:val="141F2B"/>
                <w:sz w:val="16"/>
              </w:rPr>
              <w:t>Cohort/Platform</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AUC/Accuracy</w:t>
            </w:r>
          </w:p>
        </w:tc>
        <w:tc>
          <w:tcPr>
            <w:tcW w:type="dxa" w:w="1411"/>
            <w:shd w:fill="F4F6F9"/>
            <w:vAlign w:val="center"/>
          </w:tcPr>
          <w:p>
            <w:pPr>
              <w:spacing w:after="0"/>
            </w:pPr>
            <w:r/>
            <w:r>
              <w:rPr>
                <w:rFonts w:ascii="Calibri" w:hAnsi="Calibri"/>
                <w:b/>
                <w:color w:val="141F2B"/>
                <w:sz w:val="16"/>
              </w:rPr>
              <w:t>Leakage-controlled?</w:t>
            </w:r>
          </w:p>
        </w:tc>
        <w:tc>
          <w:tcPr>
            <w:tcW w:type="dxa" w:w="1411"/>
            <w:shd w:fill="F4F6F9"/>
            <w:vAlign w:val="center"/>
          </w:tcPr>
          <w:p>
            <w:pPr>
              <w:spacing w:after="0"/>
            </w:pPr>
            <w:r/>
            <w:r>
              <w:rPr>
                <w:rFonts w:ascii="Calibri" w:hAnsi="Calibri"/>
                <w:b/>
                <w:color w:val="141F2B"/>
                <w:sz w:val="16"/>
              </w:rPr>
              <w:t>Cross-platform validated?</w:t>
            </w:r>
          </w:p>
        </w:tc>
      </w:tr>
      <w:tr>
        <w:tc>
          <w:tcPr>
            <w:tcW w:type="dxa" w:w="1411"/>
            <w:vAlign w:val="center"/>
          </w:tcPr>
          <w:p>
            <w:pPr>
              <w:spacing w:after="0"/>
            </w:pPr>
            <w:r/>
            <w:r>
              <w:rPr>
                <w:rFonts w:ascii="Calibri" w:hAnsi="Calibri"/>
                <w:b w:val="0"/>
                <w:sz w:val="16"/>
              </w:rPr>
              <w:t>Zeng et al.</w:t>
            </w:r>
          </w:p>
        </w:tc>
        <w:tc>
          <w:tcPr>
            <w:tcW w:type="dxa" w:w="1411"/>
            <w:vAlign w:val="center"/>
          </w:tcPr>
          <w:p>
            <w:pPr>
              <w:spacing w:after="0"/>
            </w:pPr>
            <w:r/>
            <w:r>
              <w:rPr>
                <w:rFonts w:ascii="Calibri" w:hAnsi="Calibri"/>
                <w:b w:val="0"/>
                <w:sz w:val="16"/>
              </w:rPr>
              <w:t>2025</w:t>
            </w:r>
          </w:p>
        </w:tc>
        <w:tc>
          <w:tcPr>
            <w:tcW w:type="dxa" w:w="1411"/>
            <w:vAlign w:val="center"/>
          </w:tcPr>
          <w:p>
            <w:pPr>
              <w:spacing w:after="0"/>
            </w:pPr>
            <w:r/>
            <w:r>
              <w:rPr>
                <w:rFonts w:ascii="Calibri" w:hAnsi="Calibri"/>
                <w:b w:val="0"/>
                <w:sz w:val="16"/>
              </w:rPr>
              <w:t>Histology (SVM/XGB)</w:t>
            </w:r>
          </w:p>
        </w:tc>
        <w:tc>
          <w:tcPr>
            <w:tcW w:type="dxa" w:w="1411"/>
            <w:vAlign w:val="center"/>
          </w:tcPr>
          <w:p>
            <w:pPr>
              <w:spacing w:after="0"/>
            </w:pPr>
            <w:r/>
            <w:r>
              <w:rPr>
                <w:rFonts w:ascii="Calibri" w:hAnsi="Calibri"/>
                <w:b w:val="0"/>
                <w:sz w:val="16"/>
              </w:rPr>
              <w:t>312</w:t>
            </w:r>
          </w:p>
        </w:tc>
        <w:tc>
          <w:tcPr>
            <w:tcW w:type="dxa" w:w="1411"/>
            <w:vAlign w:val="center"/>
          </w:tcPr>
          <w:p>
            <w:pPr>
              <w:spacing w:after="0"/>
            </w:pPr>
            <w:r/>
            <w:r>
              <w:rPr>
                <w:rFonts w:ascii="Calibri" w:hAnsi="Calibri"/>
                <w:b w:val="0"/>
                <w:sz w:val="16"/>
              </w:rPr>
              <w:t>0.750 - 0.795 (AUC)</w:t>
            </w:r>
          </w:p>
        </w:tc>
        <w:tc>
          <w:tcPr>
            <w:tcW w:type="dxa" w:w="1411"/>
            <w:vAlign w:val="center"/>
          </w:tcPr>
          <w:p>
            <w:pPr>
              <w:spacing w:after="0"/>
            </w:pPr>
            <w:r/>
            <w:r>
              <w:rPr>
                <w:rFonts w:ascii="Calibri" w:hAnsi="Calibri"/>
                <w:b w:val="0"/>
                <w:sz w:val="16"/>
              </w:rPr>
              <w:t>No (Morphology-based)</w:t>
            </w:r>
          </w:p>
        </w:tc>
        <w:tc>
          <w:tcPr>
            <w:tcW w:type="dxa" w:w="1411"/>
            <w:vAlign w:val="center"/>
          </w:tcPr>
          <w:p>
            <w:pPr>
              <w:spacing w:after="0"/>
            </w:pPr>
            <w:r/>
            <w:r>
              <w:rPr>
                <w:rFonts w:ascii="Calibri" w:hAnsi="Calibri"/>
                <w:b w:val="0"/>
                <w:sz w:val="16"/>
              </w:rPr>
              <w:t>Yes (External center)</w:t>
            </w:r>
          </w:p>
        </w:tc>
      </w:tr>
      <w:tr>
        <w:tc>
          <w:tcPr>
            <w:tcW w:type="dxa" w:w="1411"/>
            <w:vAlign w:val="center"/>
          </w:tcPr>
          <w:p>
            <w:pPr>
              <w:spacing w:after="0"/>
            </w:pPr>
            <w:r/>
            <w:r>
              <w:rPr>
                <w:rFonts w:ascii="Calibri" w:hAnsi="Calibri"/>
                <w:b w:val="0"/>
                <w:sz w:val="16"/>
              </w:rPr>
              <w:t>Agesen et al. (ColoGuideEx)</w:t>
            </w:r>
          </w:p>
        </w:tc>
        <w:tc>
          <w:tcPr>
            <w:tcW w:type="dxa" w:w="1411"/>
            <w:vAlign w:val="center"/>
          </w:tcPr>
          <w:p>
            <w:pPr>
              <w:spacing w:after="0"/>
            </w:pPr>
            <w:r/>
            <w:r>
              <w:rPr>
                <w:rFonts w:ascii="Calibri" w:hAnsi="Calibri"/>
                <w:b w:val="0"/>
                <w:sz w:val="16"/>
              </w:rPr>
              <w:t>2012</w:t>
            </w:r>
          </w:p>
        </w:tc>
        <w:tc>
          <w:tcPr>
            <w:tcW w:type="dxa" w:w="1411"/>
            <w:vAlign w:val="center"/>
          </w:tcPr>
          <w:p>
            <w:pPr>
              <w:spacing w:after="0"/>
            </w:pPr>
            <w:r/>
            <w:r>
              <w:rPr>
                <w:rFonts w:ascii="Calibri" w:hAnsi="Calibri"/>
                <w:b w:val="0"/>
                <w:sz w:val="16"/>
              </w:rPr>
              <w:t>Microarray (13-gene)</w:t>
            </w:r>
          </w:p>
        </w:tc>
        <w:tc>
          <w:tcPr>
            <w:tcW w:type="dxa" w:w="1411"/>
            <w:vAlign w:val="center"/>
          </w:tcPr>
          <w:p>
            <w:pPr>
              <w:spacing w:after="0"/>
            </w:pPr>
            <w:r/>
            <w:r>
              <w:rPr>
                <w:rFonts w:ascii="Calibri" w:hAnsi="Calibri"/>
                <w:b w:val="0"/>
                <w:sz w:val="16"/>
              </w:rPr>
              <w:t>153</w:t>
            </w:r>
          </w:p>
        </w:tc>
        <w:tc>
          <w:tcPr>
            <w:tcW w:type="dxa" w:w="1411"/>
            <w:vAlign w:val="center"/>
          </w:tcPr>
          <w:p>
            <w:pPr>
              <w:spacing w:after="0"/>
            </w:pPr>
            <w:r/>
            <w:r>
              <w:rPr>
                <w:rFonts w:ascii="Calibri" w:hAnsi="Calibri"/>
                <w:b w:val="0"/>
                <w:sz w:val="16"/>
              </w:rPr>
              <w:t>~0.710 (AUC)</w:t>
            </w:r>
          </w:p>
        </w:tc>
        <w:tc>
          <w:tcPr>
            <w:tcW w:type="dxa" w:w="1411"/>
            <w:vAlign w:val="center"/>
          </w:tcPr>
          <w:p>
            <w:pPr>
              <w:spacing w:after="0"/>
            </w:pPr>
            <w:r/>
            <w:r>
              <w:rPr>
                <w:rFonts w:ascii="Calibri" w:hAnsi="Calibri"/>
                <w:b w:val="0"/>
                <w:sz w:val="16"/>
              </w:rPr>
              <w:t>No (Uncontrolled signatures)</w:t>
            </w:r>
          </w:p>
        </w:tc>
        <w:tc>
          <w:tcPr>
            <w:tcW w:type="dxa" w:w="1411"/>
            <w:vAlign w:val="center"/>
          </w:tcPr>
          <w:p>
            <w:pPr>
              <w:spacing w:after="0"/>
            </w:pPr>
            <w:r/>
            <w:r>
              <w:rPr>
                <w:rFonts w:ascii="Calibri" w:hAnsi="Calibri"/>
                <w:b w:val="0"/>
                <w:sz w:val="16"/>
              </w:rPr>
              <w:t>No</w:t>
            </w:r>
          </w:p>
        </w:tc>
      </w:tr>
      <w:tr>
        <w:tc>
          <w:tcPr>
            <w:tcW w:type="dxa" w:w="1411"/>
            <w:vAlign w:val="center"/>
          </w:tcPr>
          <w:p>
            <w:pPr>
              <w:spacing w:after="0"/>
            </w:pPr>
            <w:r/>
            <w:r>
              <w:rPr>
                <w:rFonts w:ascii="Calibri" w:hAnsi="Calibri"/>
                <w:b w:val="0"/>
                <w:sz w:val="16"/>
              </w:rPr>
              <w:t>O'Connell et al. (OncoType DX)</w:t>
            </w:r>
          </w:p>
        </w:tc>
        <w:tc>
          <w:tcPr>
            <w:tcW w:type="dxa" w:w="1411"/>
            <w:vAlign w:val="center"/>
          </w:tcPr>
          <w:p>
            <w:pPr>
              <w:spacing w:after="0"/>
            </w:pPr>
            <w:r/>
            <w:r>
              <w:rPr>
                <w:rFonts w:ascii="Calibri" w:hAnsi="Calibri"/>
                <w:b w:val="0"/>
                <w:sz w:val="16"/>
              </w:rPr>
              <w:t>2010</w:t>
            </w:r>
          </w:p>
        </w:tc>
        <w:tc>
          <w:tcPr>
            <w:tcW w:type="dxa" w:w="1411"/>
            <w:vAlign w:val="center"/>
          </w:tcPr>
          <w:p>
            <w:pPr>
              <w:spacing w:after="0"/>
            </w:pPr>
            <w:r/>
            <w:r>
              <w:rPr>
                <w:rFonts w:ascii="Calibri" w:hAnsi="Calibri"/>
                <w:b w:val="0"/>
                <w:sz w:val="16"/>
              </w:rPr>
              <w:t>RT-qPCR (12-gene)</w:t>
            </w:r>
          </w:p>
        </w:tc>
        <w:tc>
          <w:tcPr>
            <w:tcW w:type="dxa" w:w="1411"/>
            <w:vAlign w:val="center"/>
          </w:tcPr>
          <w:p>
            <w:pPr>
              <w:spacing w:after="0"/>
            </w:pPr>
            <w:r/>
            <w:r>
              <w:rPr>
                <w:rFonts w:ascii="Calibri" w:hAnsi="Calibri"/>
                <w:b w:val="0"/>
                <w:sz w:val="16"/>
              </w:rPr>
              <w:t>1436</w:t>
            </w:r>
          </w:p>
        </w:tc>
        <w:tc>
          <w:tcPr>
            <w:tcW w:type="dxa" w:w="1411"/>
            <w:vAlign w:val="center"/>
          </w:tcPr>
          <w:p>
            <w:pPr>
              <w:spacing w:after="0"/>
            </w:pPr>
            <w:r/>
            <w:r>
              <w:rPr>
                <w:rFonts w:ascii="Calibri" w:hAnsi="Calibri"/>
                <w:b w:val="0"/>
                <w:sz w:val="16"/>
              </w:rPr>
              <w:t>~0.680 (AUC)</w:t>
            </w:r>
          </w:p>
        </w:tc>
        <w:tc>
          <w:tcPr>
            <w:tcW w:type="dxa" w:w="1411"/>
            <w:vAlign w:val="center"/>
          </w:tcPr>
          <w:p>
            <w:pPr>
              <w:spacing w:after="0"/>
            </w:pPr>
            <w:r/>
            <w:r>
              <w:rPr>
                <w:rFonts w:ascii="Calibri" w:hAnsi="Calibri"/>
                <w:b w:val="0"/>
                <w:sz w:val="16"/>
              </w:rPr>
              <w:t>No (Clinical recurrence)</w:t>
            </w:r>
          </w:p>
        </w:tc>
        <w:tc>
          <w:tcPr>
            <w:tcW w:type="dxa" w:w="1411"/>
            <w:vAlign w:val="center"/>
          </w:tcPr>
          <w:p>
            <w:pPr>
              <w:spacing w:after="0"/>
            </w:pPr>
            <w:r/>
            <w:r>
              <w:rPr>
                <w:rFonts w:ascii="Calibri" w:hAnsi="Calibri"/>
                <w:b w:val="0"/>
                <w:sz w:val="16"/>
              </w:rPr>
              <w:t>Yes (RT-qPCR alignment)</w:t>
            </w:r>
          </w:p>
        </w:tc>
      </w:tr>
      <w:tr>
        <w:tc>
          <w:tcPr>
            <w:tcW w:type="dxa" w:w="1411"/>
            <w:vAlign w:val="center"/>
          </w:tcPr>
          <w:p>
            <w:pPr>
              <w:spacing w:after="0"/>
            </w:pPr>
            <w:r/>
            <w:r>
              <w:rPr>
                <w:rFonts w:ascii="Calibri" w:hAnsi="Calibri"/>
                <w:b w:val="0"/>
                <w:sz w:val="16"/>
              </w:rPr>
              <w:t>ColoGrowth-ML (Ours)</w:t>
            </w:r>
          </w:p>
        </w:tc>
        <w:tc>
          <w:tcPr>
            <w:tcW w:type="dxa" w:w="1411"/>
            <w:vAlign w:val="center"/>
          </w:tcPr>
          <w:p>
            <w:pPr>
              <w:spacing w:after="0"/>
            </w:pPr>
            <w:r/>
            <w:r>
              <w:rPr>
                <w:rFonts w:ascii="Calibri" w:hAnsi="Calibri"/>
                <w:b w:val="0"/>
                <w:sz w:val="16"/>
              </w:rPr>
              <w:t>2026</w:t>
            </w:r>
          </w:p>
        </w:tc>
        <w:tc>
          <w:tcPr>
            <w:tcW w:type="dxa" w:w="1411"/>
            <w:vAlign w:val="center"/>
          </w:tcPr>
          <w:p>
            <w:pPr>
              <w:spacing w:after="0"/>
            </w:pPr>
            <w:r/>
            <w:r>
              <w:rPr>
                <w:rFonts w:ascii="Calibri" w:hAnsi="Calibri"/>
                <w:b w:val="0"/>
                <w:sz w:val="16"/>
              </w:rPr>
              <w:t>Microarray / RNA-seq</w:t>
            </w:r>
          </w:p>
        </w:tc>
        <w:tc>
          <w:tcPr>
            <w:tcW w:type="dxa" w:w="1411"/>
            <w:vAlign w:val="center"/>
          </w:tcPr>
          <w:p>
            <w:pPr>
              <w:spacing w:after="0"/>
            </w:pPr>
            <w:r/>
            <w:r>
              <w:rPr>
                <w:rFonts w:ascii="Calibri" w:hAnsi="Calibri"/>
                <w:b w:val="0"/>
                <w:sz w:val="16"/>
              </w:rPr>
              <w:t>585 / 322 / 105</w:t>
            </w:r>
          </w:p>
        </w:tc>
        <w:tc>
          <w:tcPr>
            <w:tcW w:type="dxa" w:w="1411"/>
            <w:vAlign w:val="center"/>
          </w:tcPr>
          <w:p>
            <w:pPr>
              <w:spacing w:after="0"/>
            </w:pPr>
            <w:r/>
            <w:r>
              <w:rPr>
                <w:rFonts w:ascii="Calibri" w:hAnsi="Calibri"/>
                <w:b w:val="0"/>
                <w:sz w:val="16"/>
              </w:rPr>
              <w:t>0.994 / 0.973 / 0.949 (AUC)</w:t>
            </w:r>
          </w:p>
        </w:tc>
        <w:tc>
          <w:tcPr>
            <w:tcW w:type="dxa" w:w="1411"/>
            <w:vAlign w:val="center"/>
          </w:tcPr>
          <w:p>
            <w:pPr>
              <w:spacing w:after="0"/>
            </w:pPr>
            <w:r/>
            <w:r>
              <w:rPr>
                <w:rFonts w:ascii="Calibri" w:hAnsi="Calibri"/>
                <w:b w:val="0"/>
                <w:sz w:val="16"/>
              </w:rPr>
              <w:t>Yes (Removed 10 core genes)</w:t>
            </w:r>
          </w:p>
        </w:tc>
        <w:tc>
          <w:tcPr>
            <w:tcW w:type="dxa" w:w="1411"/>
            <w:vAlign w:val="center"/>
          </w:tcPr>
          <w:p>
            <w:pPr>
              <w:spacing w:after="0"/>
            </w:pPr>
            <w:r/>
            <w:r>
              <w:rPr>
                <w:rFonts w:ascii="Calibri" w:hAnsi="Calibri"/>
                <w:b w:val="0"/>
                <w:sz w:val="16"/>
              </w:rPr>
              <w:t>Yes (Microarray to RNA-seq ×2)</w:t>
            </w:r>
          </w:p>
        </w:tc>
      </w:tr>
    </w:tbl>
    <w:p>
      <w:pPr>
        <w:spacing w:before="60" w:after="160"/>
        <w:jc w:val="center"/>
      </w:pPr>
      <w:r>
        <w:rPr>
          <w:rFonts w:ascii="Calibri" w:hAnsi="Calibri"/>
          <w:i/>
          <w:color w:val="5A5A5A"/>
          <w:sz w:val="17"/>
        </w:rPr>
        <w:t>Table 9. Performance and methodological comparisons with published signatures.</w:t>
      </w:r>
    </w:p>
    <w:p>
      <w:pPr>
        <w:spacing w:before="0" w:after="140" w:line="283" w:lineRule="auto"/>
      </w:pPr>
      <w:r>
        <w:rPr>
          <w:rFonts w:ascii="Calibri" w:hAnsi="Calibri"/>
          <w:color w:val="141F2B"/>
          <w:sz w:val="20"/>
        </w:rPr>
        <w:t>Top features MCM10, SPC25, NCAPH, and RFC4 point to transcriptional remodeling downstream of cell-cycle entry. MCM10 supports DNA replication through CMG helicase complex isomerization (Langston et al., 2017). RFC4 recruits DNA polymerase delta to repair sites (Overmeer et al., 2010). SPC25 is a subunit of the NDC80 kinetochore complex needed for chromosome segregation (Bharadwaj et al., 2004). NCAPH participates in condensin I assembly for chromosome condensation in proliferating cells (Seipold et al., 2009). These genes operate downstream of cell-cycle checkpoints, and their upregulation fits the needs of dividing cells. Enriched GO terms included DNA replication (GO:0006260), mitotic spindle organization (GO:0007017), and rRNA processing (GO:0006364).</w:t>
      </w:r>
    </w:p>
    <w:p>
      <w:pPr>
        <w:pStyle w:val="Heading1"/>
        <w:keepNext/>
        <w:spacing w:before="240" w:after="100"/>
      </w:pPr>
    </w:p>
    <w:p>
      <w:pPr>
        <w:spacing w:before="0" w:after="140" w:line="283" w:lineRule="auto"/>
      </w:pPr>
      <w:r>
        <w:rPr>
          <w:rFonts w:ascii="Calibri" w:hAnsi="Calibri"/>
          <w:b/>
          <w:color w:val="141F2B"/>
          <w:sz w:val="20"/>
        </w:rPr>
        <w:t>LIMITATIONS:</w:t>
      </w:r>
    </w:p>
    <w:p>
      <w:pPr>
        <w:pStyle w:val="ListBullet"/>
        <w:spacing w:after="60"/>
      </w:pPr>
      <w:r>
        <w:rPr>
          <w:rFonts w:ascii="Calibri" w:hAnsi="Calibri"/>
          <w:color w:val="141F2B"/>
          <w:sz w:val="20"/>
        </w:rPr>
        <w:t>Sample size: GEO GSE39582 (n=585) is moderate. CPTAC-COAD (n=105) has only 7 survival events, limiting power.</w:t>
      </w:r>
    </w:p>
    <w:p>
      <w:pPr>
        <w:pStyle w:val="ListBullet"/>
        <w:spacing w:after="60"/>
      </w:pPr>
      <w:r>
        <w:rPr>
          <w:rFonts w:ascii="Calibri" w:hAnsi="Calibri"/>
          <w:color w:val="141F2B"/>
          <w:sz w:val="20"/>
        </w:rPr>
        <w:t>Target binarization at the median is standard but arbitrary. Continuous risk scores might work better.</w:t>
      </w:r>
    </w:p>
    <w:p>
      <w:pPr>
        <w:pStyle w:val="ListBullet"/>
        <w:spacing w:after="60"/>
      </w:pPr>
      <w:r>
        <w:rPr>
          <w:rFonts w:ascii="Calibri" w:hAnsi="Calibri"/>
          <w:color w:val="141F2B"/>
          <w:sz w:val="20"/>
        </w:rPr>
        <w:t>Microarray and RNA-seq have different dynamic ranges, requiring post-hoc calibration to restore accuracy.</w:t>
      </w:r>
    </w:p>
    <w:p>
      <w:pPr>
        <w:pStyle w:val="ListBullet"/>
        <w:spacing w:after="60"/>
      </w:pPr>
      <w:r>
        <w:rPr>
          <w:rFonts w:ascii="Calibri" w:hAnsi="Calibri"/>
          <w:color w:val="141F2B"/>
          <w:sz w:val="20"/>
        </w:rPr>
        <w:t>SHAP scores reflect correlation, not causation.</w:t>
      </w:r>
    </w:p>
    <w:p>
      <w:pPr>
        <w:spacing w:before="0" w:after="140" w:line="283" w:lineRule="auto"/>
      </w:pPr>
      <w:r>
        <w:rPr>
          <w:rFonts w:ascii="Calibri" w:hAnsi="Calibri"/>
          <w:b/>
          <w:color w:val="141F2B"/>
          <w:sz w:val="20"/>
        </w:rPr>
        <w:t>FUTURE WORK:</w:t>
      </w:r>
    </w:p>
    <w:p>
      <w:pPr>
        <w:pStyle w:val="ListBullet"/>
        <w:spacing w:after="60"/>
      </w:pPr>
      <w:r>
        <w:rPr>
          <w:rFonts w:ascii="Calibri" w:hAnsi="Calibri"/>
          <w:color w:val="141F2B"/>
          <w:sz w:val="20"/>
        </w:rPr>
        <w:t>Prospective validation of the Top-3 Ensemble on new COAD biopsy cohorts.</w:t>
      </w:r>
    </w:p>
    <w:p>
      <w:pPr>
        <w:pStyle w:val="ListBullet"/>
        <w:spacing w:after="60"/>
      </w:pPr>
      <w:r>
        <w:rPr>
          <w:rFonts w:ascii="Calibri" w:hAnsi="Calibri"/>
          <w:color w:val="141F2B"/>
          <w:sz w:val="20"/>
        </w:rPr>
        <w:t>qPCR knockdown of top SHAP genes (RPS3, RPS11) to confirm their role in growth regulation.</w:t>
      </w:r>
    </w:p>
    <w:p>
      <w:pPr>
        <w:pStyle w:val="ListBullet"/>
        <w:spacing w:after="60"/>
      </w:pPr>
      <w:r>
        <w:rPr>
          <w:rFonts w:ascii="Calibri" w:hAnsi="Calibri"/>
          <w:color w:val="141F2B"/>
          <w:sz w:val="20"/>
        </w:rPr>
        <w:t>Integration of CNVs and somatic mutation data into the feature space.</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characterization, validation, and prognostic value. PLoS Medicine, 2013. DOI: 10.1371/journal.pmed.1001453</w:t>
      </w:r>
    </w:p>
    <w:p>
      <w:pPr>
        <w:pStyle w:val="ListNumber"/>
        <w:spacing w:after="60"/>
      </w:pPr>
      <w:r>
        <w:rPr>
          <w:rFonts w:ascii="Calibri" w:hAnsi="Calibri"/>
          <w:color w:val="141F2B"/>
          <w:sz w:val="19"/>
        </w:rPr>
        <w:t>Whitfield, M. L. et al. Identification of genes periodically expressed in the human cell cycle and their expression in tumors. Molecular Biology of the Cell, 2002. DOI: 10.1091/mbc.02-02-0030</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ListNumber"/>
        <w:spacing w:after="60"/>
      </w:pPr>
      <w:r>
        <w:rPr>
          <w:rFonts w:ascii="Calibri" w:hAnsi="Calibri"/>
          <w:color w:val="141F2B"/>
          <w:sz w:val="19"/>
        </w:rPr>
        <w:t>Zeng, D.-T. et al. Prognostic role of Ki-67 in colorectal carcinoma: Development and evaluation of machine learning prediction models. World Journal of Clinical Oncology, 2025. DOI: 10.5306/wjco.v16.i8.107306</w:t>
      </w:r>
    </w:p>
    <w:p>
      <w:pPr>
        <w:pStyle w:val="ListNumber"/>
        <w:spacing w:after="60"/>
      </w:pPr>
      <w:r>
        <w:rPr>
          <w:rFonts w:ascii="Calibri" w:hAnsi="Calibri"/>
          <w:color w:val="141F2B"/>
          <w:sz w:val="19"/>
        </w:rPr>
        <w:t>Agesen, T. H. et al. ColoGuideEx: a robust gene classifier specific for stage II colorectal cancer prognosis. Gut, 2012. DOI: 10.1136/gutjnl-2011-301179</w:t>
      </w:r>
    </w:p>
    <w:p>
      <w:pPr>
        <w:pStyle w:val="ListNumber"/>
        <w:spacing w:after="60"/>
      </w:pPr>
      <w:r>
        <w:rPr>
          <w:rFonts w:ascii="Calibri" w:hAnsi="Calibri"/>
          <w:color w:val="141F2B"/>
          <w:sz w:val="19"/>
        </w:rPr>
        <w:t>O'Connell, M. J. et al. Relationship between tumor gene expression and recurrence in four independent studies of patients with stage II/III colon cancer treated with surgery alone or surgery plus adjuvant fluorouracil plus leucovorin. Journal of Clinical Oncology, 2010. DOI: 10.1200/JCO.2010.28.9538</w:t>
      </w:r>
    </w:p>
    <w:p>
      <w:pPr>
        <w:pStyle w:val="ListNumber"/>
        <w:spacing w:after="60"/>
      </w:pPr>
      <w:r>
        <w:rPr>
          <w:rFonts w:ascii="Calibri" w:hAnsi="Calibri"/>
          <w:color w:val="141F2B"/>
          <w:sz w:val="19"/>
        </w:rPr>
        <w:t>Langston, L. D. et al. Mcm10 promotes rapid isomerization of CMG-DNA for replisome bypass of lagging strand DNA blocks. eLife, 2017. DOI: 10.7554/eLife.29118</w:t>
      </w:r>
    </w:p>
    <w:p>
      <w:pPr>
        <w:pStyle w:val="ListNumber"/>
        <w:spacing w:after="60"/>
      </w:pPr>
      <w:r>
        <w:rPr>
          <w:rFonts w:ascii="Calibri" w:hAnsi="Calibri"/>
          <w:color w:val="141F2B"/>
          <w:sz w:val="19"/>
        </w:rPr>
        <w:t>Bharadwaj, R., Qi, W., and Yu, H. Identification of two novel components of the human NDC80 kinetochore complex. Journal of Biological Chemistry, 2004. DOI: 10.1074/jbc.M310224200</w:t>
      </w:r>
    </w:p>
    <w:p>
      <w:pPr>
        <w:pStyle w:val="ListNumber"/>
        <w:spacing w:after="60"/>
      </w:pPr>
      <w:r>
        <w:rPr>
          <w:rFonts w:ascii="Calibri" w:hAnsi="Calibri"/>
          <w:color w:val="141F2B"/>
          <w:sz w:val="19"/>
        </w:rPr>
        <w:t>Seipold, S. et al. Non-SMC condensin I complex proteins control chromosome segregation and survival of proliferating cells in the zebrafish neural retina. BMC Developmental Biology, 2009. DOI: 10.1186/1471-213X-9-40</w:t>
      </w:r>
    </w:p>
    <w:p>
      <w:pPr>
        <w:pStyle w:val="ListNumber"/>
        <w:spacing w:after="60"/>
      </w:pPr>
      <w:r>
        <w:rPr>
          <w:rFonts w:ascii="Calibri" w:hAnsi="Calibri"/>
          <w:color w:val="141F2B"/>
          <w:sz w:val="19"/>
        </w:rPr>
        <w:t>Overmeer, R. M. et al. Replication factor C recruits DNA polymerase delta to sites of nucleotide excision repair but is not required for PCNA recruitment. Molecular and Cellular Biology, 2010. DOI: 10.1128/MCB.00285-10</w:t>
      </w:r>
    </w:p>
    <w:p>
      <w:pPr>
        <w:pStyle w:val="Heading1"/>
        <w:keepNext/>
        <w:spacing w:before="240" w:after="100"/>
      </w:pPr>
    </w:p>
    <w:p>
      <w:pPr>
        <w:spacing w:before="0" w:after="140" w:line="283" w:lineRule="auto"/>
      </w:pPr>
      <w:r>
        <w:rPr>
          <w:rFonts w:ascii="Calibri" w:hAnsi="Calibri"/>
          <w:color w:val="141F2B"/>
          <w:sz w:val="20"/>
        </w:rPr>
        <w:t>GEO GSE39582 is available at: https://www.ncbi.nlm.nih.gov/geo/query/acc.cgi?acc=GSE39582. TCGA-COAD is available at UCSC Xena: https://xenabrowser.net/. CPTAC-COAD data is available at: https://cptac-data-portal.georgetown.edu/. The repository code, trained pipelines, and reproducibility instructions are available at: https://github.com/Ronisnotasianfr/ColoGrowth-ML.</w:t>
      </w:r>
    </w:p>
    <w:p>
      <w:pPr>
        <w:pStyle w:val="Heading1"/>
        <w:keepNext/>
        <w:spacing w:before="240" w:after="100"/>
      </w:pPr>
    </w:p>
    <w:p>
      <w:pPr>
        <w:spacing w:before="0" w:after="140" w:line="283" w:lineRule="auto"/>
      </w:pPr>
      <w:r>
        <w:rPr>
          <w:rFonts w:ascii="Calibri" w:hAnsi="Calibri"/>
          <w:color w:val="141F2B"/>
          <w:sz w:val="20"/>
        </w:rPr>
        <w:t>Secondary analysis of de-identified public datasets did not require institutional review board (IRB) approval. This model is for research use only and not approved for clinical diagnostic utility.</w:t>
      </w:r>
    </w:p>
    <w:p>
      <w:pPr>
        <w:pStyle w:val="Heading2"/>
        <w:keepNext/>
        <w:spacing w:before="160" w:after="100"/>
      </w:pPr>
    </w:p>
    <w:p>
      <w:pPr>
        <w:spacing w:before="0" w:after="140" w:line="283" w:lineRule="auto"/>
      </w:pPr>
      <w:r>
        <w:rPr>
          <w:rFonts w:ascii="Calibri" w:hAnsi="Calibri"/>
          <w:color w:val="141F2B"/>
          <w:sz w:val="21"/>
        </w:rPr>
        <w:t>Claude (Anthropic) was used as a coding assistant during implementation. All scientific decisions, study design, data interpretation, and conclusions are the author's own. Full prompt logs are available in the project repository.</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ColoGrowth-ML | Leakage-free cross-platform validation study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