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36"/>
        </w:rPr>
        <w:t>Cross-Platform Colon Cancer Proliferation Classification via Leakage-Free ML</w:t>
      </w:r>
    </w:p>
    <w:p>
      <w:pPr>
        <w:spacing w:after="240"/>
      </w:pPr>
      <w:r>
        <w:rPr>
          <w:rFonts w:ascii="Calibri" w:hAnsi="Calibri"/>
          <w:i/>
          <w:color w:val="5A5A5A"/>
          <w:sz w:val="23"/>
        </w:rPr>
        <w:t>Independent computational biology research report prepared for peer-reviewed journal submission</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GEO_PAN</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journal submission draft</w:t>
            </w:r>
          </w:p>
        </w:tc>
      </w:tr>
    </w:tbl>
    <w:p>
      <w:pPr>
        <w:pStyle w:val="Heading1"/>
        <w:keepNext/>
        <w:spacing w:before="240" w:after="100"/>
      </w:pPr>
    </w:p>
    <w:p>
      <w:pPr>
        <w:spacing w:before="0" w:after="140" w:line="283" w:lineRule="auto"/>
      </w:pPr>
      <w:r>
        <w:rPr>
          <w:rFonts w:ascii="Calibri" w:hAnsi="Calibri"/>
          <w:color w:val="141F2B"/>
          <w:sz w:val="20"/>
        </w:rPr>
        <w:t>High AUC is not always high utility. This study reports ROC-AUCs above 0.97 for colon cancer proliferation classification across independent cohorts, but the task itself is easier than typical clinical ML problems: the proliferation median split gives a Cohen's d of 2.3, meaning the two classes barely overlap. Proliferation drives broad transcriptional changes, so thousands of non-target genes correlate with the label. With that caveat stated upfront, I compared five calibration strategies (Platt Scaling, Isotonic Regression, QN+Platt, QN-only, None) across four model classes. The ten cell-cycle genes defining the target were removed from the feature set to prevent leakage. All preprocessing was wrapped in scikit-learn Pipelines so training and validation never mixed. Classifiers trained on GEO microarray data (GSE39582, n = 585) and validated on TCGA-COAD (RNA-seq, n = 322) and CPTAC-COAD (n = 105) gave ROC-AUCs above 0.97 on external cohorts after quantile normalization and Platt scaling. Tree-based models needed minimal calibration (AUC 0.973, Accuracy 0.915), while Logistic Regression benefited from QN+Platt for cross-platform alignment (AUC 0.972). A drug screen (GDSC2, 295 drugs, 969 cell lines, Bonferroni-corrected Mann-Whitney U) identified Trametinib as the top hit (p = 1.8e-12). All five top hits target the MAPK/ERK pathway. On CPTAC-COAD (n = 105), Random Forest had a calibrated AUC of 0.9487 and accuracy of 0.8679. High proliferation was linked to shorter survival in GEO (log-rank p = 0.037) and TCGA (log-rank p = 0.034). Code: https://github.com/Ronisnotasianfr/ColoGrowth-ML.</w:t>
      </w:r>
    </w:p>
    <w:p>
      <w:pPr>
        <w:pStyle w:val="Heading1"/>
        <w:keepNext/>
        <w:spacing w:before="240" w:after="100"/>
      </w:pPr>
    </w:p>
    <w:p>
      <w:pPr>
        <w:spacing w:before="0" w:after="140" w:line="283" w:lineRule="auto"/>
      </w:pPr>
      <w:r>
        <w:rPr>
          <w:rFonts w:ascii="Calibri" w:hAnsi="Calibri"/>
          <w:color w:val="141F2B"/>
          <w:sz w:val="20"/>
        </w:rPr>
        <w:t>Proliferation rate correlates with survival and chemotherapy response in colorectal cancer. Clinicians estimate it through Ki-67 immunohistochemistry or tumor staging, but both have limitations. Ki-67 scoring has inter-observer variability, and staging is too coarse to capture the transcriptomic consequences of cell-cycle deregulation. The consensus molecular subtypes (CMS1-4) capture some of this heterogeneity (Guinney et al., 2015), and the TCGA network has described the genomic landscape of colon adenocarcinoma in detail (TCGA Network, 2012), but neither framework provides a direct, quantitative proliferation score from gene expression data that generalizes across microarray and RNA-seq platforms.</w:t>
      </w:r>
    </w:p>
    <w:p>
      <w:pPr>
        <w:spacing w:before="0" w:after="140" w:line="283" w:lineRule="auto"/>
      </w:pPr>
      <w:r>
        <w:rPr>
          <w:rFonts w:ascii="Calibri" w:hAnsi="Calibri"/>
          <w:color w:val="141F2B"/>
          <w:sz w:val="20"/>
        </w:rPr>
        <w:t>I trained four classifiers on GEO microarray data (GSE39582, Marisa et al., 2013) to predict high versus low proliferation from gene expression plus clinical covariates. The target was defined as the mean z-score of ten cell-cycle genes drawn from the Whitfield et al. (2002) cell-cycle catalogue. Those ten genes were removed from the feature set before any splitting, so the models had to learn broader transcriptional patterns associated with proliferation rather than reconstructing the label from the same genes. External validation was done on TCGA-COAD RNA-seq (n = 322) and CPTAC-COAD (n = 105), two independent cohorts on a different sequencing platform. The goal was to see whether a leakage-free classifier could generalize across platforms and whether the proliferation signal carried prognostic information beyond established clinical variables.</w:t>
      </w:r>
    </w:p>
    <w:p>
      <w:r>
        <w:br w:type="page"/>
      </w:r>
    </w:p>
    <w:p>
      <w:pPr>
        <w:pStyle w:val="Heading1"/>
        <w:keepNext/>
        <w:spacing w:before="240" w:after="100"/>
      </w:pPr>
    </w:p>
    <w:p>
      <w:pPr>
        <w:spacing w:before="0" w:after="140" w:line="283" w:lineRule="auto"/>
      </w:pPr>
      <w:r>
        <w:rPr>
          <w:rFonts w:ascii="Calibri" w:hAnsi="Calibri"/>
          <w:color w:val="141F2B"/>
          <w:sz w:val="20"/>
        </w:rPr>
        <w:t>The GEO_PAN dataset has 823 samples and 22182 features after removing the ten signature genes. Clinical covariates are age, sex, and stage. Target class balance: 411 low, 412 high. I used an 80/20 stratified split: 658 training, 165 holdout.</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geo_pan_X_features / y_target</w:t>
            </w:r>
          </w:p>
        </w:tc>
        <w:tc>
          <w:tcPr>
            <w:tcW w:type="dxa" w:w="2469"/>
            <w:vAlign w:val="center"/>
          </w:tcPr>
          <w:p>
            <w:pPr>
              <w:spacing w:after="0"/>
            </w:pPr>
            <w:r/>
            <w:r>
              <w:rPr>
                <w:rFonts w:ascii="Calibri" w:hAnsi="Calibri"/>
                <w:b w:val="0"/>
                <w:sz w:val="17"/>
              </w:rPr>
              <w:t>823</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411 low, 412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658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165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I used a multi-cohort design. GEO microarray data was split into training and holdout for internal evaluation. TCGA and CPTAC were held back entirely during training for external validation. TCGA-COAD (n = 322) was split in half: one half for Platt scaling calibration, the other for evaluation. Platt scaling fits a logistic regression on the raw model probabilities to correct the threshold shift between microarray and RNA-seq platforms. Different platforms have different dynamic ranges, so the model's confidence scores can shift even when the ranking stays correct. Platt scaling fixes the threshold without changing the ranking. CPTAC-COAD (n = 105) was split the same way for a second external check. Feature selection, scaling, and model training used only GEO data.</w:t>
      </w:r>
    </w:p>
    <w:p>
      <w:pPr>
        <w:spacing w:before="0" w:after="140" w:line="283" w:lineRule="auto"/>
      </w:pPr>
      <w:r>
        <w:rPr>
          <w:rFonts w:ascii="Calibri" w:hAnsi="Calibri"/>
          <w:color w:val="141F2B"/>
          <w:sz w:val="20"/>
        </w:rPr>
        <w:t>The three-way validation data-flow schematic is detailed in Figure 7.</w:t>
      </w:r>
    </w:p>
    <w:p>
      <w:pPr>
        <w:spacing w:before="80" w:after="80" w:line="220" w:lineRule="exact"/>
      </w:pPr>
      <w:r>
        <w:rPr>
          <w:rFonts w:ascii="Consolas" w:hAnsi="Consolas"/>
          <w:color w:val="141F2B"/>
          <w:sz w:val="16"/>
        </w:rPr>
        <w:t>GEO Cohort (n=585):</w:t>
        <w:br/>
        <w:t xml:space="preserve">    Training Pool (80%, n=468, 5-fold CV)</w:t>
        <w:br/>
        <w:t xml:space="preserve">    Holdout (20%, n=117, final evaluation)</w:t>
        <w:br/>
        <w:br/>
        <w:t>External Validation (RNA-seq platforms):</w:t>
        <w:br/>
        <w:t xml:space="preserve">    TCGA-COAD (n=322):  50% Platt calibration + 50% evaluation</w:t>
        <w:br/>
        <w:t xml:space="preserve">    CPTAC-COAD (n=105): 50% Platt calibration + 50% evaluation</w:t>
      </w:r>
    </w:p>
    <w:p>
      <w:pPr>
        <w:spacing w:before="60" w:after="160"/>
        <w:jc w:val="center"/>
      </w:pPr>
      <w:r>
        <w:rPr>
          <w:rFonts w:ascii="Calibri" w:hAnsi="Calibri"/>
          <w:i/>
          <w:color w:val="5A5A5A"/>
          <w:sz w:val="17"/>
        </w:rPr>
        <w:t>Figure 7. Three-way cohort validation and probability calibration workflow schematic.</w:t>
      </w:r>
    </w:p>
    <w:p>
      <w:pPr>
        <w:spacing w:before="0" w:after="140" w:line="283" w:lineRule="auto"/>
      </w:pPr>
      <w:r>
        <w:rPr>
          <w:rFonts w:ascii="Calibri" w:hAnsi="Calibri"/>
          <w:color w:val="141F2B"/>
          <w:sz w:val="20"/>
        </w:rPr>
        <w:t>I chose these four models for different reasons. Logistic Regression lets me look at the coefficients and see which genes drive the prediction. Random Forest and XGBoost can pick up non-linear interactions. I added the MLP to test whether deep learning helps on a dataset with only 585 samples, though I suspected it would not. Each model went into a Pipeline: standardize, filter low-variance genes, select the 500 best by ANOVA F-score, then classify. I learned why nested CV matters the hard way. My first pass used single-shot feature selection on the whole training pool before cross-validation. The CV scores looked great. The holdout performance was noticeably worse. The feature selection had peeked at all the data, leaking information across folds. Wrapping everything inside a Pipeline and using nested five-fold CV fixed this. The inner fold selects features on 4/5 of the data, and the outer fold tests on the held-out 1/5. It is slower but the numbers are honest.</w:t>
      </w:r>
    </w:p>
    <w:p>
      <w:pPr>
        <w:spacing w:before="0" w:after="140" w:line="283" w:lineRule="auto"/>
      </w:pPr>
      <w:r>
        <w:rPr>
          <w:rFonts w:ascii="Calibri" w:hAnsi="Calibri"/>
          <w:color w:val="141F2B"/>
          <w:sz w:val="20"/>
        </w:rPr>
        <w:t>I defined the target as the mean z-score of ten cell-cycle genes: MKI67, PCNA, TOP2A, MCM2, MCM6, AURKA, BUB1, CCNB1, CDK1, and BIRC5. These ten genes were removed from the feature matrix before any splitting. Leaving them in would let the classifier cheat by reconstructing the label from the same genes used to define it. I also wrapped all preprocessing inside scikit-learn Pipelines so that scaling, variance filtering, and feature selection refit from scratch inside each cross-validation fold. This prevents the model from seeing information from the test fold during training.</w:t>
      </w:r>
    </w:p>
    <w:p>
      <w:pPr>
        <w:spacing w:before="0" w:after="140" w:line="283" w:lineRule="auto"/>
      </w:pPr>
      <w:r>
        <w:rPr>
          <w:rFonts w:ascii="Calibri" w:hAnsi="Calibri"/>
          <w:color w:val="141F2B"/>
          <w:sz w:val="20"/>
        </w:rPr>
        <w:t>GridSearchCV parameter search spaces and optimal configurations are shown in Table 2.</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Model</w:t>
            </w:r>
          </w:p>
        </w:tc>
        <w:tc>
          <w:tcPr>
            <w:tcW w:type="dxa" w:w="1976"/>
            <w:shd w:fill="F4F6F9"/>
            <w:vAlign w:val="center"/>
          </w:tcPr>
          <w:p>
            <w:pPr>
              <w:spacing w:after="0"/>
            </w:pPr>
            <w:r/>
            <w:r>
              <w:rPr>
                <w:rFonts w:ascii="Calibri" w:hAnsi="Calibri"/>
                <w:b/>
                <w:color w:val="141F2B"/>
                <w:sz w:val="16"/>
              </w:rPr>
              <w:t>Hyperparameter</w:t>
            </w:r>
          </w:p>
        </w:tc>
        <w:tc>
          <w:tcPr>
            <w:tcW w:type="dxa" w:w="1976"/>
            <w:shd w:fill="F4F6F9"/>
            <w:vAlign w:val="center"/>
          </w:tcPr>
          <w:p>
            <w:pPr>
              <w:spacing w:after="0"/>
            </w:pPr>
            <w:r/>
            <w:r>
              <w:rPr>
                <w:rFonts w:ascii="Calibri" w:hAnsi="Calibri"/>
                <w:b/>
                <w:color w:val="141F2B"/>
                <w:sz w:val="16"/>
              </w:rPr>
              <w:t>Search Range</w:t>
            </w:r>
          </w:p>
        </w:tc>
        <w:tc>
          <w:tcPr>
            <w:tcW w:type="dxa" w:w="1976"/>
            <w:shd w:fill="F4F6F9"/>
            <w:vAlign w:val="center"/>
          </w:tcPr>
          <w:p>
            <w:pPr>
              <w:spacing w:after="0"/>
            </w:pPr>
            <w:r/>
            <w:r>
              <w:rPr>
                <w:rFonts w:ascii="Calibri" w:hAnsi="Calibri"/>
                <w:b/>
                <w:color w:val="141F2B"/>
                <w:sz w:val="16"/>
              </w:rPr>
              <w:t>Selected</w:t>
            </w:r>
          </w:p>
        </w:tc>
        <w:tc>
          <w:tcPr>
            <w:tcW w:type="dxa" w:w="1976"/>
            <w:shd w:fill="F4F6F9"/>
            <w:vAlign w:val="center"/>
          </w:tcPr>
          <w:p>
            <w:pPr>
              <w:spacing w:after="0"/>
            </w:pPr>
            <w:r/>
            <w:r>
              <w:rPr>
                <w:rFonts w:ascii="Calibri" w:hAnsi="Calibri"/>
                <w:b/>
                <w:color w:val="141F2B"/>
                <w:sz w:val="16"/>
              </w:rPr>
              <w:t>Notes</w:t>
            </w:r>
          </w:p>
        </w:tc>
      </w:tr>
      <w:tr>
        <w:tc>
          <w:tcPr>
            <w:tcW w:type="dxa" w:w="1976"/>
            <w:vAlign w:val="center"/>
          </w:tcPr>
          <w:p>
            <w:pPr>
              <w:spacing w:after="0"/>
            </w:pPr>
            <w:r/>
            <w:r>
              <w:rPr>
                <w:rFonts w:ascii="Calibri" w:hAnsi="Calibri"/>
                <w:b w:val="0"/>
                <w:sz w:val="16"/>
              </w:rPr>
              <w:t>Logistic Regression</w:t>
            </w:r>
          </w:p>
        </w:tc>
        <w:tc>
          <w:tcPr>
            <w:tcW w:type="dxa" w:w="1976"/>
            <w:vAlign w:val="center"/>
          </w:tcPr>
          <w:p>
            <w:pPr>
              <w:spacing w:after="0"/>
            </w:pPr>
            <w:r/>
            <w:r>
              <w:rPr>
                <w:rFonts w:ascii="Calibri" w:hAnsi="Calibri"/>
                <w:b w:val="0"/>
                <w:sz w:val="16"/>
              </w:rPr>
              <w:t>C (Regularization)</w:t>
            </w:r>
          </w:p>
        </w:tc>
        <w:tc>
          <w:tcPr>
            <w:tcW w:type="dxa" w:w="1976"/>
            <w:vAlign w:val="center"/>
          </w:tcPr>
          <w:p>
            <w:pPr>
              <w:spacing w:after="0"/>
            </w:pPr>
            <w:r/>
            <w:r>
              <w:rPr>
                <w:rFonts w:ascii="Calibri" w:hAnsi="Calibri"/>
                <w:b w:val="0"/>
                <w:sz w:val="16"/>
              </w:rPr>
              <w:t>[0.01, 0.1, 1.0, 10.0]</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L2 penalty, liblinear solver</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Ensemble size</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[5, 10, None]</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Tree depth limit</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min_samples_leaf</w:t>
            </w:r>
          </w:p>
        </w:tc>
        <w:tc>
          <w:tcPr>
            <w:tcW w:type="dxa" w:w="1976"/>
            <w:vAlign w:val="center"/>
          </w:tcPr>
          <w:p>
            <w:pPr>
              <w:spacing w:after="0"/>
            </w:pPr>
            <w:r/>
            <w:r>
              <w:rPr>
                <w:rFonts w:ascii="Calibri" w:hAnsi="Calibri"/>
                <w:b w:val="0"/>
                <w:sz w:val="16"/>
              </w:rPr>
              <w:t>[2, 4]</w:t>
            </w:r>
          </w:p>
        </w:tc>
        <w:tc>
          <w:tcPr>
            <w:tcW w:type="dxa" w:w="1976"/>
            <w:vAlign w:val="center"/>
          </w:tcPr>
          <w:p>
            <w:pPr>
              <w:spacing w:after="0"/>
            </w:pPr>
            <w:r/>
            <w:r>
              <w:rPr>
                <w:rFonts w:ascii="Calibri" w:hAnsi="Calibri"/>
                <w:b w:val="0"/>
                <w:sz w:val="16"/>
              </w:rPr>
              <w:t>2</w:t>
            </w:r>
          </w:p>
        </w:tc>
        <w:tc>
          <w:tcPr>
            <w:tcW w:type="dxa" w:w="1976"/>
            <w:vAlign w:val="center"/>
          </w:tcPr>
          <w:p>
            <w:pPr>
              <w:spacing w:after="0"/>
            </w:pPr>
            <w:r/>
            <w:r>
              <w:rPr>
                <w:rFonts w:ascii="Calibri" w:hAnsi="Calibri"/>
                <w:b w:val="0"/>
                <w:sz w:val="16"/>
              </w:rPr>
              <w:t>Leaf node size</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Boosting iterations</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[3, 5, 7]</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Max tree depth</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learning_rate</w:t>
            </w:r>
          </w:p>
        </w:tc>
        <w:tc>
          <w:tcPr>
            <w:tcW w:type="dxa" w:w="1976"/>
            <w:vAlign w:val="center"/>
          </w:tcPr>
          <w:p>
            <w:pPr>
              <w:spacing w:after="0"/>
            </w:pPr>
            <w:r/>
            <w:r>
              <w:rPr>
                <w:rFonts w:ascii="Calibri" w:hAnsi="Calibri"/>
                <w:b w:val="0"/>
                <w:sz w:val="16"/>
              </w:rPr>
              <w:t>[0.01, 0.05, 0.1]</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Shrinkage rate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hidden_layer_sizes</w:t>
            </w:r>
          </w:p>
        </w:tc>
        <w:tc>
          <w:tcPr>
            <w:tcW w:type="dxa" w:w="1976"/>
            <w:vAlign w:val="center"/>
          </w:tcPr>
          <w:p>
            <w:pPr>
              <w:spacing w:after="0"/>
            </w:pPr>
            <w:r/>
            <w:r>
              <w:rPr>
                <w:rFonts w:ascii="Calibri" w:hAnsi="Calibri"/>
                <w:b w:val="0"/>
                <w:sz w:val="16"/>
              </w:rPr>
              <w:t>[(128, 64), (256, 128, 64)]</w:t>
            </w:r>
          </w:p>
        </w:tc>
        <w:tc>
          <w:tcPr>
            <w:tcW w:type="dxa" w:w="1976"/>
            <w:vAlign w:val="center"/>
          </w:tcPr>
          <w:p>
            <w:pPr>
              <w:spacing w:after="0"/>
            </w:pPr>
            <w:r/>
            <w:r>
              <w:rPr>
                <w:rFonts w:ascii="Calibri" w:hAnsi="Calibri"/>
                <w:b w:val="0"/>
                <w:sz w:val="16"/>
              </w:rPr>
              <w:t>(256, 128, 64)</w:t>
            </w:r>
          </w:p>
        </w:tc>
        <w:tc>
          <w:tcPr>
            <w:tcW w:type="dxa" w:w="1976"/>
            <w:vAlign w:val="center"/>
          </w:tcPr>
          <w:p>
            <w:pPr>
              <w:spacing w:after="0"/>
            </w:pPr>
            <w:r/>
            <w:r>
              <w:rPr>
                <w:rFonts w:ascii="Calibri" w:hAnsi="Calibri"/>
                <w:b w:val="0"/>
                <w:sz w:val="16"/>
              </w:rPr>
              <w:t>Network architecture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alpha</w:t>
            </w:r>
          </w:p>
        </w:tc>
        <w:tc>
          <w:tcPr>
            <w:tcW w:type="dxa" w:w="1976"/>
            <w:vAlign w:val="center"/>
          </w:tcPr>
          <w:p>
            <w:pPr>
              <w:spacing w:after="0"/>
            </w:pPr>
            <w:r/>
            <w:r>
              <w:rPr>
                <w:rFonts w:ascii="Calibri" w:hAnsi="Calibri"/>
                <w:b w:val="0"/>
                <w:sz w:val="16"/>
              </w:rPr>
              <w:t>[0.0001, 0.001]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L2 regularization term</w:t>
            </w:r>
          </w:p>
        </w:tc>
      </w:tr>
    </w:tbl>
    <w:p>
      <w:pPr>
        <w:spacing w:before="60" w:after="160"/>
        <w:jc w:val="center"/>
      </w:pPr>
      <w:r>
        <w:rPr>
          <w:rFonts w:ascii="Calibri" w:hAnsi="Calibri"/>
          <w:i/>
          <w:color w:val="5A5A5A"/>
          <w:sz w:val="17"/>
        </w:rPr>
        <w:t>Table 2. Hyperparameter optimization search ranges and selected settings.</w:t>
      </w:r>
    </w:p>
    <w:p>
      <w:r>
        <w:br w:type="page"/>
      </w:r>
    </w:p>
    <w:p>
      <w:pPr>
        <w:pStyle w:val="Heading1"/>
        <w:keepNext/>
        <w:spacing w:before="240" w:after="100"/>
      </w:pPr>
    </w:p>
    <w:p>
      <w:pPr>
        <w:spacing w:before="0" w:after="140" w:line="283" w:lineRule="auto"/>
      </w:pPr>
      <w:r>
        <w:rPr>
          <w:rFonts w:ascii="Calibri" w:hAnsi="Calibri"/>
          <w:color w:val="141F2B"/>
          <w:sz w:val="20"/>
        </w:rPr>
        <w:t>I tested four models with nested five-fold CV on the GEO training pool (n = 468) after removing the ten signature genes. Mean CV ROC-AUCs were similar across models: Logistic Regression 0.9811 (+/- 0.0041), Random Forest 0.9788 (+/- 0.0047), XGBoost 0.9783 (+/- 0.0060), and MLP 0.9781 (+/- 0.0048). A simple Logistic Regression without feature selection gave a holdout accuracy of 0.9697, compared to 0.4970 for a majority-class baseline.</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 (95% CI)</w:t>
            </w:r>
          </w:p>
        </w:tc>
        <w:tc>
          <w:tcPr>
            <w:tcW w:type="dxa" w:w="2469"/>
            <w:shd w:fill="F4F6F9"/>
            <w:vAlign w:val="center"/>
          </w:tcPr>
          <w:p>
            <w:pPr>
              <w:spacing w:after="0"/>
            </w:pPr>
            <w:r/>
            <w:r>
              <w:rPr>
                <w:rFonts w:ascii="Calibri" w:hAnsi="Calibri"/>
                <w:b/>
                <w:color w:val="141F2B"/>
                <w:sz w:val="16"/>
              </w:rPr>
              <w:t>Holdout ROC-AUC (95% CI)</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0.9811 (+/- 0.0041)</w:t>
            </w:r>
          </w:p>
        </w:tc>
        <w:tc>
          <w:tcPr>
            <w:tcW w:type="dxa" w:w="2469"/>
            <w:vAlign w:val="center"/>
          </w:tcPr>
          <w:p>
            <w:pPr>
              <w:spacing w:after="0"/>
            </w:pPr>
            <w:r/>
            <w:r>
              <w:rPr>
                <w:rFonts w:ascii="Calibri" w:hAnsi="Calibri"/>
                <w:b w:val="0"/>
                <w:sz w:val="16"/>
              </w:rPr>
              <w:t>0.9030 (95% CI: 0.8545-0.9455)</w:t>
            </w:r>
          </w:p>
        </w:tc>
        <w:tc>
          <w:tcPr>
            <w:tcW w:type="dxa" w:w="2469"/>
            <w:vAlign w:val="center"/>
          </w:tcPr>
          <w:p>
            <w:pPr>
              <w:spacing w:after="0"/>
            </w:pPr>
            <w:r/>
            <w:r>
              <w:rPr>
                <w:rFonts w:ascii="Calibri" w:hAnsi="Calibri"/>
                <w:b w:val="0"/>
                <w:sz w:val="16"/>
              </w:rPr>
              <w:t>0.9850 (95% CI: 0.9713-0.9953)</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0.9788 (+/- 0.0047)</w:t>
            </w:r>
          </w:p>
        </w:tc>
        <w:tc>
          <w:tcPr>
            <w:tcW w:type="dxa" w:w="2469"/>
            <w:vAlign w:val="center"/>
          </w:tcPr>
          <w:p>
            <w:pPr>
              <w:spacing w:after="0"/>
            </w:pPr>
            <w:r/>
            <w:r>
              <w:rPr>
                <w:rFonts w:ascii="Calibri" w:hAnsi="Calibri"/>
                <w:b w:val="0"/>
                <w:sz w:val="16"/>
              </w:rPr>
              <w:t>0.9273 (95% CI: 0.8848-0.9636)</w:t>
            </w:r>
          </w:p>
        </w:tc>
        <w:tc>
          <w:tcPr>
            <w:tcW w:type="dxa" w:w="2469"/>
            <w:vAlign w:val="center"/>
          </w:tcPr>
          <w:p>
            <w:pPr>
              <w:spacing w:after="0"/>
            </w:pPr>
            <w:r/>
            <w:r>
              <w:rPr>
                <w:rFonts w:ascii="Calibri" w:hAnsi="Calibri"/>
                <w:b w:val="0"/>
                <w:sz w:val="16"/>
              </w:rPr>
              <w:t>0.9871 (95% CI: 0.9748-0.9959)</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0.9783 (+/- 0.0060)</w:t>
            </w:r>
          </w:p>
        </w:tc>
        <w:tc>
          <w:tcPr>
            <w:tcW w:type="dxa" w:w="2469"/>
            <w:vAlign w:val="center"/>
          </w:tcPr>
          <w:p>
            <w:pPr>
              <w:spacing w:after="0"/>
            </w:pPr>
            <w:r/>
            <w:r>
              <w:rPr>
                <w:rFonts w:ascii="Calibri" w:hAnsi="Calibri"/>
                <w:b w:val="0"/>
                <w:sz w:val="16"/>
              </w:rPr>
              <w:t>0.9273 (95% CI: 0.8848-0.9697)</w:t>
            </w:r>
          </w:p>
        </w:tc>
        <w:tc>
          <w:tcPr>
            <w:tcW w:type="dxa" w:w="2469"/>
            <w:vAlign w:val="center"/>
          </w:tcPr>
          <w:p>
            <w:pPr>
              <w:spacing w:after="0"/>
            </w:pPr>
            <w:r/>
            <w:r>
              <w:rPr>
                <w:rFonts w:ascii="Calibri" w:hAnsi="Calibri"/>
                <w:b w:val="0"/>
                <w:sz w:val="16"/>
              </w:rPr>
              <w:t>0.9910 (95% CI: 0.9813-0.9978)</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0.9781 (+/- 0.0048)</w:t>
            </w:r>
          </w:p>
        </w:tc>
        <w:tc>
          <w:tcPr>
            <w:tcW w:type="dxa" w:w="2469"/>
            <w:vAlign w:val="center"/>
          </w:tcPr>
          <w:p>
            <w:pPr>
              <w:spacing w:after="0"/>
            </w:pPr>
            <w:r/>
            <w:r>
              <w:rPr>
                <w:rFonts w:ascii="Calibri" w:hAnsi="Calibri"/>
                <w:b w:val="0"/>
                <w:sz w:val="16"/>
              </w:rPr>
              <w:t>0.8970 (95% CI: 0.8485-0.9455)</w:t>
            </w:r>
          </w:p>
        </w:tc>
        <w:tc>
          <w:tcPr>
            <w:tcW w:type="dxa" w:w="2469"/>
            <w:vAlign w:val="center"/>
          </w:tcPr>
          <w:p>
            <w:pPr>
              <w:spacing w:after="0"/>
            </w:pPr>
            <w:r/>
            <w:r>
              <w:rPr>
                <w:rFonts w:ascii="Calibri" w:hAnsi="Calibri"/>
                <w:b w:val="0"/>
                <w:sz w:val="16"/>
              </w:rPr>
              <w:t>0.9812 (95% CI: 0.9647-0.9937)</w:t>
            </w:r>
          </w:p>
        </w:tc>
      </w:tr>
    </w:tbl>
    <w:p>
      <w:pPr>
        <w:spacing w:before="60" w:after="160"/>
        <w:jc w:val="center"/>
      </w:pPr>
      <w:r>
        <w:rPr>
          <w:rFonts w:ascii="Calibri" w:hAnsi="Calibri"/>
          <w:i/>
          <w:color w:val="5A5A5A"/>
          <w:sz w:val="17"/>
        </w:rPr>
        <w:t>Table 3. Leakage-corrected cross-validation and holdout results with bootstrap 95% confidence intervals.</w:t>
      </w:r>
    </w:p>
    <w:p>
      <w:pPr>
        <w:spacing w:before="40" w:after="40"/>
        <w:jc w:val="center"/>
      </w:pPr>
      <w:r>
        <w:drawing>
          <wp:inline xmlns:a="http://schemas.openxmlformats.org/drawingml/2006/main" xmlns:pic="http://schemas.openxmlformats.org/drawingml/2006/picture">
            <wp:extent cx="4754880" cy="3803904"/>
            <wp:docPr id="1" name="Picture 1"/>
            <wp:cNvGraphicFramePr>
              <a:graphicFrameLocks noChangeAspect="1"/>
            </wp:cNvGraphicFramePr>
            <a:graphic>
              <a:graphicData uri="http://schemas.openxmlformats.org/drawingml/2006/picture">
                <pic:pic>
                  <pic:nvPicPr>
                    <pic:cNvPr id="0" name="calibration_comparison_curves.png"/>
                    <pic:cNvPicPr/>
                  </pic:nvPicPr>
                  <pic:blipFill>
                    <a:blip r:embed="rId10"/>
                    <a:stretch>
                      <a:fillRect/>
                    </a:stretch>
                  </pic:blipFill>
                  <pic:spPr>
                    <a:xfrm>
                      <a:off x="0" y="0"/>
                      <a:ext cx="4754880" cy="3803904"/>
                    </a:xfrm>
                    <a:prstGeom prst="rect"/>
                  </pic:spPr>
                </pic:pic>
              </a:graphicData>
            </a:graphic>
          </wp:inline>
        </w:drawing>
      </w:r>
    </w:p>
    <w:p>
      <w:pPr>
        <w:spacing w:before="60" w:after="160"/>
        <w:jc w:val="center"/>
      </w:pPr>
      <w:r>
        <w:rPr>
          <w:rFonts w:ascii="Calibri" w:hAnsi="Calibri"/>
          <w:i/>
          <w:color w:val="5A5A5A"/>
          <w:sz w:val="17"/>
        </w:rPr>
        <w:t>Figure 1. Calibration curves showing observed positive fraction vs. predicted risk probabilities for the four classifiers on holdout test set.</w:t>
      </w:r>
    </w:p>
    <w:p>
      <w:pPr>
        <w:spacing w:before="0" w:after="140" w:line="283" w:lineRule="auto"/>
      </w:pPr>
      <w:r>
        <w:rPr>
          <w:rFonts w:ascii="Calibri" w:hAnsi="Calibri"/>
          <w:color w:val="141F2B"/>
          <w:sz w:val="20"/>
        </w:rPr>
        <w:t>On the holdout set (n = 117), XGBoost had an ROC-AUC of 0.9910 (95% CI: 0.9813-0.9978) and accuracy of 0.9273. On holdout: Logistic Regression (Brier=0.0513, ECE=0.0722), Random Forest (Brier=0.0517, ECE=0.0492), XGBoost (Brier=0.0461, ECE=0.0481), Neural Network (MLP) (Brier=0.0566, ECE=0.0625). Bootstrap comparisons showed differences for XGBoost vs Neural Network (MLP) (p=0.0369). External validation on TCGA (n = 322) gave a Random Forest calibrated AUC of 0.973 and accuracy of 0.921, with XGBoost close behind at 0.968 and 0.903. On CPTAC-COAD (n = 105, a separate cohort), Random Forest gave a calibrated AUC of 0.9487 and accuracy of 0.8679. Full results: Logistic Regression (AUC=0.8832, Acc=0.7925); Random Forest (AUC=0.9487, Acc=0.8679); XGBoost (AUC=0.9231, Acc=0.8302); Neural Network (MLP) (AUC=0.9402, Acc=0.8302).</w:t>
      </w:r>
    </w:p>
    <w:p>
      <w:r>
        <w:br w:type="page"/>
      </w:r>
    </w:p>
    <w:p>
      <w:pPr>
        <w:pStyle w:val="Heading1"/>
        <w:keepNext/>
        <w:spacing w:before="240" w:after="100"/>
      </w:pPr>
    </w:p>
    <w:p>
      <w:pPr>
        <w:spacing w:before="0" w:after="140" w:line="283" w:lineRule="auto"/>
      </w:pPr>
      <w:r>
        <w:rPr>
          <w:rFonts w:ascii="Calibri" w:hAnsi="Calibri"/>
          <w:color w:val="141F2B"/>
          <w:sz w:val="20"/>
        </w:rPr>
        <w:t>SHAP values were computed from the pipeline-transformed features. Since the ten signature genes were removed, the top features capture correlates of proliferation rather than the target itself. The highest-ranked ANOVA features are listed in Table 4.</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Rank</w:t>
            </w:r>
          </w:p>
        </w:tc>
        <w:tc>
          <w:tcPr>
            <w:tcW w:type="dxa" w:w="2469"/>
            <w:shd w:fill="F4F6F9"/>
            <w:vAlign w:val="center"/>
          </w:tcPr>
          <w:p>
            <w:pPr>
              <w:spacing w:after="0"/>
            </w:pPr>
            <w:r/>
            <w:r>
              <w:rPr>
                <w:rFonts w:ascii="Calibri" w:hAnsi="Calibri"/>
                <w:b/>
                <w:color w:val="141F2B"/>
                <w:sz w:val="17"/>
              </w:rPr>
              <w:t>Gene Symbol</w:t>
            </w:r>
          </w:p>
        </w:tc>
        <w:tc>
          <w:tcPr>
            <w:tcW w:type="dxa" w:w="2469"/>
            <w:shd w:fill="F4F6F9"/>
            <w:vAlign w:val="center"/>
          </w:tcPr>
          <w:p>
            <w:pPr>
              <w:spacing w:after="0"/>
            </w:pPr>
            <w:r/>
            <w:r>
              <w:rPr>
                <w:rFonts w:ascii="Calibri" w:hAnsi="Calibri"/>
                <w:b/>
                <w:color w:val="141F2B"/>
                <w:sz w:val="17"/>
              </w:rPr>
              <w:t>ANOVA F-Score</w:t>
            </w:r>
          </w:p>
        </w:tc>
        <w:tc>
          <w:tcPr>
            <w:tcW w:type="dxa" w:w="2469"/>
            <w:shd w:fill="F4F6F9"/>
            <w:vAlign w:val="center"/>
          </w:tcPr>
          <w:p>
            <w:pPr>
              <w:spacing w:after="0"/>
            </w:pPr>
            <w:r/>
            <w:r>
              <w:rPr>
                <w:rFonts w:ascii="Calibri" w:hAnsi="Calibri"/>
                <w:b/>
                <w:color w:val="141F2B"/>
                <w:sz w:val="17"/>
              </w:rPr>
              <w:t>CV Selection Frequency</w:t>
            </w:r>
          </w:p>
        </w:tc>
      </w:tr>
      <w:tr>
        <w:tc>
          <w:tcPr>
            <w:tcW w:type="dxa" w:w="2469"/>
            <w:vAlign w:val="center"/>
          </w:tcPr>
          <w:p>
            <w:pPr>
              <w:spacing w:after="0"/>
            </w:pPr>
            <w:r/>
            <w:r>
              <w:rPr>
                <w:rFonts w:ascii="Calibri" w:hAnsi="Calibri"/>
                <w:b w:val="0"/>
                <w:sz w:val="16"/>
              </w:rPr>
              <w:t>1</w:t>
            </w:r>
          </w:p>
        </w:tc>
        <w:tc>
          <w:tcPr>
            <w:tcW w:type="dxa" w:w="2469"/>
            <w:vAlign w:val="center"/>
          </w:tcPr>
          <w:p>
            <w:pPr>
              <w:spacing w:after="0"/>
            </w:pPr>
            <w:r/>
            <w:r>
              <w:rPr>
                <w:rFonts w:ascii="Calibri" w:hAnsi="Calibri"/>
                <w:b w:val="0"/>
                <w:sz w:val="16"/>
              </w:rPr>
              <w:t>MCM10</w:t>
            </w:r>
          </w:p>
        </w:tc>
        <w:tc>
          <w:tcPr>
            <w:tcW w:type="dxa" w:w="2469"/>
            <w:vAlign w:val="center"/>
          </w:tcPr>
          <w:p>
            <w:pPr>
              <w:spacing w:after="0"/>
            </w:pPr>
            <w:r/>
            <w:r>
              <w:rPr>
                <w:rFonts w:ascii="Calibri" w:hAnsi="Calibri"/>
                <w:b w:val="0"/>
                <w:sz w:val="16"/>
              </w:rPr>
              <w:t>886.276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w:t>
            </w:r>
          </w:p>
        </w:tc>
        <w:tc>
          <w:tcPr>
            <w:tcW w:type="dxa" w:w="2469"/>
            <w:vAlign w:val="center"/>
          </w:tcPr>
          <w:p>
            <w:pPr>
              <w:spacing w:after="0"/>
            </w:pPr>
            <w:r/>
            <w:r>
              <w:rPr>
                <w:rFonts w:ascii="Calibri" w:hAnsi="Calibri"/>
                <w:b w:val="0"/>
                <w:sz w:val="16"/>
              </w:rPr>
              <w:t>NCAPH</w:t>
            </w:r>
          </w:p>
        </w:tc>
        <w:tc>
          <w:tcPr>
            <w:tcW w:type="dxa" w:w="2469"/>
            <w:vAlign w:val="center"/>
          </w:tcPr>
          <w:p>
            <w:pPr>
              <w:spacing w:after="0"/>
            </w:pPr>
            <w:r/>
            <w:r>
              <w:rPr>
                <w:rFonts w:ascii="Calibri" w:hAnsi="Calibri"/>
                <w:b w:val="0"/>
                <w:sz w:val="16"/>
              </w:rPr>
              <w:t>849.649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3</w:t>
            </w:r>
          </w:p>
        </w:tc>
        <w:tc>
          <w:tcPr>
            <w:tcW w:type="dxa" w:w="2469"/>
            <w:vAlign w:val="center"/>
          </w:tcPr>
          <w:p>
            <w:pPr>
              <w:spacing w:after="0"/>
            </w:pPr>
            <w:r/>
            <w:r>
              <w:rPr>
                <w:rFonts w:ascii="Calibri" w:hAnsi="Calibri"/>
                <w:b w:val="0"/>
                <w:sz w:val="16"/>
              </w:rPr>
              <w:t>EXO1</w:t>
            </w:r>
          </w:p>
        </w:tc>
        <w:tc>
          <w:tcPr>
            <w:tcW w:type="dxa" w:w="2469"/>
            <w:vAlign w:val="center"/>
          </w:tcPr>
          <w:p>
            <w:pPr>
              <w:spacing w:after="0"/>
            </w:pPr>
            <w:r/>
            <w:r>
              <w:rPr>
                <w:rFonts w:ascii="Calibri" w:hAnsi="Calibri"/>
                <w:b w:val="0"/>
                <w:sz w:val="16"/>
              </w:rPr>
              <w:t>836.489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4</w:t>
            </w:r>
          </w:p>
        </w:tc>
        <w:tc>
          <w:tcPr>
            <w:tcW w:type="dxa" w:w="2469"/>
            <w:vAlign w:val="center"/>
          </w:tcPr>
          <w:p>
            <w:pPr>
              <w:spacing w:after="0"/>
            </w:pPr>
            <w:r/>
            <w:r>
              <w:rPr>
                <w:rFonts w:ascii="Calibri" w:hAnsi="Calibri"/>
                <w:b w:val="0"/>
                <w:sz w:val="16"/>
              </w:rPr>
              <w:t>MTFR2</w:t>
            </w:r>
          </w:p>
        </w:tc>
        <w:tc>
          <w:tcPr>
            <w:tcW w:type="dxa" w:w="2469"/>
            <w:vAlign w:val="center"/>
          </w:tcPr>
          <w:p>
            <w:pPr>
              <w:spacing w:after="0"/>
            </w:pPr>
            <w:r/>
            <w:r>
              <w:rPr>
                <w:rFonts w:ascii="Calibri" w:hAnsi="Calibri"/>
                <w:b w:val="0"/>
                <w:sz w:val="16"/>
              </w:rPr>
              <w:t>827.047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5</w:t>
            </w:r>
          </w:p>
        </w:tc>
        <w:tc>
          <w:tcPr>
            <w:tcW w:type="dxa" w:w="2469"/>
            <w:vAlign w:val="center"/>
          </w:tcPr>
          <w:p>
            <w:pPr>
              <w:spacing w:after="0"/>
            </w:pPr>
            <w:r/>
            <w:r>
              <w:rPr>
                <w:rFonts w:ascii="Calibri" w:hAnsi="Calibri"/>
                <w:b w:val="0"/>
                <w:sz w:val="16"/>
              </w:rPr>
              <w:t>ORC1</w:t>
            </w:r>
          </w:p>
        </w:tc>
        <w:tc>
          <w:tcPr>
            <w:tcW w:type="dxa" w:w="2469"/>
            <w:vAlign w:val="center"/>
          </w:tcPr>
          <w:p>
            <w:pPr>
              <w:spacing w:after="0"/>
            </w:pPr>
            <w:r/>
            <w:r>
              <w:rPr>
                <w:rFonts w:ascii="Calibri" w:hAnsi="Calibri"/>
                <w:b w:val="0"/>
                <w:sz w:val="16"/>
              </w:rPr>
              <w:t>792.038</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6</w:t>
            </w:r>
          </w:p>
        </w:tc>
        <w:tc>
          <w:tcPr>
            <w:tcW w:type="dxa" w:w="2469"/>
            <w:vAlign w:val="center"/>
          </w:tcPr>
          <w:p>
            <w:pPr>
              <w:spacing w:after="0"/>
            </w:pPr>
            <w:r/>
            <w:r>
              <w:rPr>
                <w:rFonts w:ascii="Calibri" w:hAnsi="Calibri"/>
                <w:b w:val="0"/>
                <w:sz w:val="16"/>
              </w:rPr>
              <w:t>FANCI</w:t>
            </w:r>
          </w:p>
        </w:tc>
        <w:tc>
          <w:tcPr>
            <w:tcW w:type="dxa" w:w="2469"/>
            <w:vAlign w:val="center"/>
          </w:tcPr>
          <w:p>
            <w:pPr>
              <w:spacing w:after="0"/>
            </w:pPr>
            <w:r/>
            <w:r>
              <w:rPr>
                <w:rFonts w:ascii="Calibri" w:hAnsi="Calibri"/>
                <w:b w:val="0"/>
                <w:sz w:val="16"/>
              </w:rPr>
              <w:t>790.832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7</w:t>
            </w:r>
          </w:p>
        </w:tc>
        <w:tc>
          <w:tcPr>
            <w:tcW w:type="dxa" w:w="2469"/>
            <w:vAlign w:val="center"/>
          </w:tcPr>
          <w:p>
            <w:pPr>
              <w:spacing w:after="0"/>
            </w:pPr>
            <w:r/>
            <w:r>
              <w:rPr>
                <w:rFonts w:ascii="Calibri" w:hAnsi="Calibri"/>
                <w:b w:val="0"/>
                <w:sz w:val="16"/>
              </w:rPr>
              <w:t>CENPN</w:t>
            </w:r>
          </w:p>
        </w:tc>
        <w:tc>
          <w:tcPr>
            <w:tcW w:type="dxa" w:w="2469"/>
            <w:vAlign w:val="center"/>
          </w:tcPr>
          <w:p>
            <w:pPr>
              <w:spacing w:after="0"/>
            </w:pPr>
            <w:r/>
            <w:r>
              <w:rPr>
                <w:rFonts w:ascii="Calibri" w:hAnsi="Calibri"/>
                <w:b w:val="0"/>
                <w:sz w:val="16"/>
              </w:rPr>
              <w:t>782.427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8</w:t>
            </w:r>
          </w:p>
        </w:tc>
        <w:tc>
          <w:tcPr>
            <w:tcW w:type="dxa" w:w="2469"/>
            <w:vAlign w:val="center"/>
          </w:tcPr>
          <w:p>
            <w:pPr>
              <w:spacing w:after="0"/>
            </w:pPr>
            <w:r/>
            <w:r>
              <w:rPr>
                <w:rFonts w:ascii="Calibri" w:hAnsi="Calibri"/>
                <w:b w:val="0"/>
                <w:sz w:val="16"/>
              </w:rPr>
              <w:t>NCAPD3</w:t>
            </w:r>
          </w:p>
        </w:tc>
        <w:tc>
          <w:tcPr>
            <w:tcW w:type="dxa" w:w="2469"/>
            <w:vAlign w:val="center"/>
          </w:tcPr>
          <w:p>
            <w:pPr>
              <w:spacing w:after="0"/>
            </w:pPr>
            <w:r/>
            <w:r>
              <w:rPr>
                <w:rFonts w:ascii="Calibri" w:hAnsi="Calibri"/>
                <w:b w:val="0"/>
                <w:sz w:val="16"/>
              </w:rPr>
              <w:t>776.616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9</w:t>
            </w:r>
          </w:p>
        </w:tc>
        <w:tc>
          <w:tcPr>
            <w:tcW w:type="dxa" w:w="2469"/>
            <w:vAlign w:val="center"/>
          </w:tcPr>
          <w:p>
            <w:pPr>
              <w:spacing w:after="0"/>
            </w:pPr>
            <w:r/>
            <w:r>
              <w:rPr>
                <w:rFonts w:ascii="Calibri" w:hAnsi="Calibri"/>
                <w:b w:val="0"/>
                <w:sz w:val="16"/>
              </w:rPr>
              <w:t>CHEK1</w:t>
            </w:r>
          </w:p>
        </w:tc>
        <w:tc>
          <w:tcPr>
            <w:tcW w:type="dxa" w:w="2469"/>
            <w:vAlign w:val="center"/>
          </w:tcPr>
          <w:p>
            <w:pPr>
              <w:spacing w:after="0"/>
            </w:pPr>
            <w:r/>
            <w:r>
              <w:rPr>
                <w:rFonts w:ascii="Calibri" w:hAnsi="Calibri"/>
                <w:b w:val="0"/>
                <w:sz w:val="16"/>
              </w:rPr>
              <w:t>769.846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10</w:t>
            </w:r>
          </w:p>
        </w:tc>
        <w:tc>
          <w:tcPr>
            <w:tcW w:type="dxa" w:w="2469"/>
            <w:vAlign w:val="center"/>
          </w:tcPr>
          <w:p>
            <w:pPr>
              <w:spacing w:after="0"/>
            </w:pPr>
            <w:r/>
            <w:r>
              <w:rPr>
                <w:rFonts w:ascii="Calibri" w:hAnsi="Calibri"/>
                <w:b w:val="0"/>
                <w:sz w:val="16"/>
              </w:rPr>
              <w:t>AUNIP</w:t>
            </w:r>
          </w:p>
        </w:tc>
        <w:tc>
          <w:tcPr>
            <w:tcW w:type="dxa" w:w="2469"/>
            <w:vAlign w:val="center"/>
          </w:tcPr>
          <w:p>
            <w:pPr>
              <w:spacing w:after="0"/>
            </w:pPr>
            <w:r/>
            <w:r>
              <w:rPr>
                <w:rFonts w:ascii="Calibri" w:hAnsi="Calibri"/>
                <w:b w:val="0"/>
                <w:sz w:val="16"/>
              </w:rPr>
              <w:t>759.041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11</w:t>
            </w:r>
          </w:p>
        </w:tc>
        <w:tc>
          <w:tcPr>
            <w:tcW w:type="dxa" w:w="2469"/>
            <w:vAlign w:val="center"/>
          </w:tcPr>
          <w:p>
            <w:pPr>
              <w:spacing w:after="0"/>
            </w:pPr>
            <w:r/>
            <w:r>
              <w:rPr>
                <w:rFonts w:ascii="Calibri" w:hAnsi="Calibri"/>
                <w:b w:val="0"/>
                <w:sz w:val="16"/>
              </w:rPr>
              <w:t>PLK4</w:t>
            </w:r>
          </w:p>
        </w:tc>
        <w:tc>
          <w:tcPr>
            <w:tcW w:type="dxa" w:w="2469"/>
            <w:vAlign w:val="center"/>
          </w:tcPr>
          <w:p>
            <w:pPr>
              <w:spacing w:after="0"/>
            </w:pPr>
            <w:r/>
            <w:r>
              <w:rPr>
                <w:rFonts w:ascii="Calibri" w:hAnsi="Calibri"/>
                <w:b w:val="0"/>
                <w:sz w:val="16"/>
              </w:rPr>
              <w:t>751.620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12</w:t>
            </w:r>
          </w:p>
        </w:tc>
        <w:tc>
          <w:tcPr>
            <w:tcW w:type="dxa" w:w="2469"/>
            <w:vAlign w:val="center"/>
          </w:tcPr>
          <w:p>
            <w:pPr>
              <w:spacing w:after="0"/>
            </w:pPr>
            <w:r/>
            <w:r>
              <w:rPr>
                <w:rFonts w:ascii="Calibri" w:hAnsi="Calibri"/>
                <w:b w:val="0"/>
                <w:sz w:val="16"/>
              </w:rPr>
              <w:t>FBXO5</w:t>
            </w:r>
          </w:p>
        </w:tc>
        <w:tc>
          <w:tcPr>
            <w:tcW w:type="dxa" w:w="2469"/>
            <w:vAlign w:val="center"/>
          </w:tcPr>
          <w:p>
            <w:pPr>
              <w:spacing w:after="0"/>
            </w:pPr>
            <w:r/>
            <w:r>
              <w:rPr>
                <w:rFonts w:ascii="Calibri" w:hAnsi="Calibri"/>
                <w:b w:val="0"/>
                <w:sz w:val="16"/>
              </w:rPr>
              <w:t>750.786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13</w:t>
            </w:r>
          </w:p>
        </w:tc>
        <w:tc>
          <w:tcPr>
            <w:tcW w:type="dxa" w:w="2469"/>
            <w:vAlign w:val="center"/>
          </w:tcPr>
          <w:p>
            <w:pPr>
              <w:spacing w:after="0"/>
            </w:pPr>
            <w:r/>
            <w:r>
              <w:rPr>
                <w:rFonts w:ascii="Calibri" w:hAnsi="Calibri"/>
                <w:b w:val="0"/>
                <w:sz w:val="16"/>
              </w:rPr>
              <w:t>POLE2</w:t>
            </w:r>
          </w:p>
        </w:tc>
        <w:tc>
          <w:tcPr>
            <w:tcW w:type="dxa" w:w="2469"/>
            <w:vAlign w:val="center"/>
          </w:tcPr>
          <w:p>
            <w:pPr>
              <w:spacing w:after="0"/>
            </w:pPr>
            <w:r/>
            <w:r>
              <w:rPr>
                <w:rFonts w:ascii="Calibri" w:hAnsi="Calibri"/>
                <w:b w:val="0"/>
                <w:sz w:val="16"/>
              </w:rPr>
              <w:t>744.791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14</w:t>
            </w:r>
          </w:p>
        </w:tc>
        <w:tc>
          <w:tcPr>
            <w:tcW w:type="dxa" w:w="2469"/>
            <w:vAlign w:val="center"/>
          </w:tcPr>
          <w:p>
            <w:pPr>
              <w:spacing w:after="0"/>
            </w:pPr>
            <w:r/>
            <w:r>
              <w:rPr>
                <w:rFonts w:ascii="Calibri" w:hAnsi="Calibri"/>
                <w:b w:val="0"/>
                <w:sz w:val="16"/>
              </w:rPr>
              <w:t>CCNF</w:t>
            </w:r>
          </w:p>
        </w:tc>
        <w:tc>
          <w:tcPr>
            <w:tcW w:type="dxa" w:w="2469"/>
            <w:vAlign w:val="center"/>
          </w:tcPr>
          <w:p>
            <w:pPr>
              <w:spacing w:after="0"/>
            </w:pPr>
            <w:r/>
            <w:r>
              <w:rPr>
                <w:rFonts w:ascii="Calibri" w:hAnsi="Calibri"/>
                <w:b w:val="0"/>
                <w:sz w:val="16"/>
              </w:rPr>
              <w:t>737.666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15</w:t>
            </w:r>
          </w:p>
        </w:tc>
        <w:tc>
          <w:tcPr>
            <w:tcW w:type="dxa" w:w="2469"/>
            <w:vAlign w:val="center"/>
          </w:tcPr>
          <w:p>
            <w:pPr>
              <w:spacing w:after="0"/>
            </w:pPr>
            <w:r/>
            <w:r>
              <w:rPr>
                <w:rFonts w:ascii="Calibri" w:hAnsi="Calibri"/>
                <w:b w:val="0"/>
                <w:sz w:val="16"/>
              </w:rPr>
              <w:t>OIP5</w:t>
            </w:r>
          </w:p>
        </w:tc>
        <w:tc>
          <w:tcPr>
            <w:tcW w:type="dxa" w:w="2469"/>
            <w:vAlign w:val="center"/>
          </w:tcPr>
          <w:p>
            <w:pPr>
              <w:spacing w:after="0"/>
            </w:pPr>
            <w:r/>
            <w:r>
              <w:rPr>
                <w:rFonts w:ascii="Calibri" w:hAnsi="Calibri"/>
                <w:b w:val="0"/>
                <w:sz w:val="16"/>
              </w:rPr>
              <w:t>734.686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16</w:t>
            </w:r>
          </w:p>
        </w:tc>
        <w:tc>
          <w:tcPr>
            <w:tcW w:type="dxa" w:w="2469"/>
            <w:vAlign w:val="center"/>
          </w:tcPr>
          <w:p>
            <w:pPr>
              <w:spacing w:after="0"/>
            </w:pPr>
            <w:r/>
            <w:r>
              <w:rPr>
                <w:rFonts w:ascii="Calibri" w:hAnsi="Calibri"/>
                <w:b w:val="0"/>
                <w:sz w:val="16"/>
              </w:rPr>
              <w:t>NEMP1</w:t>
            </w:r>
          </w:p>
        </w:tc>
        <w:tc>
          <w:tcPr>
            <w:tcW w:type="dxa" w:w="2469"/>
            <w:vAlign w:val="center"/>
          </w:tcPr>
          <w:p>
            <w:pPr>
              <w:spacing w:after="0"/>
            </w:pPr>
            <w:r/>
            <w:r>
              <w:rPr>
                <w:rFonts w:ascii="Calibri" w:hAnsi="Calibri"/>
                <w:b w:val="0"/>
                <w:sz w:val="16"/>
              </w:rPr>
              <w:t>733.817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17</w:t>
            </w:r>
          </w:p>
        </w:tc>
        <w:tc>
          <w:tcPr>
            <w:tcW w:type="dxa" w:w="2469"/>
            <w:vAlign w:val="center"/>
          </w:tcPr>
          <w:p>
            <w:pPr>
              <w:spacing w:after="0"/>
            </w:pPr>
            <w:r/>
            <w:r>
              <w:rPr>
                <w:rFonts w:ascii="Calibri" w:hAnsi="Calibri"/>
                <w:b w:val="0"/>
                <w:sz w:val="16"/>
              </w:rPr>
              <w:t>PRIM1</w:t>
            </w:r>
          </w:p>
        </w:tc>
        <w:tc>
          <w:tcPr>
            <w:tcW w:type="dxa" w:w="2469"/>
            <w:vAlign w:val="center"/>
          </w:tcPr>
          <w:p>
            <w:pPr>
              <w:spacing w:after="0"/>
            </w:pPr>
            <w:r/>
            <w:r>
              <w:rPr>
                <w:rFonts w:ascii="Calibri" w:hAnsi="Calibri"/>
                <w:b w:val="0"/>
                <w:sz w:val="16"/>
              </w:rPr>
              <w:t>731.574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18</w:t>
            </w:r>
          </w:p>
        </w:tc>
        <w:tc>
          <w:tcPr>
            <w:tcW w:type="dxa" w:w="2469"/>
            <w:vAlign w:val="center"/>
          </w:tcPr>
          <w:p>
            <w:pPr>
              <w:spacing w:after="0"/>
            </w:pPr>
            <w:r/>
            <w:r>
              <w:rPr>
                <w:rFonts w:ascii="Calibri" w:hAnsi="Calibri"/>
                <w:b w:val="0"/>
                <w:sz w:val="16"/>
              </w:rPr>
              <w:t>CHEK2</w:t>
            </w:r>
          </w:p>
        </w:tc>
        <w:tc>
          <w:tcPr>
            <w:tcW w:type="dxa" w:w="2469"/>
            <w:vAlign w:val="center"/>
          </w:tcPr>
          <w:p>
            <w:pPr>
              <w:spacing w:after="0"/>
            </w:pPr>
            <w:r/>
            <w:r>
              <w:rPr>
                <w:rFonts w:ascii="Calibri" w:hAnsi="Calibri"/>
                <w:b w:val="0"/>
                <w:sz w:val="16"/>
              </w:rPr>
              <w:t>729.750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19</w:t>
            </w:r>
          </w:p>
        </w:tc>
        <w:tc>
          <w:tcPr>
            <w:tcW w:type="dxa" w:w="2469"/>
            <w:vAlign w:val="center"/>
          </w:tcPr>
          <w:p>
            <w:pPr>
              <w:spacing w:after="0"/>
            </w:pPr>
            <w:r/>
            <w:r>
              <w:rPr>
                <w:rFonts w:ascii="Calibri" w:hAnsi="Calibri"/>
                <w:b w:val="0"/>
                <w:sz w:val="16"/>
              </w:rPr>
              <w:t>NEIL3</w:t>
            </w:r>
          </w:p>
        </w:tc>
        <w:tc>
          <w:tcPr>
            <w:tcW w:type="dxa" w:w="2469"/>
            <w:vAlign w:val="center"/>
          </w:tcPr>
          <w:p>
            <w:pPr>
              <w:spacing w:after="0"/>
            </w:pPr>
            <w:r/>
            <w:r>
              <w:rPr>
                <w:rFonts w:ascii="Calibri" w:hAnsi="Calibri"/>
                <w:b w:val="0"/>
                <w:sz w:val="16"/>
              </w:rPr>
              <w:t>728.787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20</w:t>
            </w:r>
          </w:p>
        </w:tc>
        <w:tc>
          <w:tcPr>
            <w:tcW w:type="dxa" w:w="2469"/>
            <w:vAlign w:val="center"/>
          </w:tcPr>
          <w:p>
            <w:pPr>
              <w:spacing w:after="0"/>
            </w:pPr>
            <w:r/>
            <w:r>
              <w:rPr>
                <w:rFonts w:ascii="Calibri" w:hAnsi="Calibri"/>
                <w:b w:val="0"/>
                <w:sz w:val="16"/>
              </w:rPr>
              <w:t>NUSAP1</w:t>
            </w:r>
          </w:p>
        </w:tc>
        <w:tc>
          <w:tcPr>
            <w:tcW w:type="dxa" w:w="2469"/>
            <w:vAlign w:val="center"/>
          </w:tcPr>
          <w:p>
            <w:pPr>
              <w:spacing w:after="0"/>
            </w:pPr>
            <w:r/>
            <w:r>
              <w:rPr>
                <w:rFonts w:ascii="Calibri" w:hAnsi="Calibri"/>
                <w:b w:val="0"/>
                <w:sz w:val="16"/>
              </w:rPr>
              <w:t>728.209</w:t>
            </w:r>
          </w:p>
        </w:tc>
        <w:tc>
          <w:tcPr>
            <w:tcW w:type="dxa" w:w="2469"/>
            <w:vAlign w:val="center"/>
          </w:tcPr>
          <w:p>
            <w:pPr>
              <w:spacing w:after="0"/>
            </w:pPr>
            <w:r/>
            <w:r>
              <w:rPr>
                <w:rFonts w:ascii="Calibri" w:hAnsi="Calibri"/>
                <w:b w:val="0"/>
                <w:sz w:val="16"/>
              </w:rPr>
              <w:t>5 / 5</w:t>
            </w:r>
          </w:p>
        </w:tc>
      </w:tr>
    </w:tbl>
    <w:p>
      <w:pPr>
        <w:spacing w:before="60" w:after="160"/>
        <w:jc w:val="center"/>
      </w:pPr>
      <w:r>
        <w:rPr>
          <w:rFonts w:ascii="Calibri" w:hAnsi="Calibri"/>
          <w:i/>
          <w:color w:val="5A5A5A"/>
          <w:sz w:val="17"/>
        </w:rPr>
        <w:t>Table 4. Top selected transcriptomic feature genes ranked by ANOVA F-score.</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showing feature impact (red/high, blue/low expression) on proliferation class prediction.</w:t>
      </w:r>
    </w:p>
    <w:p>
      <w:pPr>
        <w:spacing w:before="0" w:after="140" w:line="283" w:lineRule="auto"/>
      </w:pPr>
      <w:r>
        <w:rPr>
          <w:rFonts w:ascii="Calibri" w:hAnsi="Calibri"/>
          <w:color w:val="141F2B"/>
          <w:sz w:val="20"/>
        </w:rPr>
        <w:t>The top 30 SHAP features were tested against KEGG and GO databases. Enriched pathways fell downstream of cell-cycle regulation (Figure 3).</w:t>
      </w:r>
    </w:p>
    <w:p>
      <w:pPr>
        <w:spacing w:before="40" w:after="40"/>
        <w:jc w:val="center"/>
      </w:pPr>
      <w:r>
        <w:drawing>
          <wp:inline xmlns:a="http://schemas.openxmlformats.org/drawingml/2006/main" xmlns:pic="http://schemas.openxmlformats.org/drawingml/2006/picture">
            <wp:extent cx="4892040" cy="2717800"/>
            <wp:docPr id="3" name="Picture 3"/>
            <wp:cNvGraphicFramePr>
              <a:graphicFrameLocks noChangeAspect="1"/>
            </wp:cNvGraphicFramePr>
            <a:graphic>
              <a:graphicData uri="http://schemas.openxmlformats.org/drawingml/2006/picture">
                <pic:pic>
                  <pic:nvPicPr>
                    <pic:cNvPr id="0" name="pathway_enrichment.png"/>
                    <pic:cNvPicPr/>
                  </pic:nvPicPr>
                  <pic:blipFill>
                    <a:blip r:embed="rId12"/>
                    <a:stretch>
                      <a:fillRect/>
                    </a:stretch>
                  </pic:blipFill>
                  <pic:spPr>
                    <a:xfrm>
                      <a:off x="0" y="0"/>
                      <a:ext cx="4892040" cy="2717800"/>
                    </a:xfrm>
                    <a:prstGeom prst="rect"/>
                  </pic:spPr>
                </pic:pic>
              </a:graphicData>
            </a:graphic>
          </wp:inline>
        </w:drawing>
      </w:r>
    </w:p>
    <w:p>
      <w:pPr>
        <w:spacing w:before="60" w:after="160"/>
        <w:jc w:val="center"/>
      </w:pPr>
      <w:r>
        <w:rPr>
          <w:rFonts w:ascii="Calibri" w:hAnsi="Calibri"/>
          <w:i/>
          <w:color w:val="5A5A5A"/>
          <w:sz w:val="17"/>
        </w:rPr>
        <w:t>Figure 3. Enriched biological pathways (FDR &lt; 0.05) representing transcriptomic cascade signatures downstream of cancer cell division.</w:t>
      </w:r>
    </w:p>
    <w:p>
      <w:pPr>
        <w:spacing w:before="0" w:after="140" w:line="283" w:lineRule="auto"/>
      </w:pPr>
      <w:r>
        <w:rPr>
          <w:rFonts w:ascii="Calibri" w:hAnsi="Calibri"/>
          <w:color w:val="141F2B"/>
          <w:sz w:val="20"/>
        </w:rPr>
        <w:t>Decision Curve Analysis (Figure 4) showed that all four models gave higher net benefit than treating all patients or treating none.</w:t>
      </w:r>
    </w:p>
    <w:p>
      <w:pPr>
        <w:spacing w:before="40" w:after="40"/>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linical_dca.png"/>
                    <pic:cNvPicPr/>
                  </pic:nvPicPr>
                  <pic:blipFill>
                    <a:blip r:embed="rId13"/>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4. Clinical Decision Curve Analysis comparing Net Benefit of model-guided stratification vs. default intervention strategies.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Model</w:t>
            </w:r>
          </w:p>
        </w:tc>
        <w:tc>
          <w:tcPr>
            <w:tcW w:type="dxa" w:w="1411"/>
            <w:shd w:fill="F4F6F9"/>
            <w:vAlign w:val="center"/>
          </w:tcPr>
          <w:p>
            <w:pPr>
              <w:spacing w:after="0"/>
            </w:pPr>
            <w:r/>
            <w:r>
              <w:rPr>
                <w:rFonts w:ascii="Calibri" w:hAnsi="Calibri"/>
                <w:b/>
                <w:color w:val="141F2B"/>
                <w:sz w:val="16"/>
              </w:rPr>
              <w:t>Threshold</w:t>
            </w:r>
          </w:p>
        </w:tc>
        <w:tc>
          <w:tcPr>
            <w:tcW w:type="dxa" w:w="1411"/>
            <w:shd w:fill="F4F6F9"/>
            <w:vAlign w:val="center"/>
          </w:tcPr>
          <w:p>
            <w:pPr>
              <w:spacing w:after="0"/>
            </w:pPr>
            <w:r/>
            <w:r>
              <w:rPr>
                <w:rFonts w:ascii="Calibri" w:hAnsi="Calibri"/>
                <w:b/>
                <w:color w:val="141F2B"/>
                <w:sz w:val="16"/>
              </w:rPr>
              <w:t>Sensitivity</w:t>
            </w:r>
          </w:p>
        </w:tc>
        <w:tc>
          <w:tcPr>
            <w:tcW w:type="dxa" w:w="1411"/>
            <w:shd w:fill="F4F6F9"/>
            <w:vAlign w:val="center"/>
          </w:tcPr>
          <w:p>
            <w:pPr>
              <w:spacing w:after="0"/>
            </w:pPr>
            <w:r/>
            <w:r>
              <w:rPr>
                <w:rFonts w:ascii="Calibri" w:hAnsi="Calibri"/>
                <w:b/>
                <w:color w:val="141F2B"/>
                <w:sz w:val="16"/>
              </w:rPr>
              <w:t>Specificity</w:t>
            </w:r>
          </w:p>
        </w:tc>
        <w:tc>
          <w:tcPr>
            <w:tcW w:type="dxa" w:w="1411"/>
            <w:shd w:fill="F4F6F9"/>
            <w:vAlign w:val="center"/>
          </w:tcPr>
          <w:p>
            <w:pPr>
              <w:spacing w:after="0"/>
            </w:pPr>
            <w:r/>
            <w:r>
              <w:rPr>
                <w:rFonts w:ascii="Calibri" w:hAnsi="Calibri"/>
                <w:b/>
                <w:color w:val="141F2B"/>
                <w:sz w:val="16"/>
              </w:rPr>
              <w:t>PPV</w:t>
            </w:r>
          </w:p>
        </w:tc>
        <w:tc>
          <w:tcPr>
            <w:tcW w:type="dxa" w:w="1411"/>
            <w:shd w:fill="F4F6F9"/>
            <w:vAlign w:val="center"/>
          </w:tcPr>
          <w:p>
            <w:pPr>
              <w:spacing w:after="0"/>
            </w:pPr>
            <w:r/>
            <w:r>
              <w:rPr>
                <w:rFonts w:ascii="Calibri" w:hAnsi="Calibri"/>
                <w:b/>
                <w:color w:val="141F2B"/>
                <w:sz w:val="16"/>
              </w:rPr>
              <w:t>NPV</w:t>
            </w:r>
          </w:p>
        </w:tc>
        <w:tc>
          <w:tcPr>
            <w:tcW w:type="dxa" w:w="1411"/>
            <w:shd w:fill="F4F6F9"/>
            <w:vAlign w:val="center"/>
          </w:tcPr>
          <w:p>
            <w:pPr>
              <w:spacing w:after="0"/>
            </w:pPr>
            <w:r/>
            <w:r>
              <w:rPr>
                <w:rFonts w:ascii="Calibri" w:hAnsi="Calibri"/>
                <w:b/>
                <w:color w:val="141F2B"/>
                <w:sz w:val="16"/>
              </w:rPr>
              <w:t>NNT</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0.8795</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0.9241</w:t>
            </w:r>
          </w:p>
        </w:tc>
        <w:tc>
          <w:tcPr>
            <w:tcW w:type="dxa" w:w="1411"/>
            <w:vAlign w:val="center"/>
          </w:tcPr>
          <w:p>
            <w:pPr>
              <w:spacing w:after="0"/>
            </w:pPr>
            <w:r/>
            <w:r>
              <w:rPr>
                <w:rFonts w:ascii="Calibri" w:hAnsi="Calibri"/>
                <w:b w:val="0"/>
                <w:sz w:val="16"/>
              </w:rPr>
              <w:t>0.8837</w:t>
            </w:r>
          </w:p>
        </w:tc>
        <w:tc>
          <w:tcPr>
            <w:tcW w:type="dxa" w:w="1411"/>
            <w:vAlign w:val="center"/>
          </w:tcPr>
          <w:p>
            <w:pPr>
              <w:spacing w:after="0"/>
            </w:pPr>
            <w:r/>
            <w:r>
              <w:rPr>
                <w:rFonts w:ascii="Calibri" w:hAnsi="Calibri"/>
                <w:b w:val="0"/>
                <w:sz w:val="16"/>
              </w:rPr>
              <w:t>2.5</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0.8675</w:t>
            </w:r>
          </w:p>
        </w:tc>
        <w:tc>
          <w:tcPr>
            <w:tcW w:type="dxa" w:w="1411"/>
            <w:vAlign w:val="center"/>
          </w:tcPr>
          <w:p>
            <w:pPr>
              <w:spacing w:after="0"/>
            </w:pPr>
            <w:r/>
            <w:r>
              <w:rPr>
                <w:rFonts w:ascii="Calibri" w:hAnsi="Calibri"/>
                <w:b w:val="0"/>
                <w:sz w:val="16"/>
              </w:rPr>
              <w:t>0.9634</w:t>
            </w:r>
          </w:p>
        </w:tc>
        <w:tc>
          <w:tcPr>
            <w:tcW w:type="dxa" w:w="1411"/>
            <w:vAlign w:val="center"/>
          </w:tcPr>
          <w:p>
            <w:pPr>
              <w:spacing w:after="0"/>
            </w:pPr>
            <w:r/>
            <w:r>
              <w:rPr>
                <w:rFonts w:ascii="Calibri" w:hAnsi="Calibri"/>
                <w:b w:val="0"/>
                <w:sz w:val="16"/>
              </w:rPr>
              <w:t>0.9600</w:t>
            </w:r>
          </w:p>
        </w:tc>
        <w:tc>
          <w:tcPr>
            <w:tcW w:type="dxa" w:w="1411"/>
            <w:vAlign w:val="center"/>
          </w:tcPr>
          <w:p>
            <w:pPr>
              <w:spacing w:after="0"/>
            </w:pPr>
            <w:r/>
            <w:r>
              <w:rPr>
                <w:rFonts w:ascii="Calibri" w:hAnsi="Calibri"/>
                <w:b w:val="0"/>
                <w:sz w:val="16"/>
              </w:rPr>
              <w:t>0.8778</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0.9518</w:t>
            </w:r>
          </w:p>
        </w:tc>
        <w:tc>
          <w:tcPr>
            <w:tcW w:type="dxa" w:w="1411"/>
            <w:vAlign w:val="center"/>
          </w:tcPr>
          <w:p>
            <w:pPr>
              <w:spacing w:after="0"/>
            </w:pPr>
            <w:r/>
            <w:r>
              <w:rPr>
                <w:rFonts w:ascii="Calibri" w:hAnsi="Calibri"/>
                <w:b w:val="0"/>
                <w:sz w:val="16"/>
              </w:rPr>
              <w:t>0.9024</w:t>
            </w:r>
          </w:p>
        </w:tc>
        <w:tc>
          <w:tcPr>
            <w:tcW w:type="dxa" w:w="1411"/>
            <w:vAlign w:val="center"/>
          </w:tcPr>
          <w:p>
            <w:pPr>
              <w:spacing w:after="0"/>
            </w:pPr>
            <w:r/>
            <w:r>
              <w:rPr>
                <w:rFonts w:ascii="Calibri" w:hAnsi="Calibri"/>
                <w:b w:val="0"/>
                <w:sz w:val="16"/>
              </w:rPr>
              <w:t>0.9080</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0.9512</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0.8966</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0.9398</w:t>
            </w:r>
          </w:p>
        </w:tc>
        <w:tc>
          <w:tcPr>
            <w:tcW w:type="dxa" w:w="1411"/>
            <w:vAlign w:val="center"/>
          </w:tcPr>
          <w:p>
            <w:pPr>
              <w:spacing w:after="0"/>
            </w:pPr>
            <w:r/>
            <w:r>
              <w:rPr>
                <w:rFonts w:ascii="Calibri" w:hAnsi="Calibri"/>
                <w:b w:val="0"/>
                <w:sz w:val="16"/>
              </w:rPr>
              <w:t>0.9146</w:t>
            </w:r>
          </w:p>
        </w:tc>
        <w:tc>
          <w:tcPr>
            <w:tcW w:type="dxa" w:w="1411"/>
            <w:vAlign w:val="center"/>
          </w:tcPr>
          <w:p>
            <w:pPr>
              <w:spacing w:after="0"/>
            </w:pPr>
            <w:r/>
            <w:r>
              <w:rPr>
                <w:rFonts w:ascii="Calibri" w:hAnsi="Calibri"/>
                <w:b w:val="0"/>
                <w:sz w:val="16"/>
              </w:rPr>
              <w:t>0.9176</w:t>
            </w:r>
          </w:p>
        </w:tc>
        <w:tc>
          <w:tcPr>
            <w:tcW w:type="dxa" w:w="1411"/>
            <w:vAlign w:val="center"/>
          </w:tcPr>
          <w:p>
            <w:pPr>
              <w:spacing w:after="0"/>
            </w:pPr>
            <w:r/>
            <w:r>
              <w:rPr>
                <w:rFonts w:ascii="Calibri" w:hAnsi="Calibri"/>
                <w:b w:val="0"/>
                <w:sz w:val="16"/>
              </w:rPr>
              <w:t>0.9375</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0.8659</w:t>
            </w:r>
          </w:p>
        </w:tc>
        <w:tc>
          <w:tcPr>
            <w:tcW w:type="dxa" w:w="1411"/>
            <w:vAlign w:val="center"/>
          </w:tcPr>
          <w:p>
            <w:pPr>
              <w:spacing w:after="0"/>
            </w:pPr>
            <w:r/>
            <w:r>
              <w:rPr>
                <w:rFonts w:ascii="Calibri" w:hAnsi="Calibri"/>
                <w:b w:val="0"/>
                <w:sz w:val="16"/>
              </w:rPr>
              <w:t>0.8750</w:t>
            </w:r>
          </w:p>
        </w:tc>
        <w:tc>
          <w:tcPr>
            <w:tcW w:type="dxa" w:w="1411"/>
            <w:vAlign w:val="center"/>
          </w:tcPr>
          <w:p>
            <w:pPr>
              <w:spacing w:after="0"/>
            </w:pPr>
            <w:r/>
            <w:r>
              <w:rPr>
                <w:rFonts w:ascii="Calibri" w:hAnsi="Calibri"/>
                <w:b w:val="0"/>
                <w:sz w:val="16"/>
              </w:rPr>
              <w:t>0.9221</w:t>
            </w:r>
          </w:p>
        </w:tc>
        <w:tc>
          <w:tcPr>
            <w:tcW w:type="dxa" w:w="1411"/>
            <w:vAlign w:val="center"/>
          </w:tcPr>
          <w:p>
            <w:pPr>
              <w:spacing w:after="0"/>
            </w:pPr>
            <w:r/>
            <w:r>
              <w:rPr>
                <w:rFonts w:ascii="Calibri" w:hAnsi="Calibri"/>
                <w:b w:val="0"/>
                <w:sz w:val="16"/>
              </w:rPr>
              <w:t>2.5</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0.8810</w:t>
            </w:r>
          </w:p>
        </w:tc>
        <w:tc>
          <w:tcPr>
            <w:tcW w:type="dxa" w:w="1411"/>
            <w:vAlign w:val="center"/>
          </w:tcPr>
          <w:p>
            <w:pPr>
              <w:spacing w:after="0"/>
            </w:pPr>
            <w:r/>
            <w:r>
              <w:rPr>
                <w:rFonts w:ascii="Calibri" w:hAnsi="Calibri"/>
                <w:b w:val="0"/>
                <w:sz w:val="16"/>
              </w:rPr>
              <w:t>0.8889</w:t>
            </w:r>
          </w:p>
        </w:tc>
        <w:tc>
          <w:tcPr>
            <w:tcW w:type="dxa" w:w="1411"/>
            <w:vAlign w:val="center"/>
          </w:tcPr>
          <w:p>
            <w:pPr>
              <w:spacing w:after="0"/>
            </w:pPr>
            <w:r/>
            <w:r>
              <w:rPr>
                <w:rFonts w:ascii="Calibri" w:hAnsi="Calibri"/>
                <w:b w:val="0"/>
                <w:sz w:val="16"/>
              </w:rPr>
              <w:t>2.8</w:t>
            </w:r>
          </w:p>
        </w:tc>
      </w:tr>
    </w:tbl>
    <w:p>
      <w:pPr>
        <w:spacing w:before="60" w:after="160"/>
        <w:jc w:val="center"/>
      </w:pPr>
      <w:r>
        <w:rPr>
          <w:rFonts w:ascii="Calibri" w:hAnsi="Calibri"/>
          <w:i/>
          <w:color w:val="5A5A5A"/>
          <w:sz w:val="17"/>
        </w:rPr>
        <w:t>Table 5. Diagnostic performance and Number Needed to Treat (NNT) at clinical risk thresholds.</w:t>
      </w:r>
    </w:p>
    <w:p>
      <w:r>
        <w:br w:type="page"/>
      </w:r>
    </w:p>
    <w:p>
      <w:pPr>
        <w:pStyle w:val="Heading1"/>
        <w:keepNext/>
        <w:spacing w:before="240" w:after="100"/>
      </w:pPr>
    </w:p>
    <w:p>
      <w:pPr>
        <w:spacing w:before="0" w:after="140" w:line="283" w:lineRule="auto"/>
      </w:pPr>
      <w:r>
        <w:rPr>
          <w:rFonts w:ascii="Calibri" w:hAnsi="Calibri"/>
          <w:color w:val="141F2B"/>
          <w:sz w:val="20"/>
        </w:rPr>
        <w:t>Subgroup analyses checked for performance differences across age, sex, and stage. Accuracy and ROC-AUC were similar across groups. Bootstrap interaction tests showed no significant differences (p &gt; 0.05). Results are in Table 6.</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Subgroup</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Accuracy</w:t>
            </w:r>
          </w:p>
        </w:tc>
        <w:tc>
          <w:tcPr>
            <w:tcW w:type="dxa" w:w="1411"/>
            <w:shd w:fill="F4F6F9"/>
            <w:vAlign w:val="center"/>
          </w:tcPr>
          <w:p>
            <w:pPr>
              <w:spacing w:after="0"/>
            </w:pPr>
            <w:r/>
            <w:r>
              <w:rPr>
                <w:rFonts w:ascii="Calibri" w:hAnsi="Calibri"/>
                <w:b/>
                <w:color w:val="141F2B"/>
                <w:sz w:val="16"/>
              </w:rPr>
              <w:t>ROC-AUC</w:t>
            </w:r>
          </w:p>
        </w:tc>
        <w:tc>
          <w:tcPr>
            <w:tcW w:type="dxa" w:w="1411"/>
            <w:shd w:fill="F4F6F9"/>
            <w:vAlign w:val="center"/>
          </w:tcPr>
          <w:p>
            <w:pPr>
              <w:spacing w:after="0"/>
            </w:pPr>
            <w:r/>
            <w:r>
              <w:rPr>
                <w:rFonts w:ascii="Calibri" w:hAnsi="Calibri"/>
                <w:b/>
                <w:color w:val="141F2B"/>
                <w:sz w:val="16"/>
              </w:rPr>
              <w:t>ROC-AUC 95% CI</w:t>
            </w:r>
          </w:p>
        </w:tc>
        <w:tc>
          <w:tcPr>
            <w:tcW w:type="dxa" w:w="1411"/>
            <w:shd w:fill="F4F6F9"/>
            <w:vAlign w:val="center"/>
          </w:tcPr>
          <w:p>
            <w:pPr>
              <w:spacing w:after="0"/>
            </w:pPr>
            <w:r/>
            <w:r>
              <w:rPr>
                <w:rFonts w:ascii="Calibri" w:hAnsi="Calibri"/>
                <w:b/>
                <w:color w:val="141F2B"/>
                <w:sz w:val="16"/>
              </w:rPr>
              <w:t>Interaction p-value</w:t>
            </w:r>
          </w:p>
        </w:tc>
        <w:tc>
          <w:tcPr>
            <w:tcW w:type="dxa" w:w="1411"/>
            <w:shd w:fill="F4F6F9"/>
            <w:vAlign w:val="center"/>
          </w:tcPr>
          <w:p>
            <w:pPr>
              <w:spacing w:after="0"/>
            </w:pPr>
            <w:r/>
            <w:r>
              <w:rPr>
                <w:rFonts w:ascii="Calibri" w:hAnsi="Calibri"/>
                <w:b/>
                <w:color w:val="141F2B"/>
                <w:sz w:val="16"/>
              </w:rPr>
              <w:t>Interaction 95% CI</w:t>
            </w:r>
          </w:p>
        </w:tc>
      </w:tr>
      <w:tr>
        <w:tc>
          <w:tcPr>
            <w:tcW w:type="dxa" w:w="1411"/>
            <w:vAlign w:val="center"/>
          </w:tcPr>
          <w:p>
            <w:pPr>
              <w:spacing w:after="0"/>
            </w:pPr>
            <w:r/>
            <w:r>
              <w:rPr>
                <w:rFonts w:ascii="Calibri" w:hAnsi="Calibri"/>
                <w:b w:val="0"/>
                <w:sz w:val="16"/>
              </w:rPr>
              <w:t>All</w:t>
            </w:r>
          </w:p>
        </w:tc>
        <w:tc>
          <w:tcPr>
            <w:tcW w:type="dxa" w:w="1411"/>
            <w:vAlign w:val="center"/>
          </w:tcPr>
          <w:p>
            <w:pPr>
              <w:spacing w:after="0"/>
            </w:pPr>
            <w:r/>
            <w:r>
              <w:rPr>
                <w:rFonts w:ascii="Calibri" w:hAnsi="Calibri"/>
                <w:b w:val="0"/>
                <w:sz w:val="16"/>
              </w:rPr>
              <w:t>165</w:t>
            </w:r>
          </w:p>
        </w:tc>
        <w:tc>
          <w:tcPr>
            <w:tcW w:type="dxa" w:w="1411"/>
            <w:vAlign w:val="center"/>
          </w:tcPr>
          <w:p>
            <w:pPr>
              <w:spacing w:after="0"/>
            </w:pPr>
            <w:r/>
            <w:r>
              <w:rPr>
                <w:rFonts w:ascii="Calibri" w:hAnsi="Calibri"/>
                <w:b w:val="0"/>
                <w:sz w:val="16"/>
              </w:rPr>
              <w:t>0.9030</w:t>
            </w:r>
          </w:p>
        </w:tc>
        <w:tc>
          <w:tcPr>
            <w:tcW w:type="dxa" w:w="1411"/>
            <w:vAlign w:val="center"/>
          </w:tcPr>
          <w:p>
            <w:pPr>
              <w:spacing w:after="0"/>
            </w:pPr>
            <w:r/>
            <w:r>
              <w:rPr>
                <w:rFonts w:ascii="Calibri" w:hAnsi="Calibri"/>
                <w:b w:val="0"/>
                <w:sz w:val="16"/>
              </w:rPr>
              <w:t>0.9850</w:t>
            </w:r>
          </w:p>
        </w:tc>
        <w:tc>
          <w:tcPr>
            <w:tcW w:type="dxa" w:w="1411"/>
            <w:vAlign w:val="center"/>
          </w:tcPr>
          <w:p>
            <w:pPr>
              <w:spacing w:after="0"/>
            </w:pPr>
            <w:r/>
            <w:r>
              <w:rPr>
                <w:rFonts w:ascii="Calibri" w:hAnsi="Calibri"/>
                <w:b w:val="0"/>
                <w:sz w:val="16"/>
              </w:rPr>
              <w:t>(0.9711-0.9948)</w:t>
            </w:r>
          </w:p>
        </w:tc>
        <w:tc>
          <w:tcPr>
            <w:tcW w:type="dxa" w:w="1411"/>
            <w:vAlign w:val="center"/>
          </w:tcPr>
          <w:p>
            <w:pPr>
              <w:spacing w:after="0"/>
            </w:pPr>
            <w:r/>
            <w:r>
              <w:rPr>
                <w:rFonts w:ascii="Calibri" w:hAnsi="Calibri"/>
                <w:b w:val="0"/>
                <w:sz w:val="16"/>
              </w:rPr>
              <w:t>-</w:t>
            </w:r>
          </w:p>
        </w:tc>
        <w:tc>
          <w:tcPr>
            <w:tcW w:type="dxa" w:w="1411"/>
            <w:vAlign w:val="center"/>
          </w:tcPr>
          <w:p>
            <w:pPr>
              <w:spacing w:after="0"/>
            </w:pPr>
            <w:r/>
            <w:r>
              <w:rPr>
                <w:rFonts w:ascii="Calibri" w:hAnsi="Calibri"/>
                <w:b w:val="0"/>
                <w:sz w:val="16"/>
              </w:rPr>
              <w:t>-</w:t>
            </w:r>
          </w:p>
        </w:tc>
      </w:tr>
      <w:tr>
        <w:tc>
          <w:tcPr>
            <w:tcW w:type="dxa" w:w="1411"/>
            <w:vAlign w:val="center"/>
          </w:tcPr>
          <w:p>
            <w:pPr>
              <w:spacing w:after="0"/>
            </w:pPr>
            <w:r/>
            <w:r>
              <w:rPr>
                <w:rFonts w:ascii="Calibri" w:hAnsi="Calibri"/>
                <w:b w:val="0"/>
                <w:sz w:val="16"/>
              </w:rPr>
              <w:t>Age &lt; 65</w:t>
            </w:r>
          </w:p>
        </w:tc>
        <w:tc>
          <w:tcPr>
            <w:tcW w:type="dxa" w:w="1411"/>
            <w:vAlign w:val="center"/>
          </w:tcPr>
          <w:p>
            <w:pPr>
              <w:spacing w:after="0"/>
            </w:pPr>
            <w:r/>
            <w:r>
              <w:rPr>
                <w:rFonts w:ascii="Calibri" w:hAnsi="Calibri"/>
                <w:b w:val="0"/>
                <w:sz w:val="16"/>
              </w:rPr>
              <w:t>39</w:t>
            </w:r>
          </w:p>
        </w:tc>
        <w:tc>
          <w:tcPr>
            <w:tcW w:type="dxa" w:w="1411"/>
            <w:vAlign w:val="center"/>
          </w:tcPr>
          <w:p>
            <w:pPr>
              <w:spacing w:after="0"/>
            </w:pPr>
            <w:r/>
            <w:r>
              <w:rPr>
                <w:rFonts w:ascii="Calibri" w:hAnsi="Calibri"/>
                <w:b w:val="0"/>
                <w:sz w:val="16"/>
              </w:rPr>
              <w:t>0.8205</w:t>
            </w:r>
          </w:p>
        </w:tc>
        <w:tc>
          <w:tcPr>
            <w:tcW w:type="dxa" w:w="1411"/>
            <w:vAlign w:val="center"/>
          </w:tcPr>
          <w:p>
            <w:pPr>
              <w:spacing w:after="0"/>
            </w:pPr>
            <w:r/>
            <w:r>
              <w:rPr>
                <w:rFonts w:ascii="Calibri" w:hAnsi="Calibri"/>
                <w:b w:val="0"/>
                <w:sz w:val="16"/>
              </w:rPr>
              <w:t>0.9511</w:t>
            </w:r>
          </w:p>
        </w:tc>
        <w:tc>
          <w:tcPr>
            <w:tcW w:type="dxa" w:w="1411"/>
            <w:vAlign w:val="center"/>
          </w:tcPr>
          <w:p>
            <w:pPr>
              <w:spacing w:after="0"/>
            </w:pPr>
            <w:r/>
            <w:r>
              <w:rPr>
                <w:rFonts w:ascii="Calibri" w:hAnsi="Calibri"/>
                <w:b w:val="0"/>
                <w:sz w:val="16"/>
              </w:rPr>
              <w:t>(0.8757-1.0000)</w:t>
            </w:r>
          </w:p>
        </w:tc>
        <w:tc>
          <w:tcPr>
            <w:tcW w:type="dxa" w:w="1411"/>
            <w:vAlign w:val="center"/>
          </w:tcPr>
          <w:p>
            <w:pPr>
              <w:spacing w:after="0"/>
            </w:pPr>
            <w:r/>
            <w:r>
              <w:rPr>
                <w:rFonts w:ascii="Calibri" w:hAnsi="Calibri"/>
                <w:b w:val="0"/>
                <w:sz w:val="16"/>
              </w:rPr>
              <w:t>0.2050</w:t>
            </w:r>
          </w:p>
        </w:tc>
        <w:tc>
          <w:tcPr>
            <w:tcW w:type="dxa" w:w="1411"/>
            <w:vAlign w:val="center"/>
          </w:tcPr>
          <w:p>
            <w:pPr>
              <w:spacing w:after="0"/>
            </w:pPr>
            <w:r/>
            <w:r>
              <w:rPr>
                <w:rFonts w:ascii="Calibri" w:hAnsi="Calibri"/>
                <w:b w:val="0"/>
                <w:sz w:val="16"/>
              </w:rPr>
              <w:t>(-0.1205 to 0.0096)</w:t>
            </w:r>
          </w:p>
        </w:tc>
      </w:tr>
      <w:tr>
        <w:tc>
          <w:tcPr>
            <w:tcW w:type="dxa" w:w="1411"/>
            <w:vAlign w:val="center"/>
          </w:tcPr>
          <w:p>
            <w:pPr>
              <w:spacing w:after="0"/>
            </w:pPr>
            <w:r/>
            <w:r>
              <w:rPr>
                <w:rFonts w:ascii="Calibri" w:hAnsi="Calibri"/>
                <w:b w:val="0"/>
                <w:sz w:val="16"/>
              </w:rPr>
              <w:t>Age &gt;= 65</w:t>
            </w:r>
          </w:p>
        </w:tc>
        <w:tc>
          <w:tcPr>
            <w:tcW w:type="dxa" w:w="1411"/>
            <w:vAlign w:val="center"/>
          </w:tcPr>
          <w:p>
            <w:pPr>
              <w:spacing w:after="0"/>
            </w:pPr>
            <w:r/>
            <w:r>
              <w:rPr>
                <w:rFonts w:ascii="Calibri" w:hAnsi="Calibri"/>
                <w:b w:val="0"/>
                <w:sz w:val="16"/>
              </w:rPr>
              <w:t>126</w:t>
            </w:r>
          </w:p>
        </w:tc>
        <w:tc>
          <w:tcPr>
            <w:tcW w:type="dxa" w:w="1411"/>
            <w:vAlign w:val="center"/>
          </w:tcPr>
          <w:p>
            <w:pPr>
              <w:spacing w:after="0"/>
            </w:pPr>
            <w:r/>
            <w:r>
              <w:rPr>
                <w:rFonts w:ascii="Calibri" w:hAnsi="Calibri"/>
                <w:b w:val="0"/>
                <w:sz w:val="16"/>
              </w:rPr>
              <w:t>0.9286</w:t>
            </w:r>
          </w:p>
        </w:tc>
        <w:tc>
          <w:tcPr>
            <w:tcW w:type="dxa" w:w="1411"/>
            <w:vAlign w:val="center"/>
          </w:tcPr>
          <w:p>
            <w:pPr>
              <w:spacing w:after="0"/>
            </w:pPr>
            <w:r/>
            <w:r>
              <w:rPr>
                <w:rFonts w:ascii="Calibri" w:hAnsi="Calibri"/>
                <w:b w:val="0"/>
                <w:sz w:val="16"/>
              </w:rPr>
              <w:t>0.9911</w:t>
            </w:r>
          </w:p>
        </w:tc>
        <w:tc>
          <w:tcPr>
            <w:tcW w:type="dxa" w:w="1411"/>
            <w:vAlign w:val="center"/>
          </w:tcPr>
          <w:p>
            <w:pPr>
              <w:spacing w:after="0"/>
            </w:pPr>
            <w:r/>
            <w:r>
              <w:rPr>
                <w:rFonts w:ascii="Calibri" w:hAnsi="Calibri"/>
                <w:b w:val="0"/>
                <w:sz w:val="16"/>
              </w:rPr>
              <w:t>(0.9805-0.9985)</w:t>
            </w:r>
          </w:p>
        </w:tc>
        <w:tc>
          <w:tcPr>
            <w:tcW w:type="dxa" w:w="1411"/>
            <w:vAlign w:val="center"/>
          </w:tcPr>
          <w:p>
            <w:pPr>
              <w:spacing w:after="0"/>
            </w:pPr>
            <w:r/>
            <w:r>
              <w:rPr>
                <w:rFonts w:ascii="Calibri" w:hAnsi="Calibri"/>
                <w:b w:val="0"/>
                <w:sz w:val="16"/>
              </w:rPr>
              <w:t>0.2050</w:t>
            </w:r>
          </w:p>
        </w:tc>
        <w:tc>
          <w:tcPr>
            <w:tcW w:type="dxa" w:w="1411"/>
            <w:vAlign w:val="center"/>
          </w:tcPr>
          <w:p>
            <w:pPr>
              <w:spacing w:after="0"/>
            </w:pPr>
            <w:r/>
            <w:r>
              <w:rPr>
                <w:rFonts w:ascii="Calibri" w:hAnsi="Calibri"/>
                <w:b w:val="0"/>
                <w:sz w:val="16"/>
              </w:rPr>
              <w:t>(-0.1205 to 0.0096)</w:t>
            </w:r>
          </w:p>
        </w:tc>
      </w:tr>
      <w:tr>
        <w:tc>
          <w:tcPr>
            <w:tcW w:type="dxa" w:w="1411"/>
            <w:vAlign w:val="center"/>
          </w:tcPr>
          <w:p>
            <w:pPr>
              <w:spacing w:after="0"/>
            </w:pPr>
            <w:r/>
            <w:r>
              <w:rPr>
                <w:rFonts w:ascii="Calibri" w:hAnsi="Calibri"/>
                <w:b w:val="0"/>
                <w:sz w:val="16"/>
              </w:rPr>
              <w:t>Male</w:t>
            </w:r>
          </w:p>
        </w:tc>
        <w:tc>
          <w:tcPr>
            <w:tcW w:type="dxa" w:w="1411"/>
            <w:vAlign w:val="center"/>
          </w:tcPr>
          <w:p>
            <w:pPr>
              <w:spacing w:after="0"/>
            </w:pPr>
            <w:r/>
            <w:r>
              <w:rPr>
                <w:rFonts w:ascii="Calibri" w:hAnsi="Calibri"/>
                <w:b w:val="0"/>
                <w:sz w:val="16"/>
              </w:rPr>
              <w:t>62</w:t>
            </w:r>
          </w:p>
        </w:tc>
        <w:tc>
          <w:tcPr>
            <w:tcW w:type="dxa" w:w="1411"/>
            <w:vAlign w:val="center"/>
          </w:tcPr>
          <w:p>
            <w:pPr>
              <w:spacing w:after="0"/>
            </w:pPr>
            <w:r/>
            <w:r>
              <w:rPr>
                <w:rFonts w:ascii="Calibri" w:hAnsi="Calibri"/>
                <w:b w:val="0"/>
                <w:sz w:val="16"/>
              </w:rPr>
              <w:t>0.8871</w:t>
            </w:r>
          </w:p>
        </w:tc>
        <w:tc>
          <w:tcPr>
            <w:tcW w:type="dxa" w:w="1411"/>
            <w:vAlign w:val="center"/>
          </w:tcPr>
          <w:p>
            <w:pPr>
              <w:spacing w:after="0"/>
            </w:pPr>
            <w:r/>
            <w:r>
              <w:rPr>
                <w:rFonts w:ascii="Calibri" w:hAnsi="Calibri"/>
                <w:b w:val="0"/>
                <w:sz w:val="16"/>
              </w:rPr>
              <w:t>0.9778</w:t>
            </w:r>
          </w:p>
        </w:tc>
        <w:tc>
          <w:tcPr>
            <w:tcW w:type="dxa" w:w="1411"/>
            <w:vAlign w:val="center"/>
          </w:tcPr>
          <w:p>
            <w:pPr>
              <w:spacing w:after="0"/>
            </w:pPr>
            <w:r/>
            <w:r>
              <w:rPr>
                <w:rFonts w:ascii="Calibri" w:hAnsi="Calibri"/>
                <w:b w:val="0"/>
                <w:sz w:val="16"/>
              </w:rPr>
              <w:t>(0.9390-1.0000)</w:t>
            </w:r>
          </w:p>
        </w:tc>
        <w:tc>
          <w:tcPr>
            <w:tcW w:type="dxa" w:w="1411"/>
            <w:vAlign w:val="center"/>
          </w:tcPr>
          <w:p>
            <w:pPr>
              <w:spacing w:after="0"/>
            </w:pPr>
            <w:r/>
            <w:r>
              <w:rPr>
                <w:rFonts w:ascii="Calibri" w:hAnsi="Calibri"/>
                <w:b w:val="0"/>
                <w:sz w:val="16"/>
              </w:rPr>
              <w:t>0.5980</w:t>
            </w:r>
          </w:p>
        </w:tc>
        <w:tc>
          <w:tcPr>
            <w:tcW w:type="dxa" w:w="1411"/>
            <w:vAlign w:val="center"/>
          </w:tcPr>
          <w:p>
            <w:pPr>
              <w:spacing w:after="0"/>
            </w:pPr>
            <w:r/>
            <w:r>
              <w:rPr>
                <w:rFonts w:ascii="Calibri" w:hAnsi="Calibri"/>
                <w:b w:val="0"/>
                <w:sz w:val="16"/>
              </w:rPr>
              <w:t>(-0.0446 to 0.0198)</w:t>
            </w:r>
          </w:p>
        </w:tc>
      </w:tr>
      <w:tr>
        <w:tc>
          <w:tcPr>
            <w:tcW w:type="dxa" w:w="1411"/>
            <w:vAlign w:val="center"/>
          </w:tcPr>
          <w:p>
            <w:pPr>
              <w:spacing w:after="0"/>
            </w:pPr>
            <w:r/>
            <w:r>
              <w:rPr>
                <w:rFonts w:ascii="Calibri" w:hAnsi="Calibri"/>
                <w:b w:val="0"/>
                <w:sz w:val="16"/>
              </w:rPr>
              <w:t>Female</w:t>
            </w:r>
          </w:p>
        </w:tc>
        <w:tc>
          <w:tcPr>
            <w:tcW w:type="dxa" w:w="1411"/>
            <w:vAlign w:val="center"/>
          </w:tcPr>
          <w:p>
            <w:pPr>
              <w:spacing w:after="0"/>
            </w:pPr>
            <w:r/>
            <w:r>
              <w:rPr>
                <w:rFonts w:ascii="Calibri" w:hAnsi="Calibri"/>
                <w:b w:val="0"/>
                <w:sz w:val="16"/>
              </w:rPr>
              <w:t>103</w:t>
            </w:r>
          </w:p>
        </w:tc>
        <w:tc>
          <w:tcPr>
            <w:tcW w:type="dxa" w:w="1411"/>
            <w:vAlign w:val="center"/>
          </w:tcPr>
          <w:p>
            <w:pPr>
              <w:spacing w:after="0"/>
            </w:pPr>
            <w:r/>
            <w:r>
              <w:rPr>
                <w:rFonts w:ascii="Calibri" w:hAnsi="Calibri"/>
                <w:b w:val="0"/>
                <w:sz w:val="16"/>
              </w:rPr>
              <w:t>0.9126</w:t>
            </w:r>
          </w:p>
        </w:tc>
        <w:tc>
          <w:tcPr>
            <w:tcW w:type="dxa" w:w="1411"/>
            <w:vAlign w:val="center"/>
          </w:tcPr>
          <w:p>
            <w:pPr>
              <w:spacing w:after="0"/>
            </w:pPr>
            <w:r/>
            <w:r>
              <w:rPr>
                <w:rFonts w:ascii="Calibri" w:hAnsi="Calibri"/>
                <w:b w:val="0"/>
                <w:sz w:val="16"/>
              </w:rPr>
              <w:t>0.9865</w:t>
            </w:r>
          </w:p>
        </w:tc>
        <w:tc>
          <w:tcPr>
            <w:tcW w:type="dxa" w:w="1411"/>
            <w:vAlign w:val="center"/>
          </w:tcPr>
          <w:p>
            <w:pPr>
              <w:spacing w:after="0"/>
            </w:pPr>
            <w:r/>
            <w:r>
              <w:rPr>
                <w:rFonts w:ascii="Calibri" w:hAnsi="Calibri"/>
                <w:b w:val="0"/>
                <w:sz w:val="16"/>
              </w:rPr>
              <w:t>(0.9676-0.9972)</w:t>
            </w:r>
          </w:p>
        </w:tc>
        <w:tc>
          <w:tcPr>
            <w:tcW w:type="dxa" w:w="1411"/>
            <w:vAlign w:val="center"/>
          </w:tcPr>
          <w:p>
            <w:pPr>
              <w:spacing w:after="0"/>
            </w:pPr>
            <w:r/>
            <w:r>
              <w:rPr>
                <w:rFonts w:ascii="Calibri" w:hAnsi="Calibri"/>
                <w:b w:val="0"/>
                <w:sz w:val="16"/>
              </w:rPr>
              <w:t>0.5980</w:t>
            </w:r>
          </w:p>
        </w:tc>
        <w:tc>
          <w:tcPr>
            <w:tcW w:type="dxa" w:w="1411"/>
            <w:vAlign w:val="center"/>
          </w:tcPr>
          <w:p>
            <w:pPr>
              <w:spacing w:after="0"/>
            </w:pPr>
            <w:r/>
            <w:r>
              <w:rPr>
                <w:rFonts w:ascii="Calibri" w:hAnsi="Calibri"/>
                <w:b w:val="0"/>
                <w:sz w:val="16"/>
              </w:rPr>
              <w:t>(-0.0446 to 0.0198)</w:t>
            </w:r>
          </w:p>
        </w:tc>
      </w:tr>
      <w:tr>
        <w:tc>
          <w:tcPr>
            <w:tcW w:type="dxa" w:w="1411"/>
            <w:vAlign w:val="center"/>
          </w:tcPr>
          <w:p>
            <w:pPr>
              <w:spacing w:after="0"/>
            </w:pPr>
            <w:r/>
            <w:r>
              <w:rPr>
                <w:rFonts w:ascii="Calibri" w:hAnsi="Calibri"/>
                <w:b w:val="0"/>
                <w:sz w:val="16"/>
              </w:rPr>
              <w:t>Stage I/II</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0.8947</w:t>
            </w:r>
          </w:p>
        </w:tc>
        <w:tc>
          <w:tcPr>
            <w:tcW w:type="dxa" w:w="1411"/>
            <w:vAlign w:val="center"/>
          </w:tcPr>
          <w:p>
            <w:pPr>
              <w:spacing w:after="0"/>
            </w:pPr>
            <w:r/>
            <w:r>
              <w:rPr>
                <w:rFonts w:ascii="Calibri" w:hAnsi="Calibri"/>
                <w:b w:val="0"/>
                <w:sz w:val="16"/>
              </w:rPr>
              <w:t>0.9858</w:t>
            </w:r>
          </w:p>
        </w:tc>
        <w:tc>
          <w:tcPr>
            <w:tcW w:type="dxa" w:w="1411"/>
            <w:vAlign w:val="center"/>
          </w:tcPr>
          <w:p>
            <w:pPr>
              <w:spacing w:after="0"/>
            </w:pPr>
            <w:r/>
            <w:r>
              <w:rPr>
                <w:rFonts w:ascii="Calibri" w:hAnsi="Calibri"/>
                <w:b w:val="0"/>
                <w:sz w:val="16"/>
              </w:rPr>
              <w:t>(0.9540-1.0000)</w:t>
            </w:r>
          </w:p>
        </w:tc>
        <w:tc>
          <w:tcPr>
            <w:tcW w:type="dxa" w:w="1411"/>
            <w:vAlign w:val="center"/>
          </w:tcPr>
          <w:p>
            <w:pPr>
              <w:spacing w:after="0"/>
            </w:pPr>
            <w:r/>
            <w:r>
              <w:rPr>
                <w:rFonts w:ascii="Calibri" w:hAnsi="Calibri"/>
                <w:b w:val="0"/>
                <w:sz w:val="16"/>
              </w:rPr>
              <w:t>0.2690</w:t>
            </w:r>
          </w:p>
        </w:tc>
        <w:tc>
          <w:tcPr>
            <w:tcW w:type="dxa" w:w="1411"/>
            <w:vAlign w:val="center"/>
          </w:tcPr>
          <w:p>
            <w:pPr>
              <w:spacing w:after="0"/>
            </w:pPr>
            <w:r/>
            <w:r>
              <w:rPr>
                <w:rFonts w:ascii="Calibri" w:hAnsi="Calibri"/>
                <w:b w:val="0"/>
                <w:sz w:val="16"/>
              </w:rPr>
              <w:t>(-0.0203 to 0.0798)</w:t>
            </w:r>
          </w:p>
        </w:tc>
      </w:tr>
      <w:tr>
        <w:tc>
          <w:tcPr>
            <w:tcW w:type="dxa" w:w="1411"/>
            <w:vAlign w:val="center"/>
          </w:tcPr>
          <w:p>
            <w:pPr>
              <w:spacing w:after="0"/>
            </w:pPr>
            <w:r/>
            <w:r>
              <w:rPr>
                <w:rFonts w:ascii="Calibri" w:hAnsi="Calibri"/>
                <w:b w:val="0"/>
                <w:sz w:val="16"/>
              </w:rPr>
              <w:t>Stage III/IV</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0.8596</w:t>
            </w:r>
          </w:p>
        </w:tc>
        <w:tc>
          <w:tcPr>
            <w:tcW w:type="dxa" w:w="1411"/>
            <w:vAlign w:val="center"/>
          </w:tcPr>
          <w:p>
            <w:pPr>
              <w:spacing w:after="0"/>
            </w:pPr>
            <w:r/>
            <w:r>
              <w:rPr>
                <w:rFonts w:ascii="Calibri" w:hAnsi="Calibri"/>
                <w:b w:val="0"/>
                <w:sz w:val="16"/>
              </w:rPr>
              <w:t>0.9603</w:t>
            </w:r>
          </w:p>
        </w:tc>
        <w:tc>
          <w:tcPr>
            <w:tcW w:type="dxa" w:w="1411"/>
            <w:vAlign w:val="center"/>
          </w:tcPr>
          <w:p>
            <w:pPr>
              <w:spacing w:after="0"/>
            </w:pPr>
            <w:r/>
            <w:r>
              <w:rPr>
                <w:rFonts w:ascii="Calibri" w:hAnsi="Calibri"/>
                <w:b w:val="0"/>
                <w:sz w:val="16"/>
              </w:rPr>
              <w:t>(0.8888-0.9917)</w:t>
            </w:r>
          </w:p>
        </w:tc>
        <w:tc>
          <w:tcPr>
            <w:tcW w:type="dxa" w:w="1411"/>
            <w:vAlign w:val="center"/>
          </w:tcPr>
          <w:p>
            <w:pPr>
              <w:spacing w:after="0"/>
            </w:pPr>
            <w:r/>
            <w:r>
              <w:rPr>
                <w:rFonts w:ascii="Calibri" w:hAnsi="Calibri"/>
                <w:b w:val="0"/>
                <w:sz w:val="16"/>
              </w:rPr>
              <w:t>0.2690</w:t>
            </w:r>
          </w:p>
        </w:tc>
        <w:tc>
          <w:tcPr>
            <w:tcW w:type="dxa" w:w="1411"/>
            <w:vAlign w:val="center"/>
          </w:tcPr>
          <w:p>
            <w:pPr>
              <w:spacing w:after="0"/>
            </w:pPr>
            <w:r/>
            <w:r>
              <w:rPr>
                <w:rFonts w:ascii="Calibri" w:hAnsi="Calibri"/>
                <w:b w:val="0"/>
                <w:sz w:val="16"/>
              </w:rPr>
              <w:t>(-0.0203 to 0.0798)</w:t>
            </w:r>
          </w:p>
        </w:tc>
      </w:tr>
    </w:tbl>
    <w:p>
      <w:pPr>
        <w:spacing w:before="60" w:after="160"/>
        <w:jc w:val="center"/>
      </w:pPr>
      <w:r>
        <w:rPr>
          <w:rFonts w:ascii="Calibri" w:hAnsi="Calibri"/>
          <w:i/>
          <w:color w:val="5A5A5A"/>
          <w:sz w:val="17"/>
        </w:rPr>
        <w:t>Table 6. Subgroup demographic performance validation with interaction testing (Best model: Logistic Regression).</w:t>
      </w:r>
    </w:p>
    <w:p>
      <w:pPr>
        <w:spacing w:before="0" w:after="140" w:line="283" w:lineRule="auto"/>
      </w:pPr>
      <w:r>
        <w:rPr>
          <w:rFonts w:ascii="Calibri" w:hAnsi="Calibri"/>
          <w:color w:val="141F2B"/>
          <w:sz w:val="20"/>
        </w:rPr>
        <w:t>Kaplan-Meier curves (Figures 5 and 6) compared survival between predicted proliferation classes. Patients classified as high-proliferation had shorter overall survival in both GEO (log-rank p = 0.037) and TCGA (log-rank p = 0.034). CPTAC-COAD had only 7 survival events, so its KM curves are shown for completeness but lack statistical power for reliable inference.</w:t>
      </w:r>
    </w:p>
    <w:p>
      <w:pPr>
        <w:spacing w:before="40" w:after="40"/>
        <w:jc w:val="center"/>
      </w:pPr>
      <w:r>
        <w:drawing>
          <wp:inline xmlns:a="http://schemas.openxmlformats.org/drawingml/2006/main" xmlns:pic="http://schemas.openxmlformats.org/drawingml/2006/picture">
            <wp:extent cx="4663440" cy="3497580"/>
            <wp:docPr id="5" name="Picture 5"/>
            <wp:cNvGraphicFramePr>
              <a:graphicFrameLocks noChangeAspect="1"/>
            </wp:cNvGraphicFramePr>
            <a:graphic>
              <a:graphicData uri="http://schemas.openxmlformats.org/drawingml/2006/picture">
                <pic:pic>
                  <pic:nvPicPr>
                    <pic:cNvPr id="0" name="kaplan_meier_geo.png"/>
                    <pic:cNvPicPr/>
                  </pic:nvPicPr>
                  <pic:blipFill>
                    <a:blip r:embed="rId14"/>
                    <a:stretch>
                      <a:fillRect/>
                    </a:stretch>
                  </pic:blipFill>
                  <pic:spPr>
                    <a:xfrm>
                      <a:off x="0" y="0"/>
                      <a:ext cx="4663440" cy="3497580"/>
                    </a:xfrm>
                    <a:prstGeom prst="rect"/>
                  </pic:spPr>
                </pic:pic>
              </a:graphicData>
            </a:graphic>
          </wp:inline>
        </w:drawing>
      </w:r>
    </w:p>
    <w:p>
      <w:pPr>
        <w:spacing w:before="60" w:after="160"/>
        <w:jc w:val="center"/>
      </w:pPr>
      <w:r>
        <w:rPr>
          <w:rFonts w:ascii="Calibri" w:hAnsi="Calibri"/>
          <w:i/>
          <w:color w:val="5A5A5A"/>
          <w:sz w:val="17"/>
        </w:rPr>
        <w:t>Figure 5. Kaplan-Meier overall survival curves comparing predicted high vs. low proliferation cohorts in GEO.</w:t>
      </w:r>
    </w:p>
    <w:p>
      <w:pPr>
        <w:spacing w:before="40" w:after="40"/>
        <w:jc w:val="center"/>
      </w:pPr>
      <w:r>
        <w:drawing>
          <wp:inline xmlns:a="http://schemas.openxmlformats.org/drawingml/2006/main" xmlns:pic="http://schemas.openxmlformats.org/drawingml/2006/picture">
            <wp:extent cx="4937760" cy="1763486"/>
            <wp:docPr id="6" name="Picture 6"/>
            <wp:cNvGraphicFramePr>
              <a:graphicFrameLocks noChangeAspect="1"/>
            </wp:cNvGraphicFramePr>
            <a:graphic>
              <a:graphicData uri="http://schemas.openxmlformats.org/drawingml/2006/picture">
                <pic:pic>
                  <pic:nvPicPr>
                    <pic:cNvPr id="0" name="kaplan_meier_stage_stratified.png"/>
                    <pic:cNvPicPr/>
                  </pic:nvPicPr>
                  <pic:blipFill>
                    <a:blip r:embed="rId15"/>
                    <a:stretch>
                      <a:fillRect/>
                    </a:stretch>
                  </pic:blipFill>
                  <pic:spPr>
                    <a:xfrm>
                      <a:off x="0" y="0"/>
                      <a:ext cx="4937760" cy="1763486"/>
                    </a:xfrm>
                    <a:prstGeom prst="rect"/>
                  </pic:spPr>
                </pic:pic>
              </a:graphicData>
            </a:graphic>
          </wp:inline>
        </w:drawing>
      </w:r>
    </w:p>
    <w:p>
      <w:pPr>
        <w:spacing w:before="60" w:after="160"/>
        <w:jc w:val="center"/>
      </w:pPr>
      <w:r>
        <w:rPr>
          <w:rFonts w:ascii="Calibri" w:hAnsi="Calibri"/>
          <w:i/>
          <w:color w:val="5A5A5A"/>
          <w:sz w:val="17"/>
        </w:rPr>
        <w:t>Figure 6. Kaplan-Meier overall survival curves stratified by stage (Stage I/II vs Stage III/IV) and predicted proliferation class.</w:t>
      </w:r>
    </w:p>
    <w:p>
      <w:pPr>
        <w:spacing w:before="0" w:after="140" w:line="283" w:lineRule="auto"/>
      </w:pPr>
      <w:r>
        <w:rPr>
          <w:rFonts w:ascii="Calibri" w:hAnsi="Calibri"/>
          <w:color w:val="141F2B"/>
          <w:sz w:val="20"/>
        </w:rPr>
        <w:t>Cox regression did not find a significant independent effect of proliferation class after adjusting for age, sex, and stage (Table 7).</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7"/>
              </w:rPr>
              <w:t>Predictor / Covariate</w:t>
            </w:r>
          </w:p>
        </w:tc>
        <w:tc>
          <w:tcPr>
            <w:tcW w:type="dxa" w:w="1976"/>
            <w:shd w:fill="F4F6F9"/>
            <w:vAlign w:val="center"/>
          </w:tcPr>
          <w:p>
            <w:pPr>
              <w:spacing w:after="0"/>
            </w:pPr>
            <w:r/>
            <w:r>
              <w:rPr>
                <w:rFonts w:ascii="Calibri" w:hAnsi="Calibri"/>
                <w:b/>
                <w:color w:val="141F2B"/>
                <w:sz w:val="17"/>
              </w:rPr>
              <w:t>Coefficient</w:t>
            </w:r>
          </w:p>
        </w:tc>
        <w:tc>
          <w:tcPr>
            <w:tcW w:type="dxa" w:w="1976"/>
            <w:shd w:fill="F4F6F9"/>
            <w:vAlign w:val="center"/>
          </w:tcPr>
          <w:p>
            <w:pPr>
              <w:spacing w:after="0"/>
            </w:pPr>
            <w:r/>
            <w:r>
              <w:rPr>
                <w:rFonts w:ascii="Calibri" w:hAnsi="Calibri"/>
                <w:b/>
                <w:color w:val="141F2B"/>
                <w:sz w:val="17"/>
              </w:rPr>
              <w:t>Hazard Ratio (HR)</w:t>
            </w:r>
          </w:p>
        </w:tc>
        <w:tc>
          <w:tcPr>
            <w:tcW w:type="dxa" w:w="1976"/>
            <w:shd w:fill="F4F6F9"/>
            <w:vAlign w:val="center"/>
          </w:tcPr>
          <w:p>
            <w:pPr>
              <w:spacing w:after="0"/>
            </w:pPr>
            <w:r/>
            <w:r>
              <w:rPr>
                <w:rFonts w:ascii="Calibri" w:hAnsi="Calibri"/>
                <w:b/>
                <w:color w:val="141F2B"/>
                <w:sz w:val="17"/>
              </w:rPr>
              <w:t>95% CI</w:t>
            </w:r>
          </w:p>
        </w:tc>
        <w:tc>
          <w:tcPr>
            <w:tcW w:type="dxa" w:w="1976"/>
            <w:shd w:fill="F4F6F9"/>
            <w:vAlign w:val="center"/>
          </w:tcPr>
          <w:p>
            <w:pPr>
              <w:spacing w:after="0"/>
            </w:pPr>
            <w:r/>
            <w:r>
              <w:rPr>
                <w:rFonts w:ascii="Calibri" w:hAnsi="Calibri"/>
                <w:b/>
                <w:color w:val="141F2B"/>
                <w:sz w:val="17"/>
              </w:rPr>
              <w:t>p-value</w:t>
            </w:r>
          </w:p>
        </w:tc>
      </w:tr>
      <w:tr>
        <w:tc>
          <w:tcPr>
            <w:tcW w:type="dxa" w:w="1976"/>
            <w:vAlign w:val="center"/>
          </w:tcPr>
          <w:p>
            <w:pPr>
              <w:spacing w:after="0"/>
            </w:pPr>
            <w:r/>
            <w:r>
              <w:rPr>
                <w:rFonts w:ascii="Calibri" w:hAnsi="Calibri"/>
                <w:b w:val="0"/>
                <w:sz w:val="16"/>
              </w:rPr>
              <w:t>High_Proliferation</w:t>
            </w:r>
          </w:p>
        </w:tc>
        <w:tc>
          <w:tcPr>
            <w:tcW w:type="dxa" w:w="1976"/>
            <w:vAlign w:val="center"/>
          </w:tcPr>
          <w:p>
            <w:pPr>
              <w:spacing w:after="0"/>
            </w:pPr>
            <w:r/>
            <w:r>
              <w:rPr>
                <w:rFonts w:ascii="Calibri" w:hAnsi="Calibri"/>
                <w:b w:val="0"/>
                <w:sz w:val="16"/>
              </w:rPr>
              <w:t>-0.1702</w:t>
            </w:r>
          </w:p>
        </w:tc>
        <w:tc>
          <w:tcPr>
            <w:tcW w:type="dxa" w:w="1976"/>
            <w:vAlign w:val="center"/>
          </w:tcPr>
          <w:p>
            <w:pPr>
              <w:spacing w:after="0"/>
            </w:pPr>
            <w:r/>
            <w:r>
              <w:rPr>
                <w:rFonts w:ascii="Calibri" w:hAnsi="Calibri"/>
                <w:b w:val="0"/>
                <w:sz w:val="16"/>
              </w:rPr>
              <w:t>0.8435</w:t>
            </w:r>
          </w:p>
        </w:tc>
        <w:tc>
          <w:tcPr>
            <w:tcW w:type="dxa" w:w="1976"/>
            <w:vAlign w:val="center"/>
          </w:tcPr>
          <w:p>
            <w:pPr>
              <w:spacing w:after="0"/>
            </w:pPr>
            <w:r/>
            <w:r>
              <w:rPr>
                <w:rFonts w:ascii="Calibri" w:hAnsi="Calibri"/>
                <w:b w:val="0"/>
                <w:sz w:val="16"/>
              </w:rPr>
              <w:t>(0.61 - 1.17)</w:t>
            </w:r>
          </w:p>
        </w:tc>
        <w:tc>
          <w:tcPr>
            <w:tcW w:type="dxa" w:w="1976"/>
            <w:vAlign w:val="center"/>
          </w:tcPr>
          <w:p>
            <w:pPr>
              <w:spacing w:after="0"/>
            </w:pPr>
            <w:r/>
            <w:r>
              <w:rPr>
                <w:rFonts w:ascii="Calibri" w:hAnsi="Calibri"/>
                <w:b w:val="0"/>
                <w:sz w:val="16"/>
              </w:rPr>
              <w:t>3.0875e-01</w:t>
            </w:r>
          </w:p>
        </w:tc>
      </w:tr>
      <w:tr>
        <w:tc>
          <w:tcPr>
            <w:tcW w:type="dxa" w:w="1976"/>
            <w:vAlign w:val="center"/>
          </w:tcPr>
          <w:p>
            <w:pPr>
              <w:spacing w:after="0"/>
            </w:pPr>
            <w:r/>
            <w:r>
              <w:rPr>
                <w:rFonts w:ascii="Calibri" w:hAnsi="Calibri"/>
                <w:b w:val="0"/>
                <w:sz w:val="16"/>
              </w:rPr>
              <w:t>Age</w:t>
            </w:r>
          </w:p>
        </w:tc>
        <w:tc>
          <w:tcPr>
            <w:tcW w:type="dxa" w:w="1976"/>
            <w:vAlign w:val="center"/>
          </w:tcPr>
          <w:p>
            <w:pPr>
              <w:spacing w:after="0"/>
            </w:pPr>
            <w:r/>
            <w:r>
              <w:rPr>
                <w:rFonts w:ascii="Calibri" w:hAnsi="Calibri"/>
                <w:b w:val="0"/>
                <w:sz w:val="16"/>
              </w:rPr>
              <w:t>0.0300</w:t>
            </w:r>
          </w:p>
        </w:tc>
        <w:tc>
          <w:tcPr>
            <w:tcW w:type="dxa" w:w="1976"/>
            <w:vAlign w:val="center"/>
          </w:tcPr>
          <w:p>
            <w:pPr>
              <w:spacing w:after="0"/>
            </w:pPr>
            <w:r/>
            <w:r>
              <w:rPr>
                <w:rFonts w:ascii="Calibri" w:hAnsi="Calibri"/>
                <w:b w:val="0"/>
                <w:sz w:val="16"/>
              </w:rPr>
              <w:t>1.0305</w:t>
            </w:r>
          </w:p>
        </w:tc>
        <w:tc>
          <w:tcPr>
            <w:tcW w:type="dxa" w:w="1976"/>
            <w:vAlign w:val="center"/>
          </w:tcPr>
          <w:p>
            <w:pPr>
              <w:spacing w:after="0"/>
            </w:pPr>
            <w:r/>
            <w:r>
              <w:rPr>
                <w:rFonts w:ascii="Calibri" w:hAnsi="Calibri"/>
                <w:b w:val="0"/>
                <w:sz w:val="16"/>
              </w:rPr>
              <w:t>(1.02 - 1.04)</w:t>
            </w:r>
          </w:p>
        </w:tc>
        <w:tc>
          <w:tcPr>
            <w:tcW w:type="dxa" w:w="1976"/>
            <w:vAlign w:val="center"/>
          </w:tcPr>
          <w:p>
            <w:pPr>
              <w:spacing w:after="0"/>
            </w:pPr>
            <w:r/>
            <w:r>
              <w:rPr>
                <w:rFonts w:ascii="Calibri" w:hAnsi="Calibri"/>
                <w:b w:val="0"/>
                <w:sz w:val="16"/>
              </w:rPr>
              <w:t>1.2432e-06</w:t>
            </w:r>
          </w:p>
        </w:tc>
      </w:tr>
      <w:tr>
        <w:tc>
          <w:tcPr>
            <w:tcW w:type="dxa" w:w="1976"/>
            <w:vAlign w:val="center"/>
          </w:tcPr>
          <w:p>
            <w:pPr>
              <w:spacing w:after="0"/>
            </w:pPr>
            <w:r/>
            <w:r>
              <w:rPr>
                <w:rFonts w:ascii="Calibri" w:hAnsi="Calibri"/>
                <w:b w:val="0"/>
                <w:sz w:val="16"/>
              </w:rPr>
              <w:t>Is_Male</w:t>
            </w:r>
          </w:p>
        </w:tc>
        <w:tc>
          <w:tcPr>
            <w:tcW w:type="dxa" w:w="1976"/>
            <w:vAlign w:val="center"/>
          </w:tcPr>
          <w:p>
            <w:pPr>
              <w:spacing w:after="0"/>
            </w:pPr>
            <w:r/>
            <w:r>
              <w:rPr>
                <w:rFonts w:ascii="Calibri" w:hAnsi="Calibri"/>
                <w:b w:val="0"/>
                <w:sz w:val="16"/>
              </w:rPr>
              <w:t>0.3540</w:t>
            </w:r>
          </w:p>
        </w:tc>
        <w:tc>
          <w:tcPr>
            <w:tcW w:type="dxa" w:w="1976"/>
            <w:vAlign w:val="center"/>
          </w:tcPr>
          <w:p>
            <w:pPr>
              <w:spacing w:after="0"/>
            </w:pPr>
            <w:r/>
            <w:r>
              <w:rPr>
                <w:rFonts w:ascii="Calibri" w:hAnsi="Calibri"/>
                <w:b w:val="0"/>
                <w:sz w:val="16"/>
              </w:rPr>
              <w:t>1.4248</w:t>
            </w:r>
          </w:p>
        </w:tc>
        <w:tc>
          <w:tcPr>
            <w:tcW w:type="dxa" w:w="1976"/>
            <w:vAlign w:val="center"/>
          </w:tcPr>
          <w:p>
            <w:pPr>
              <w:spacing w:after="0"/>
            </w:pPr>
            <w:r/>
            <w:r>
              <w:rPr>
                <w:rFonts w:ascii="Calibri" w:hAnsi="Calibri"/>
                <w:b w:val="0"/>
                <w:sz w:val="16"/>
              </w:rPr>
              <w:t>(1.06 - 1.91)</w:t>
            </w:r>
          </w:p>
        </w:tc>
        <w:tc>
          <w:tcPr>
            <w:tcW w:type="dxa" w:w="1976"/>
            <w:vAlign w:val="center"/>
          </w:tcPr>
          <w:p>
            <w:pPr>
              <w:spacing w:after="0"/>
            </w:pPr>
            <w:r/>
            <w:r>
              <w:rPr>
                <w:rFonts w:ascii="Calibri" w:hAnsi="Calibri"/>
                <w:b w:val="0"/>
                <w:sz w:val="16"/>
              </w:rPr>
              <w:t>1.7165e-02</w:t>
            </w:r>
          </w:p>
        </w:tc>
      </w:tr>
      <w:tr>
        <w:tc>
          <w:tcPr>
            <w:tcW w:type="dxa" w:w="1976"/>
            <w:vAlign w:val="center"/>
          </w:tcPr>
          <w:p>
            <w:pPr>
              <w:spacing w:after="0"/>
            </w:pPr>
            <w:r/>
            <w:r>
              <w:rPr>
                <w:rFonts w:ascii="Calibri" w:hAnsi="Calibri"/>
                <w:b w:val="0"/>
                <w:sz w:val="16"/>
              </w:rPr>
              <w:t>Stage</w:t>
            </w:r>
          </w:p>
        </w:tc>
        <w:tc>
          <w:tcPr>
            <w:tcW w:type="dxa" w:w="1976"/>
            <w:vAlign w:val="center"/>
          </w:tcPr>
          <w:p>
            <w:pPr>
              <w:spacing w:after="0"/>
            </w:pPr>
            <w:r/>
            <w:r>
              <w:rPr>
                <w:rFonts w:ascii="Calibri" w:hAnsi="Calibri"/>
                <w:b w:val="0"/>
                <w:sz w:val="16"/>
              </w:rPr>
              <w:t>0.7247</w:t>
            </w:r>
          </w:p>
        </w:tc>
        <w:tc>
          <w:tcPr>
            <w:tcW w:type="dxa" w:w="1976"/>
            <w:vAlign w:val="center"/>
          </w:tcPr>
          <w:p>
            <w:pPr>
              <w:spacing w:after="0"/>
            </w:pPr>
            <w:r/>
            <w:r>
              <w:rPr>
                <w:rFonts w:ascii="Calibri" w:hAnsi="Calibri"/>
                <w:b w:val="0"/>
                <w:sz w:val="16"/>
              </w:rPr>
              <w:t>2.0641</w:t>
            </w:r>
          </w:p>
        </w:tc>
        <w:tc>
          <w:tcPr>
            <w:tcW w:type="dxa" w:w="1976"/>
            <w:vAlign w:val="center"/>
          </w:tcPr>
          <w:p>
            <w:pPr>
              <w:spacing w:after="0"/>
            </w:pPr>
            <w:r/>
            <w:r>
              <w:rPr>
                <w:rFonts w:ascii="Calibri" w:hAnsi="Calibri"/>
                <w:b w:val="0"/>
                <w:sz w:val="16"/>
              </w:rPr>
              <w:t>(1.68 - 2.53)</w:t>
            </w:r>
          </w:p>
        </w:tc>
        <w:tc>
          <w:tcPr>
            <w:tcW w:type="dxa" w:w="1976"/>
            <w:vAlign w:val="center"/>
          </w:tcPr>
          <w:p>
            <w:pPr>
              <w:spacing w:after="0"/>
            </w:pPr>
            <w:r/>
            <w:r>
              <w:rPr>
                <w:rFonts w:ascii="Calibri" w:hAnsi="Calibri"/>
                <w:b w:val="0"/>
                <w:sz w:val="16"/>
              </w:rPr>
              <w:t>3.3683e-12</w:t>
            </w:r>
          </w:p>
        </w:tc>
      </w:tr>
    </w:tbl>
    <w:p>
      <w:pPr>
        <w:spacing w:before="60" w:after="160"/>
        <w:jc w:val="center"/>
      </w:pPr>
      <w:r>
        <w:rPr>
          <w:rFonts w:ascii="Calibri" w:hAnsi="Calibri"/>
          <w:i/>
          <w:color w:val="5A5A5A"/>
          <w:sz w:val="17"/>
        </w:rPr>
        <w:t>Table 7. Multivariate Cox Proportional Hazards survival analysis summary.</w:t>
      </w:r>
    </w:p>
    <w:p>
      <w:r>
        <w:br w:type="page"/>
      </w:r>
    </w:p>
    <w:p>
      <w:pPr>
        <w:pStyle w:val="Heading1"/>
        <w:keepNext/>
        <w:spacing w:before="240" w:after="100"/>
      </w:pPr>
    </w:p>
    <w:p>
      <w:pPr>
        <w:spacing w:before="0" w:after="140" w:line="283" w:lineRule="auto"/>
      </w:pPr>
      <w:r>
        <w:rPr>
          <w:rFonts w:ascii="Calibri" w:hAnsi="Calibri"/>
          <w:color w:val="141F2B"/>
          <w:sz w:val="20"/>
        </w:rPr>
        <w:t>Sensitivity analyses varied the number of selected features (k) and the variance threshold (VT). ROC-AUC stayed stable across the tested ranges (Table 8).</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SelectKBest k</w:t>
            </w:r>
          </w:p>
        </w:tc>
        <w:tc>
          <w:tcPr>
            <w:tcW w:type="dxa" w:w="1976"/>
            <w:shd w:fill="F4F6F9"/>
            <w:vAlign w:val="center"/>
          </w:tcPr>
          <w:p>
            <w:pPr>
              <w:spacing w:after="0"/>
            </w:pPr>
            <w:r/>
            <w:r>
              <w:rPr>
                <w:rFonts w:ascii="Calibri" w:hAnsi="Calibri"/>
                <w:b/>
                <w:color w:val="141F2B"/>
                <w:sz w:val="16"/>
              </w:rPr>
              <w:t>Holdout ROC-AUC (k)</w:t>
            </w:r>
          </w:p>
        </w:tc>
        <w:tc>
          <w:tcPr>
            <w:tcW w:type="dxa" w:w="1976"/>
            <w:shd w:fill="F4F6F9"/>
            <w:vAlign w:val="center"/>
          </w:tcPr>
          <w:p>
            <w:pPr>
              <w:spacing w:after="0"/>
            </w:pPr>
            <w:r/>
            <w:r>
              <w:rPr>
                <w:rFonts w:ascii="Calibri" w:hAnsi="Calibri"/>
                <w:b/>
                <w:color w:val="141F2B"/>
                <w:sz w:val="16"/>
              </w:rPr>
              <w:t>Variance Threshold (VT)</w:t>
            </w:r>
          </w:p>
        </w:tc>
        <w:tc>
          <w:tcPr>
            <w:tcW w:type="dxa" w:w="1976"/>
            <w:shd w:fill="F4F6F9"/>
            <w:vAlign w:val="center"/>
          </w:tcPr>
          <w:p>
            <w:pPr>
              <w:spacing w:after="0"/>
            </w:pPr>
            <w:r/>
            <w:r>
              <w:rPr>
                <w:rFonts w:ascii="Calibri" w:hAnsi="Calibri"/>
                <w:b/>
                <w:color w:val="141F2B"/>
                <w:sz w:val="16"/>
              </w:rPr>
              <w:t>Features Passed VT</w:t>
            </w:r>
          </w:p>
        </w:tc>
        <w:tc>
          <w:tcPr>
            <w:tcW w:type="dxa" w:w="1976"/>
            <w:shd w:fill="F4F6F9"/>
            <w:vAlign w:val="center"/>
          </w:tcPr>
          <w:p>
            <w:pPr>
              <w:spacing w:after="0"/>
            </w:pPr>
            <w:r/>
            <w:r>
              <w:rPr>
                <w:rFonts w:ascii="Calibri" w:hAnsi="Calibri"/>
                <w:b/>
                <w:color w:val="141F2B"/>
                <w:sz w:val="16"/>
              </w:rPr>
              <w:t>Holdout ROC-AUC (VT)</w:t>
            </w:r>
          </w:p>
        </w:tc>
      </w:tr>
      <w:tr>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0.9828</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0.9838</w:t>
            </w:r>
          </w:p>
        </w:tc>
        <w:tc>
          <w:tcPr>
            <w:tcW w:type="dxa" w:w="1976"/>
            <w:vAlign w:val="center"/>
          </w:tcPr>
          <w:p>
            <w:pPr>
              <w:spacing w:after="0"/>
            </w:pPr>
            <w:r/>
            <w:r>
              <w:rPr>
                <w:rFonts w:ascii="Calibri" w:hAnsi="Calibri"/>
                <w:b w:val="0"/>
                <w:sz w:val="16"/>
              </w:rPr>
              <w:t>0.005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300</w:t>
            </w:r>
          </w:p>
        </w:tc>
        <w:tc>
          <w:tcPr>
            <w:tcW w:type="dxa" w:w="1976"/>
            <w:vAlign w:val="center"/>
          </w:tcPr>
          <w:p>
            <w:pPr>
              <w:spacing w:after="0"/>
            </w:pPr>
            <w:r/>
            <w:r>
              <w:rPr>
                <w:rFonts w:ascii="Calibri" w:hAnsi="Calibri"/>
                <w:b w:val="0"/>
                <w:sz w:val="16"/>
              </w:rPr>
              <w:t>0.9835</w:t>
            </w:r>
          </w:p>
        </w:tc>
        <w:tc>
          <w:tcPr>
            <w:tcW w:type="dxa" w:w="1976"/>
            <w:vAlign w:val="center"/>
          </w:tcPr>
          <w:p>
            <w:pPr>
              <w:spacing w:after="0"/>
            </w:pPr>
            <w:r/>
            <w:r>
              <w:rPr>
                <w:rFonts w:ascii="Calibri" w:hAnsi="Calibri"/>
                <w:b w:val="0"/>
                <w:sz w:val="16"/>
              </w:rPr>
              <w:t>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500</w:t>
            </w:r>
          </w:p>
        </w:tc>
        <w:tc>
          <w:tcPr>
            <w:tcW w:type="dxa" w:w="1976"/>
            <w:vAlign w:val="center"/>
          </w:tcPr>
          <w:p>
            <w:pPr>
              <w:spacing w:after="0"/>
            </w:pPr>
            <w:r/>
            <w:r>
              <w:rPr>
                <w:rFonts w:ascii="Calibri" w:hAnsi="Calibri"/>
                <w:b w:val="0"/>
                <w:sz w:val="16"/>
              </w:rPr>
              <w:t>0.9825</w:t>
            </w:r>
          </w:p>
        </w:tc>
        <w:tc>
          <w:tcPr>
            <w:tcW w:type="dxa" w:w="1976"/>
            <w:vAlign w:val="center"/>
          </w:tcPr>
          <w:p>
            <w:pPr>
              <w:spacing w:after="0"/>
            </w:pPr>
            <w:r/>
            <w:r>
              <w:rPr>
                <w:rFonts w:ascii="Calibri" w:hAnsi="Calibri"/>
                <w:b w:val="0"/>
                <w:sz w:val="16"/>
              </w:rPr>
              <w:t>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1000</w:t>
            </w:r>
          </w:p>
        </w:tc>
        <w:tc>
          <w:tcPr>
            <w:tcW w:type="dxa" w:w="1976"/>
            <w:vAlign w:val="center"/>
          </w:tcPr>
          <w:p>
            <w:pPr>
              <w:spacing w:after="0"/>
            </w:pPr>
            <w:r/>
            <w:r>
              <w:rPr>
                <w:rFonts w:ascii="Calibri" w:hAnsi="Calibri"/>
                <w:b w:val="0"/>
                <w:sz w:val="16"/>
              </w:rPr>
              <w:t>0.9863</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r>
    </w:tbl>
    <w:p>
      <w:pPr>
        <w:spacing w:before="60" w:after="160"/>
        <w:jc w:val="center"/>
      </w:pPr>
      <w:r>
        <w:rPr>
          <w:rFonts w:ascii="Calibri" w:hAnsi="Calibri"/>
          <w:i/>
          <w:color w:val="5A5A5A"/>
          <w:sz w:val="17"/>
        </w:rPr>
        <w:t>Table 8. Model pre-processing sensitivity analyses for feature selection size (k) and variance threshold (VT).</w:t>
      </w:r>
    </w:p>
    <w:p>
      <w:r>
        <w:br w:type="page"/>
      </w:r>
    </w:p>
    <w:p>
      <w:pPr>
        <w:pStyle w:val="Heading1"/>
        <w:keepNext/>
        <w:spacing w:before="240" w:after="100"/>
      </w:pPr>
    </w:p>
    <w:p>
      <w:pPr>
        <w:spacing w:before="0" w:after="140" w:line="283" w:lineRule="auto"/>
      </w:pPr>
      <w:r>
        <w:rPr>
          <w:rFonts w:ascii="Calibri" w:hAnsi="Calibri"/>
          <w:color w:val="141F2B"/>
          <w:sz w:val="20"/>
        </w:rPr>
        <w:t>The classifiers predicted proliferation status from transcriptomic features even after removing the ten cell-cycle genes that define the target. Top SHAP features included genes involved in ribosome biogenesis, DNA replication, and mitochondrial translation. High-proliferation patients had shorter survival in GEO (log-rank p = 0.037) and TCGA (log-rank p = 0.034). The Cox model did not reach significance after adjusting for age, sex, and stage (HR = 0.84, p = 0.3088). The reason for the disagreement is that proliferation and stage are correlated. High-proliferation tumors are more likely to be Stage III/IV. When stage enters the Cox model, it absorbs the survival signal that the univariate log-rank test attributes to proliferation alone. The univariate association is real and consistent across two cohorts, but proliferation does not add independent prognostic information beyond what stage already captures. External validation on TCGA and CPTAC gave ROC-AUCs up to 0.973 and 0.949. Platt scaling corrected cross-platform shifts, with calibrated accuracies of 0.921 (TCGA) and 0.868 (CPTAC). On CPTAC (n = 105), Random Forest had a calibrated AUC of 0.9487 and accuracy of 0.8679.</w:t>
        <w:br/>
        <w:br/>
        <w:t>The AUCs in this study are higher than what is typically reported for clinical ML classifiers. This is partly because the task itself is easier: the proliferation median split gives a Cohen's d of 2.3, meaning the two classes barely overlap. Proliferation drives broad transcriptional changes, so thousands of genes beyond the 10 I removed correlate with the target. The models capture these co-expression patterns, which is biologically consistent but means the classification problem is less discriminating than a typical diagnostic task.</w:t>
        <w:br/>
        <w:br/>
        <w:t>The TCGA validation AUC of 0.97 also came with help from quantile normalization. QN maps TCGA's expression distributions to match GEO's for each gene. This makes the cross-platform comparison fairer but can inflate apparent performance. The real validation for clinical use would need prospective testing on fresh tissue with matched Ki-67 immunohistochemistry.</w:t>
      </w:r>
    </w:p>
    <w:p>
      <w:pPr>
        <w:spacing w:before="0" w:after="140" w:line="283" w:lineRule="auto"/>
      </w:pPr>
      <w:r>
        <w:rPr>
          <w:rFonts w:ascii="Calibri" w:hAnsi="Calibri"/>
          <w:color w:val="141F2B"/>
          <w:sz w:val="20"/>
        </w:rPr>
        <w:t>I compared ColoGrowth-ML against two baselines: a simple logistic regression using only MKI67 expression (to measure the added value of multi-gene modeling) and a published Ki-67 histology-based classifier (Zeng et al., 2025). Table 9 summarizes the results.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Study</w:t>
            </w:r>
          </w:p>
        </w:tc>
        <w:tc>
          <w:tcPr>
            <w:tcW w:type="dxa" w:w="1411"/>
            <w:shd w:fill="F4F6F9"/>
            <w:vAlign w:val="center"/>
          </w:tcPr>
          <w:p>
            <w:pPr>
              <w:spacing w:after="0"/>
            </w:pPr>
            <w:r/>
            <w:r>
              <w:rPr>
                <w:rFonts w:ascii="Calibri" w:hAnsi="Calibri"/>
                <w:b/>
                <w:color w:val="141F2B"/>
                <w:sz w:val="16"/>
              </w:rPr>
              <w:t>Year</w:t>
            </w:r>
          </w:p>
        </w:tc>
        <w:tc>
          <w:tcPr>
            <w:tcW w:type="dxa" w:w="1411"/>
            <w:shd w:fill="F4F6F9"/>
            <w:vAlign w:val="center"/>
          </w:tcPr>
          <w:p>
            <w:pPr>
              <w:spacing w:after="0"/>
            </w:pPr>
            <w:r/>
            <w:r>
              <w:rPr>
                <w:rFonts w:ascii="Calibri" w:hAnsi="Calibri"/>
                <w:b/>
                <w:color w:val="141F2B"/>
                <w:sz w:val="16"/>
              </w:rPr>
              <w:t>Cohort/Platform</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AUC/Accuracy</w:t>
            </w:r>
          </w:p>
        </w:tc>
        <w:tc>
          <w:tcPr>
            <w:tcW w:type="dxa" w:w="1411"/>
            <w:shd w:fill="F4F6F9"/>
            <w:vAlign w:val="center"/>
          </w:tcPr>
          <w:p>
            <w:pPr>
              <w:spacing w:after="0"/>
            </w:pPr>
            <w:r/>
            <w:r>
              <w:rPr>
                <w:rFonts w:ascii="Calibri" w:hAnsi="Calibri"/>
                <w:b/>
                <w:color w:val="141F2B"/>
                <w:sz w:val="16"/>
              </w:rPr>
              <w:t>Leakage-controlled?</w:t>
            </w:r>
          </w:p>
        </w:tc>
        <w:tc>
          <w:tcPr>
            <w:tcW w:type="dxa" w:w="1411"/>
            <w:shd w:fill="F4F6F9"/>
            <w:vAlign w:val="center"/>
          </w:tcPr>
          <w:p>
            <w:pPr>
              <w:spacing w:after="0"/>
            </w:pPr>
            <w:r/>
            <w:r>
              <w:rPr>
                <w:rFonts w:ascii="Calibri" w:hAnsi="Calibri"/>
                <w:b/>
                <w:color w:val="141F2B"/>
                <w:sz w:val="16"/>
              </w:rPr>
              <w:t>Cross-platform validated?</w:t>
            </w:r>
          </w:p>
        </w:tc>
      </w:tr>
      <w:tr>
        <w:tc>
          <w:tcPr>
            <w:tcW w:type="dxa" w:w="1411"/>
            <w:vAlign w:val="center"/>
          </w:tcPr>
          <w:p>
            <w:pPr>
              <w:spacing w:after="0"/>
            </w:pPr>
            <w:r/>
            <w:r>
              <w:rPr>
                <w:rFonts w:ascii="Calibri" w:hAnsi="Calibri"/>
                <w:b w:val="0"/>
                <w:sz w:val="16"/>
              </w:rPr>
              <w:t>MKI67 expression alone (LR)</w:t>
            </w:r>
          </w:p>
        </w:tc>
        <w:tc>
          <w:tcPr>
            <w:tcW w:type="dxa" w:w="1411"/>
            <w:vAlign w:val="center"/>
          </w:tcPr>
          <w:p>
            <w:pPr>
              <w:spacing w:after="0"/>
            </w:pPr>
            <w:r/>
            <w:r>
              <w:rPr>
                <w:rFonts w:ascii="Calibri" w:hAnsi="Calibri"/>
                <w:b w:val="0"/>
                <w:sz w:val="16"/>
              </w:rPr>
              <w:t>This study</w:t>
            </w:r>
          </w:p>
        </w:tc>
        <w:tc>
          <w:tcPr>
            <w:tcW w:type="dxa" w:w="1411"/>
            <w:vAlign w:val="center"/>
          </w:tcPr>
          <w:p>
            <w:pPr>
              <w:spacing w:after="0"/>
            </w:pPr>
            <w:r/>
            <w:r>
              <w:rPr>
                <w:rFonts w:ascii="Calibri" w:hAnsi="Calibri"/>
                <w:b w:val="0"/>
                <w:sz w:val="16"/>
              </w:rPr>
              <w:t>GEO microarray</w:t>
            </w:r>
          </w:p>
        </w:tc>
        <w:tc>
          <w:tcPr>
            <w:tcW w:type="dxa" w:w="1411"/>
            <w:vAlign w:val="center"/>
          </w:tcPr>
          <w:p>
            <w:pPr>
              <w:spacing w:after="0"/>
            </w:pPr>
            <w:r/>
            <w:r>
              <w:rPr>
                <w:rFonts w:ascii="Calibri" w:hAnsi="Calibri"/>
                <w:b w:val="0"/>
                <w:sz w:val="16"/>
              </w:rPr>
              <w:t>585</w:t>
            </w:r>
          </w:p>
        </w:tc>
        <w:tc>
          <w:tcPr>
            <w:tcW w:type="dxa" w:w="1411"/>
            <w:vAlign w:val="center"/>
          </w:tcPr>
          <w:p>
            <w:pPr>
              <w:spacing w:after="0"/>
            </w:pPr>
            <w:r/>
            <w:r>
              <w:rPr>
                <w:rFonts w:ascii="Calibri" w:hAnsi="Calibri"/>
                <w:b w:val="0"/>
                <w:sz w:val="16"/>
              </w:rPr>
              <w:t>~0.950 (AUC)</w:t>
            </w:r>
          </w:p>
        </w:tc>
        <w:tc>
          <w:tcPr>
            <w:tcW w:type="dxa" w:w="1411"/>
            <w:vAlign w:val="center"/>
          </w:tcPr>
          <w:p>
            <w:pPr>
              <w:spacing w:after="0"/>
            </w:pPr>
            <w:r/>
            <w:r>
              <w:rPr>
                <w:rFonts w:ascii="Calibri" w:hAnsi="Calibri"/>
                <w:b w:val="0"/>
                <w:sz w:val="16"/>
              </w:rPr>
              <w:t>N/A (Single gene)</w:t>
            </w:r>
          </w:p>
        </w:tc>
        <w:tc>
          <w:tcPr>
            <w:tcW w:type="dxa" w:w="1411"/>
            <w:vAlign w:val="center"/>
          </w:tcPr>
          <w:p>
            <w:pPr>
              <w:spacing w:after="0"/>
            </w:pPr>
            <w:r/>
            <w:r>
              <w:rPr>
                <w:rFonts w:ascii="Calibri" w:hAnsi="Calibri"/>
                <w:b w:val="0"/>
                <w:sz w:val="16"/>
              </w:rPr>
              <w:t>Yes (TCGA RNA-seq)</w:t>
            </w:r>
          </w:p>
        </w:tc>
      </w:tr>
      <w:tr>
        <w:tc>
          <w:tcPr>
            <w:tcW w:type="dxa" w:w="1411"/>
            <w:vAlign w:val="center"/>
          </w:tcPr>
          <w:p>
            <w:pPr>
              <w:spacing w:after="0"/>
            </w:pPr>
            <w:r/>
            <w:r>
              <w:rPr>
                <w:rFonts w:ascii="Calibri" w:hAnsi="Calibri"/>
                <w:b w:val="0"/>
                <w:sz w:val="16"/>
              </w:rPr>
              <w:t>Zeng et al. (Ki-67 ML)</w:t>
            </w:r>
          </w:p>
        </w:tc>
        <w:tc>
          <w:tcPr>
            <w:tcW w:type="dxa" w:w="1411"/>
            <w:vAlign w:val="center"/>
          </w:tcPr>
          <w:p>
            <w:pPr>
              <w:spacing w:after="0"/>
            </w:pPr>
            <w:r/>
            <w:r>
              <w:rPr>
                <w:rFonts w:ascii="Calibri" w:hAnsi="Calibri"/>
                <w:b w:val="0"/>
                <w:sz w:val="16"/>
              </w:rPr>
              <w:t>2025</w:t>
            </w:r>
          </w:p>
        </w:tc>
        <w:tc>
          <w:tcPr>
            <w:tcW w:type="dxa" w:w="1411"/>
            <w:vAlign w:val="center"/>
          </w:tcPr>
          <w:p>
            <w:pPr>
              <w:spacing w:after="0"/>
            </w:pPr>
            <w:r/>
            <w:r>
              <w:rPr>
                <w:rFonts w:ascii="Calibri" w:hAnsi="Calibri"/>
                <w:b w:val="0"/>
                <w:sz w:val="16"/>
              </w:rPr>
              <w:t>Histology (SVM/XGB)</w:t>
            </w:r>
          </w:p>
        </w:tc>
        <w:tc>
          <w:tcPr>
            <w:tcW w:type="dxa" w:w="1411"/>
            <w:vAlign w:val="center"/>
          </w:tcPr>
          <w:p>
            <w:pPr>
              <w:spacing w:after="0"/>
            </w:pPr>
            <w:r/>
            <w:r>
              <w:rPr>
                <w:rFonts w:ascii="Calibri" w:hAnsi="Calibri"/>
                <w:b w:val="0"/>
                <w:sz w:val="16"/>
              </w:rPr>
              <w:t>312</w:t>
            </w:r>
          </w:p>
        </w:tc>
        <w:tc>
          <w:tcPr>
            <w:tcW w:type="dxa" w:w="1411"/>
            <w:vAlign w:val="center"/>
          </w:tcPr>
          <w:p>
            <w:pPr>
              <w:spacing w:after="0"/>
            </w:pPr>
            <w:r/>
            <w:r>
              <w:rPr>
                <w:rFonts w:ascii="Calibri" w:hAnsi="Calibri"/>
                <w:b w:val="0"/>
                <w:sz w:val="16"/>
              </w:rPr>
              <w:t>0.750-0.795 (AUC)</w:t>
            </w:r>
          </w:p>
        </w:tc>
        <w:tc>
          <w:tcPr>
            <w:tcW w:type="dxa" w:w="1411"/>
            <w:vAlign w:val="center"/>
          </w:tcPr>
          <w:p>
            <w:pPr>
              <w:spacing w:after="0"/>
            </w:pPr>
            <w:r/>
            <w:r>
              <w:rPr>
                <w:rFonts w:ascii="Calibri" w:hAnsi="Calibri"/>
                <w:b w:val="0"/>
                <w:sz w:val="16"/>
              </w:rPr>
              <w:t>No (Morphology-based)</w:t>
            </w:r>
          </w:p>
        </w:tc>
        <w:tc>
          <w:tcPr>
            <w:tcW w:type="dxa" w:w="1411"/>
            <w:vAlign w:val="center"/>
          </w:tcPr>
          <w:p>
            <w:pPr>
              <w:spacing w:after="0"/>
            </w:pPr>
            <w:r/>
            <w:r>
              <w:rPr>
                <w:rFonts w:ascii="Calibri" w:hAnsi="Calibri"/>
                <w:b w:val="0"/>
                <w:sz w:val="16"/>
              </w:rPr>
              <w:t>Yes (External center)</w:t>
            </w:r>
          </w:p>
        </w:tc>
      </w:tr>
      <w:tr>
        <w:tc>
          <w:tcPr>
            <w:tcW w:type="dxa" w:w="1411"/>
            <w:vAlign w:val="center"/>
          </w:tcPr>
          <w:p>
            <w:pPr>
              <w:spacing w:after="0"/>
            </w:pPr>
            <w:r/>
            <w:r>
              <w:rPr>
                <w:rFonts w:ascii="Calibri" w:hAnsi="Calibri"/>
                <w:b w:val="0"/>
                <w:sz w:val="16"/>
              </w:rPr>
              <w:t>ColoGrowth-ML (Ours)</w:t>
            </w:r>
          </w:p>
        </w:tc>
        <w:tc>
          <w:tcPr>
            <w:tcW w:type="dxa" w:w="1411"/>
            <w:vAlign w:val="center"/>
          </w:tcPr>
          <w:p>
            <w:pPr>
              <w:spacing w:after="0"/>
            </w:pPr>
            <w:r/>
            <w:r>
              <w:rPr>
                <w:rFonts w:ascii="Calibri" w:hAnsi="Calibri"/>
                <w:b w:val="0"/>
                <w:sz w:val="16"/>
              </w:rPr>
              <w:t>2026</w:t>
            </w:r>
          </w:p>
        </w:tc>
        <w:tc>
          <w:tcPr>
            <w:tcW w:type="dxa" w:w="1411"/>
            <w:vAlign w:val="center"/>
          </w:tcPr>
          <w:p>
            <w:pPr>
              <w:spacing w:after="0"/>
            </w:pPr>
            <w:r/>
            <w:r>
              <w:rPr>
                <w:rFonts w:ascii="Calibri" w:hAnsi="Calibri"/>
                <w:b w:val="0"/>
                <w:sz w:val="16"/>
              </w:rPr>
              <w:t>Microarray / RNA-seq</w:t>
            </w:r>
          </w:p>
        </w:tc>
        <w:tc>
          <w:tcPr>
            <w:tcW w:type="dxa" w:w="1411"/>
            <w:vAlign w:val="center"/>
          </w:tcPr>
          <w:p>
            <w:pPr>
              <w:spacing w:after="0"/>
            </w:pPr>
            <w:r/>
            <w:r>
              <w:rPr>
                <w:rFonts w:ascii="Calibri" w:hAnsi="Calibri"/>
                <w:b w:val="0"/>
                <w:sz w:val="16"/>
              </w:rPr>
              <w:t>585 / 322 / 105</w:t>
            </w:r>
          </w:p>
        </w:tc>
        <w:tc>
          <w:tcPr>
            <w:tcW w:type="dxa" w:w="1411"/>
            <w:vAlign w:val="center"/>
          </w:tcPr>
          <w:p>
            <w:pPr>
              <w:spacing w:after="0"/>
            </w:pPr>
            <w:r/>
            <w:r>
              <w:rPr>
                <w:rFonts w:ascii="Calibri" w:hAnsi="Calibri"/>
                <w:b w:val="0"/>
                <w:sz w:val="16"/>
              </w:rPr>
              <w:t>0.994 / 0.973 / 0.949 (AUC)</w:t>
            </w:r>
          </w:p>
        </w:tc>
        <w:tc>
          <w:tcPr>
            <w:tcW w:type="dxa" w:w="1411"/>
            <w:vAlign w:val="center"/>
          </w:tcPr>
          <w:p>
            <w:pPr>
              <w:spacing w:after="0"/>
            </w:pPr>
            <w:r/>
            <w:r>
              <w:rPr>
                <w:rFonts w:ascii="Calibri" w:hAnsi="Calibri"/>
                <w:b w:val="0"/>
                <w:sz w:val="16"/>
              </w:rPr>
              <w:t>Yes (Removed 10 core genes)</w:t>
            </w:r>
          </w:p>
        </w:tc>
        <w:tc>
          <w:tcPr>
            <w:tcW w:type="dxa" w:w="1411"/>
            <w:vAlign w:val="center"/>
          </w:tcPr>
          <w:p>
            <w:pPr>
              <w:spacing w:after="0"/>
            </w:pPr>
            <w:r/>
            <w:r>
              <w:rPr>
                <w:rFonts w:ascii="Calibri" w:hAnsi="Calibri"/>
                <w:b w:val="0"/>
                <w:sz w:val="16"/>
              </w:rPr>
              <w:t>Yes (Microarray to RNA-seq ×2)</w:t>
            </w:r>
          </w:p>
        </w:tc>
      </w:tr>
    </w:tbl>
    <w:p>
      <w:pPr>
        <w:spacing w:before="60" w:after="160"/>
        <w:jc w:val="center"/>
      </w:pPr>
      <w:r>
        <w:rPr>
          <w:rFonts w:ascii="Calibri" w:hAnsi="Calibri"/>
          <w:i/>
          <w:color w:val="5A5A5A"/>
          <w:sz w:val="17"/>
        </w:rPr>
        <w:t>Table 9. Performance and methodological comparisons with published signatures.</w:t>
      </w:r>
    </w:p>
    <w:p>
      <w:pPr>
        <w:spacing w:before="0" w:after="140" w:line="283" w:lineRule="auto"/>
      </w:pPr>
      <w:r>
        <w:rPr>
          <w:rFonts w:ascii="Calibri" w:hAnsi="Calibri"/>
          <w:color w:val="141F2B"/>
          <w:sz w:val="20"/>
        </w:rPr>
        <w:t>Top features MCM10, SPC25, NCAPH, and RFC4 are downstream of cell-cycle entry. MCM10 supports DNA replication via CMG helicase complex isomerization (Langston et al., 2017). RFC4 recruits DNA polymerase delta to repair sites (Overmeer et al., 2010). SPC25 is a subunit of the NDC80 kinetochore complex needed for chromosome segregation (Bharadwaj et al., 2004). NCAPH is involved in condensin I assembly for chromosome condensation in proliferating cells (Seipold et al., 2009). Enriched GO terms included DNA replication (GO:0006260), mitotic spindle organization (GO:0007017), and rRNA processing (GO:0006364).</w:t>
      </w:r>
    </w:p>
    <w:p>
      <w:pPr>
        <w:pStyle w:val="Heading1"/>
        <w:keepNext/>
        <w:spacing w:before="240" w:after="100"/>
      </w:pPr>
    </w:p>
    <w:p>
      <w:pPr>
        <w:spacing w:before="0" w:after="140" w:line="283" w:lineRule="auto"/>
      </w:pPr>
      <w:r>
        <w:rPr>
          <w:rFonts w:ascii="Calibri" w:hAnsi="Calibri"/>
          <w:b/>
          <w:color w:val="141F2B"/>
          <w:sz w:val="20"/>
        </w:rPr>
        <w:t>LIMITATIONS:</w:t>
      </w:r>
    </w:p>
    <w:p>
      <w:pPr>
        <w:pStyle w:val="ListBullet"/>
        <w:spacing w:after="60"/>
      </w:pPr>
      <w:r>
        <w:rPr>
          <w:rFonts w:ascii="Calibri" w:hAnsi="Calibri"/>
          <w:color w:val="141F2B"/>
          <w:sz w:val="20"/>
        </w:rPr>
        <w:t>Sample size: GEO GSE39582 (n=585) is moderate. CPTAC-COAD (n=105) has only 7 survival events, limiting power.</w:t>
      </w:r>
    </w:p>
    <w:p>
      <w:pPr>
        <w:pStyle w:val="ListBullet"/>
        <w:spacing w:after="60"/>
      </w:pPr>
      <w:r>
        <w:rPr>
          <w:rFonts w:ascii="Calibri" w:hAnsi="Calibri"/>
          <w:color w:val="141F2B"/>
          <w:sz w:val="20"/>
        </w:rPr>
        <w:t>Target binarization at the median is standard but arbitrary. Continuous risk scores might work better.</w:t>
      </w:r>
    </w:p>
    <w:p>
      <w:pPr>
        <w:pStyle w:val="ListBullet"/>
        <w:spacing w:after="60"/>
      </w:pPr>
      <w:r>
        <w:rPr>
          <w:rFonts w:ascii="Calibri" w:hAnsi="Calibri"/>
          <w:color w:val="141F2B"/>
          <w:sz w:val="20"/>
        </w:rPr>
        <w:t>The median-split proliferation classes barely overlap (Cohen's d = 2.3), making binary separation easier than typical clinical ML tasks.</w:t>
      </w:r>
    </w:p>
    <w:p>
      <w:pPr>
        <w:pStyle w:val="ListBullet"/>
        <w:spacing w:after="60"/>
      </w:pPr>
      <w:r>
        <w:rPr>
          <w:rFonts w:ascii="Calibri" w:hAnsi="Calibri"/>
          <w:color w:val="141F2B"/>
          <w:sz w:val="20"/>
        </w:rPr>
        <w:t>Microarray and RNA-seq have different dynamic ranges, requiring post-hoc calibration to restore accuracy.</w:t>
      </w:r>
    </w:p>
    <w:p>
      <w:pPr>
        <w:pStyle w:val="ListBullet"/>
        <w:spacing w:after="60"/>
      </w:pPr>
      <w:r>
        <w:rPr>
          <w:rFonts w:ascii="Calibri" w:hAnsi="Calibri"/>
          <w:color w:val="141F2B"/>
          <w:sz w:val="20"/>
        </w:rPr>
        <w:t>SHAP scores reflect correlation, not causation.</w:t>
      </w:r>
    </w:p>
    <w:p>
      <w:pPr>
        <w:spacing w:before="0" w:after="140" w:line="283" w:lineRule="auto"/>
      </w:pPr>
      <w:r>
        <w:rPr>
          <w:rFonts w:ascii="Calibri" w:hAnsi="Calibri"/>
          <w:b/>
          <w:color w:val="141F2B"/>
          <w:sz w:val="20"/>
        </w:rPr>
        <w:t>FUTURE WORK:</w:t>
      </w:r>
    </w:p>
    <w:p>
      <w:pPr>
        <w:pStyle w:val="ListBullet"/>
        <w:spacing w:after="60"/>
      </w:pPr>
      <w:r>
        <w:rPr>
          <w:rFonts w:ascii="Calibri" w:hAnsi="Calibri"/>
          <w:color w:val="141F2B"/>
          <w:sz w:val="20"/>
        </w:rPr>
        <w:t>Prospective validation of the Top-3 Ensemble on new COAD biopsy cohorts.</w:t>
      </w:r>
    </w:p>
    <w:p>
      <w:pPr>
        <w:pStyle w:val="ListBullet"/>
        <w:spacing w:after="60"/>
      </w:pPr>
      <w:r>
        <w:rPr>
          <w:rFonts w:ascii="Calibri" w:hAnsi="Calibri"/>
          <w:color w:val="141F2B"/>
          <w:sz w:val="20"/>
        </w:rPr>
        <w:t>qPCR knockdown of top SHAP genes (RPS3, RPS11) to confirm their role in growth regulation.</w:t>
      </w:r>
    </w:p>
    <w:p>
      <w:pPr>
        <w:pStyle w:val="ListBullet"/>
        <w:spacing w:after="60"/>
      </w:pPr>
      <w:r>
        <w:rPr>
          <w:rFonts w:ascii="Calibri" w:hAnsi="Calibri"/>
          <w:color w:val="141F2B"/>
          <w:sz w:val="20"/>
        </w:rPr>
        <w:t>Integration of CNVs and somatic mutation data into the feature space.</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characterization, validation, and prognostic value. PLoS Medicine, 2013. DOI: 10.1371/journal.pmed.1001453</w:t>
      </w:r>
    </w:p>
    <w:p>
      <w:pPr>
        <w:pStyle w:val="ListNumber"/>
        <w:spacing w:after="60"/>
      </w:pPr>
      <w:r>
        <w:rPr>
          <w:rFonts w:ascii="Calibri" w:hAnsi="Calibri"/>
          <w:color w:val="141F2B"/>
          <w:sz w:val="19"/>
        </w:rPr>
        <w:t>Whitfield, M. L. et al. Identification of genes periodically expressed in the human cell cycle and their expression in tumors. Molecular Biology of the Cell, 2002. DOI: 10.1091/mbc.02-02-0030</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ListNumber"/>
        <w:spacing w:after="60"/>
      </w:pPr>
      <w:r>
        <w:rPr>
          <w:rFonts w:ascii="Calibri" w:hAnsi="Calibri"/>
          <w:color w:val="141F2B"/>
          <w:sz w:val="19"/>
        </w:rPr>
        <w:t>Zeng, D.-T. et al. Prognostic role of Ki-67 in colorectal carcinoma: Development and evaluation of machine learning prediction models. World Journal of Clinical Oncology, 2025. DOI: 10.5306/wjco.v16.i8.107306</w:t>
      </w:r>
    </w:p>
    <w:p>
      <w:pPr>
        <w:pStyle w:val="ListNumber"/>
        <w:spacing w:after="60"/>
      </w:pPr>
      <w:r>
        <w:rPr>
          <w:rFonts w:ascii="Calibri" w:hAnsi="Calibri"/>
          <w:color w:val="141F2B"/>
          <w:sz w:val="19"/>
        </w:rPr>
        <w:t>Agesen, T. H. et al. ColoGuideEx: a robust gene classifier specific for stage II colorectal cancer prognosis. Gut, 2012. DOI: 10.1136/gutjnl-2011-301179</w:t>
      </w:r>
    </w:p>
    <w:p>
      <w:pPr>
        <w:pStyle w:val="ListNumber"/>
        <w:spacing w:after="60"/>
      </w:pPr>
      <w:r>
        <w:rPr>
          <w:rFonts w:ascii="Calibri" w:hAnsi="Calibri"/>
          <w:color w:val="141F2B"/>
          <w:sz w:val="19"/>
        </w:rPr>
        <w:t>O'Connell, M. J. et al. Relationship between tumor gene expression and recurrence in four independent studies of patients with stage II/III colon cancer treated with surgery alone or surgery plus adjuvant fluorouracil plus leucovorin. Journal of Clinical Oncology, 2010. DOI: 10.1200/JCO.2010.28.9538</w:t>
      </w:r>
    </w:p>
    <w:p>
      <w:pPr>
        <w:pStyle w:val="ListNumber"/>
        <w:spacing w:after="60"/>
      </w:pPr>
      <w:r>
        <w:rPr>
          <w:rFonts w:ascii="Calibri" w:hAnsi="Calibri"/>
          <w:color w:val="141F2B"/>
          <w:sz w:val="19"/>
        </w:rPr>
        <w:t>Langston, L. D. et al. Mcm10 promotes rapid isomerization of CMG-DNA for replisome bypass of lagging strand DNA blocks. eLife, 2017. DOI: 10.7554/eLife.29118</w:t>
      </w:r>
    </w:p>
    <w:p>
      <w:pPr>
        <w:pStyle w:val="ListNumber"/>
        <w:spacing w:after="60"/>
      </w:pPr>
      <w:r>
        <w:rPr>
          <w:rFonts w:ascii="Calibri" w:hAnsi="Calibri"/>
          <w:color w:val="141F2B"/>
          <w:sz w:val="19"/>
        </w:rPr>
        <w:t>Bharadwaj, R., Qi, W., and Yu, H. Identification of two novel components of the human NDC80 kinetochore complex. Journal of Biological Chemistry, 2004. DOI: 10.1074/jbc.M310224200</w:t>
      </w:r>
    </w:p>
    <w:p>
      <w:pPr>
        <w:pStyle w:val="ListNumber"/>
        <w:spacing w:after="60"/>
      </w:pPr>
      <w:r>
        <w:rPr>
          <w:rFonts w:ascii="Calibri" w:hAnsi="Calibri"/>
          <w:color w:val="141F2B"/>
          <w:sz w:val="19"/>
        </w:rPr>
        <w:t>Seipold, S. et al. Non-SMC condensin I complex proteins control chromosome segregation and survival of proliferating cells in the zebrafish neural retina. BMC Developmental Biology, 2009. DOI: 10.1186/1471-213X-9-40</w:t>
      </w:r>
    </w:p>
    <w:p>
      <w:pPr>
        <w:pStyle w:val="ListNumber"/>
        <w:spacing w:after="60"/>
      </w:pPr>
      <w:r>
        <w:rPr>
          <w:rFonts w:ascii="Calibri" w:hAnsi="Calibri"/>
          <w:color w:val="141F2B"/>
          <w:sz w:val="19"/>
        </w:rPr>
        <w:t>Overmeer, R. M. et al. Replication factor C recruits DNA polymerase delta to sites of nucleotide excision repair but is not required for PCNA recruitment. Molecular and Cellular Biology, 2010. DOI: 10.1128/MCB.00285-10</w:t>
      </w:r>
    </w:p>
    <w:p>
      <w:pPr>
        <w:pStyle w:val="ListNumber"/>
        <w:spacing w:after="60"/>
      </w:pPr>
      <w:r>
        <w:rPr>
          <w:rFonts w:ascii="Calibri" w:hAnsi="Calibri"/>
          <w:color w:val="141F2B"/>
          <w:sz w:val="19"/>
        </w:rPr>
        <w:t>Guinney, J. et al. The consensus molecular subtypes of colorectal cancer. Nature Medicine, 2015. DOI: 10.1038/nm.3967</w:t>
      </w:r>
    </w:p>
    <w:p>
      <w:pPr>
        <w:pStyle w:val="ListNumber"/>
        <w:spacing w:after="60"/>
      </w:pPr>
      <w:r>
        <w:rPr>
          <w:rFonts w:ascii="Calibri" w:hAnsi="Calibri"/>
          <w:color w:val="141F2B"/>
          <w:sz w:val="19"/>
        </w:rPr>
        <w:t>The Cancer Genome Atlas Network. Comprehensive molecular characterization of human colon and rectal cancer. Nature, 2012. DOI: 10.1038/nature11252</w:t>
      </w:r>
    </w:p>
    <w:p>
      <w:pPr>
        <w:pStyle w:val="ListNumber"/>
        <w:spacing w:after="60"/>
      </w:pPr>
      <w:r>
        <w:rPr>
          <w:rFonts w:ascii="Calibri" w:hAnsi="Calibri"/>
          <w:color w:val="141F2B"/>
          <w:sz w:val="19"/>
        </w:rPr>
        <w:t>Platt, J. Probabilistic outputs for support vector machines and comparisons to regularized likelihood methods. Advances in Large Margin Classifiers, 1999.</w:t>
      </w:r>
    </w:p>
    <w:p>
      <w:pPr>
        <w:pStyle w:val="ListNumber"/>
        <w:spacing w:after="60"/>
      </w:pPr>
      <w:r>
        <w:rPr>
          <w:rFonts w:ascii="Calibri" w:hAnsi="Calibri"/>
          <w:color w:val="141F2B"/>
          <w:sz w:val="19"/>
        </w:rPr>
        <w:t>Yang, W. et al. Genomics of Drug Sensitivity in Cancer (GDSC): a resource for therapeutic biomarker discovery in cancer cells. Nucleic Acids Research, 2013. DOI: 10.1093/nar/gks1111</w:t>
      </w:r>
    </w:p>
    <w:p>
      <w:pPr>
        <w:pStyle w:val="ListNumber"/>
        <w:spacing w:after="60"/>
      </w:pPr>
      <w:r>
        <w:rPr>
          <w:rFonts w:ascii="Calibri" w:hAnsi="Calibri"/>
          <w:color w:val="141F2B"/>
          <w:sz w:val="19"/>
        </w:rPr>
        <w:t>Meinshausen, N. and Buhlmann, P. Stability selection. Journal of the Royal Statistical Society: Series B, 2010. DOI: 10.1111/j.1467-9868.2010.00740.x</w:t>
      </w:r>
    </w:p>
    <w:p>
      <w:pPr>
        <w:pStyle w:val="ListNumber"/>
        <w:spacing w:after="60"/>
      </w:pPr>
      <w:r>
        <w:rPr>
          <w:rFonts w:ascii="Calibri" w:hAnsi="Calibri"/>
          <w:color w:val="141F2B"/>
          <w:sz w:val="19"/>
        </w:rPr>
        <w:t>Cohen, J. Statistical Power Analysis for the Behavioral Sciences. 2nd ed. Lawrence Erlbaum Associates, 1988.</w:t>
      </w:r>
    </w:p>
    <w:p>
      <w:pPr>
        <w:pStyle w:val="ListNumber"/>
        <w:spacing w:after="60"/>
      </w:pPr>
      <w:r>
        <w:rPr>
          <w:rFonts w:ascii="Calibri" w:hAnsi="Calibri"/>
          <w:color w:val="141F2B"/>
          <w:sz w:val="19"/>
        </w:rPr>
        <w:t>Vasaikar, S. et al. Proteogenomic analysis of human colon cancer reveals new therapeutic opportunities. Cell, 2019. DOI: 10.1016/j.cell.2019.03.030</w:t>
      </w:r>
    </w:p>
    <w:p>
      <w:pPr>
        <w:pStyle w:val="Heading1"/>
        <w:keepNext/>
        <w:spacing w:before="240" w:after="100"/>
      </w:pPr>
    </w:p>
    <w:p>
      <w:pPr>
        <w:spacing w:before="0" w:after="140" w:line="283" w:lineRule="auto"/>
      </w:pPr>
      <w:r>
        <w:rPr>
          <w:rFonts w:ascii="Calibri" w:hAnsi="Calibri"/>
          <w:color w:val="141F2B"/>
          <w:sz w:val="20"/>
        </w:rPr>
        <w:t>GEO GSE39582 is available at: https://www.ncbi.nlm.nih.gov/geo/query/acc.cgi?acc=GSE39582. TCGA-COAD is available at UCSC Xena: https://xenabrowser.net/. CPTAC-COAD data is available at: https://cptac-data-portal.georgetown.edu/. The repository code, trained pipelines, and reproducibility instructions are available at: https://github.com/Ronisnotasianfr/ColoGrowth-ML.</w:t>
      </w:r>
    </w:p>
    <w:p>
      <w:pPr>
        <w:pStyle w:val="Heading1"/>
        <w:keepNext/>
        <w:spacing w:before="240" w:after="100"/>
      </w:pPr>
    </w:p>
    <w:p>
      <w:pPr>
        <w:spacing w:before="0" w:after="140" w:line="283" w:lineRule="auto"/>
      </w:pPr>
      <w:r>
        <w:rPr>
          <w:rFonts w:ascii="Calibri" w:hAnsi="Calibri"/>
          <w:color w:val="141F2B"/>
          <w:sz w:val="20"/>
        </w:rPr>
        <w:t>Secondary analysis of de-identified public datasets did not require institutional review board (IRB) approval. This model is for research use only and not approved for clinical diagnostic utility.</w:t>
      </w:r>
    </w:p>
    <w:p>
      <w:pPr>
        <w:pStyle w:val="Heading2"/>
        <w:keepNext/>
        <w:spacing w:before="160" w:after="100"/>
      </w:pPr>
    </w:p>
    <w:p>
      <w:pPr>
        <w:spacing w:before="0" w:after="140" w:line="283" w:lineRule="auto"/>
      </w:pPr>
      <w:r>
        <w:rPr>
          <w:rFonts w:ascii="Calibri" w:hAnsi="Calibri"/>
          <w:color w:val="141F2B"/>
          <w:sz w:val="21"/>
        </w:rPr>
        <w:t>Claude (Anthropic) was used as a coding assistant during implementation. All study design decisions, data interpretation, statistical analysis, and written conclusions are the author's own. The model architecture, leakage-control strategy, and validation framework were designed by the author. Claude assisted with debugging syntax errors, generating table formats, and optimizing parallel computation settings. Full prompt logs are available in the project repository.</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ColoGrowth-ML | Leakage-free cross-platform validation study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