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Cross-Platform Colon Cancer Proliferation Classification via Leakage-Free ML</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GEO_PAN</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Cancer transcriptomics classifiers usually report AUC and accuracy. Calibration error, which measures whether predicted probabilities match actual outcomes, is often ignored. We compared five calibration strategies (Platt Scaling, Isotonic Regression, QN+Platt, QN-only, None) across four model classes for colon cancer proliferation prediction. The ten cell-cycle genes defining the target were removed from the feature set to prevent leakage. All preprocessing was wrapped in scikit-learn Pipelines so training and validation never mixed. Classifiers trained on GEO microarray data (GSE39582, n = 585) and validated on TCGA-COAD (RNA-seq, n = 322) and CPTAC-COAD (n = 105) gave ROC-AUCs above 0.97 on external cohorts after quantile normalization and Platt scaling. Tree-based models needed minimal calibration (AUC 0.973, Accuracy 0.915), while Logistic Regression benefited from QN+Platt for cross-platform alignment (AUC 0.972). A drug screen (GDSC2, 295 drugs, 969 cell lines, Bonferroni-corrected Mann-Whitney U) identified Trametinib as the top hit (p = 1.8e-12). All five top hits target the MAPK/ERK pathway. On CPTAC-COAD (n = 105), Random Forest had a calibrated AUC of 0.9487 and accuracy of 0.8679. High proliferation was linked to shorter survival in GEO (log-rank p = 0.037) and TCGA (log-rank p = 0.034). Code: https://github.com/Ronisnotasianfr/ColoGrowth-ML.</w:t>
      </w:r>
    </w:p>
    <w:p>
      <w:pPr>
        <w:pStyle w:val="Heading1"/>
        <w:keepNext/>
        <w:spacing w:before="240" w:after="100"/>
      </w:pPr>
    </w:p>
    <w:p>
      <w:pPr>
        <w:spacing w:before="0" w:after="140" w:line="283" w:lineRule="auto"/>
      </w:pPr>
      <w:r>
        <w:rPr>
          <w:rFonts w:ascii="Calibri" w:hAnsi="Calibri"/>
          <w:color w:val="141F2B"/>
          <w:sz w:val="20"/>
        </w:rPr>
        <w:t>Proliferation rate is one of the stronger predictors of how colon cancer patients respond to treatment and how long they survive. Clinicians estimate it through Ki-67 staining or staging, but both methods vary between observers and miss most of the gene expression changes that come with cell-cycle disruption. A classifier trained on expression data could pick up what staining alone misses.</w:t>
      </w:r>
    </w:p>
    <w:p>
      <w:pPr>
        <w:spacing w:before="0" w:after="140" w:line="283" w:lineRule="auto"/>
      </w:pPr>
      <w:r>
        <w:rPr>
          <w:rFonts w:ascii="Calibri" w:hAnsi="Calibri"/>
          <w:color w:val="141F2B"/>
          <w:sz w:val="20"/>
        </w:rPr>
        <w:t>We trained four classifiers (Logistic Regression, Random Forest, XGBoost, MLP) on GEO microarray data to predict high versus low proliferation from expression and clinical covariates. The ten cell-cycle genes used to define the target were removed from the features before training. External validation was done on TCGA RNA-seq, an independent platform and cohort.</w:t>
      </w:r>
    </w:p>
    <w:p>
      <w:r>
        <w:br w:type="page"/>
      </w:r>
    </w:p>
    <w:p>
      <w:pPr>
        <w:pStyle w:val="Heading1"/>
        <w:keepNext/>
        <w:spacing w:before="240" w:after="100"/>
      </w:pPr>
    </w:p>
    <w:p>
      <w:pPr>
        <w:spacing w:before="0" w:after="140" w:line="283" w:lineRule="auto"/>
      </w:pPr>
      <w:r>
        <w:rPr>
          <w:rFonts w:ascii="Calibri" w:hAnsi="Calibri"/>
          <w:color w:val="141F2B"/>
          <w:sz w:val="20"/>
        </w:rPr>
        <w:t>The GEO_PAN dataset has 823 samples and 22182 features after removing the ten signature genes. Clinical covariates are age, sex, and stage. Target class balance: 411 low, 412 high. We used an 80/20 stratified split: 658 training, 165 holdout.</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geo_pan_X_features / y_target</w:t>
            </w:r>
          </w:p>
        </w:tc>
        <w:tc>
          <w:tcPr>
            <w:tcW w:type="dxa" w:w="2469"/>
            <w:vAlign w:val="center"/>
          </w:tcPr>
          <w:p>
            <w:pPr>
              <w:spacing w:after="0"/>
            </w:pPr>
            <w:r/>
            <w:r>
              <w:rPr>
                <w:rFonts w:ascii="Calibri" w:hAnsi="Calibri"/>
                <w:b w:val="0"/>
                <w:sz w:val="17"/>
              </w:rPr>
              <w:t>823</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411 low, 412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658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165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We used a multi-cohort design: GEO-train/GEO-holdout, then TCGA and CPTAC for external validation. TCGA-COAD (n = 322) was split into calibration and evaluation halves (161 each). The calibration set was used to fit Platt scaling. CPTAC-COAD (n = 105) was split similarly (52 calibration, 53 evaluation) for a second external evaluation. Feature selection, scaling, and model training used only GEO data. No TCGA or CPTAC samples were used in training.</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 xml:space="preserve">                     [ GEO Cohort (n=585) ]</w:t>
        <w:br/>
        <w:t xml:space="preserve">                               |</w:t>
        <w:br/>
        <w:t xml:space="preserve">                 +-------------+-------------+</w:t>
        <w:br/>
        <w:t xml:space="preserve">                 v                           v</w:t>
        <w:br/>
        <w:t xml:space="preserve">        GEO-Train (80%, n=468)      GEO-Holdout (20%, n=117)</w:t>
        <w:br/>
        <w:t xml:space="preserve">                 |                           |</w:t>
        <w:br/>
        <w:t xml:space="preserve">                 +-&gt; [Feature Selection]     +-&gt; [Evaluate Model]</w:t>
        <w:br/>
        <w:t xml:space="preserve">                 +-&gt; [GridSearchCV Tuning]   |</w:t>
        <w:br/>
        <w:t xml:space="preserve">                 +-&gt; [Fit Model Coefficients]|</w:t>
        <w:br/>
        <w:t xml:space="preserve">                                             |</w:t>
        <w:br/>
        <w:t xml:space="preserve">          +----------------------------------+</w:t>
        <w:br/>
        <w:t xml:space="preserve">          v                                   v</w:t>
        <w:br/>
        <w:t xml:space="preserve">  [TCGA Cohort (n=322)]            [CPTAC Cohort (n=105)]</w:t>
        <w:br/>
        <w:t xml:space="preserve">          |                                   |</w:t>
        <w:br/>
        <w:t xml:space="preserve">    +-----+-----+                       +----+------+</w:t>
        <w:br/>
        <w:t xml:space="preserve">    v           v                       v           v</w:t>
        <w:br/>
        <w:t xml:space="preserve">  Calib (50%)  Eval (50%)           Calib (50%)  Eval (50%)</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Each model was wrapped in a scikit-learn Pipeline: standardization, variance filtering (threshold = 0.01), SelectKBest using ANOVA F-scores, and the classifier. Hyperparameters were tuned with GridSearchCV using three-fold inner cross-validation. Nested five-fold CV on the training pool kept all preprocessing inside the folds. Multiple probes mapping to the same gene were averaged before training.</w:t>
      </w:r>
    </w:p>
    <w:p>
      <w:pPr>
        <w:spacing w:before="0" w:after="140" w:line="283" w:lineRule="auto"/>
      </w:pPr>
      <w:r>
        <w:rPr>
          <w:rFonts w:ascii="Calibri" w:hAnsi="Calibri"/>
          <w:color w:val="141F2B"/>
          <w:sz w:val="20"/>
        </w:rPr>
        <w:t>The target was defined as the mean z-score of ten cell-cycle genes: MKI67, PCNA, TOP2A, MCM2, MCM6, AURKA, BUB1, CCNB1, CDK1, and BIRC5. These ten genes were removed from the feature matrix before splitting the data. Leaving them in would let the classifier reconstruct the label from the same genes used to define it. All preprocessing steps (scaling, variance filtering, feature selection) were wrapped inside scikit-learn Pipelines so they fit only on the active training fold and are applied fresh to validation and test folds.</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Four models were tested with nested five-fold CV on the GEO training pool (n = 468) after removing the ten signature genes. Mean CV ROC-AUCs were similar across models: Logistic Regression 0.9811 (+/- 0.0041), Random Forest 0.9788 (+/- 0.0047), XGBoost 0.9783 (+/- 0.0060), and MLP 0.9781 (+/- 0.0048). A simple Logistic Regression without feature selection gave a holdout accuracy of 0.9697, compared to 0.4970 for a majority-class baseline.</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0.9811 (+/- 0.0041)</w:t>
            </w:r>
          </w:p>
        </w:tc>
        <w:tc>
          <w:tcPr>
            <w:tcW w:type="dxa" w:w="2469"/>
            <w:vAlign w:val="center"/>
          </w:tcPr>
          <w:p>
            <w:pPr>
              <w:spacing w:after="0"/>
            </w:pPr>
            <w:r/>
            <w:r>
              <w:rPr>
                <w:rFonts w:ascii="Calibri" w:hAnsi="Calibri"/>
                <w:b w:val="0"/>
                <w:sz w:val="16"/>
              </w:rPr>
              <w:t>0.9091 (95% CI: 0.8606-0.9515)</w:t>
            </w:r>
          </w:p>
        </w:tc>
        <w:tc>
          <w:tcPr>
            <w:tcW w:type="dxa" w:w="2469"/>
            <w:vAlign w:val="center"/>
          </w:tcPr>
          <w:p>
            <w:pPr>
              <w:spacing w:after="0"/>
            </w:pPr>
            <w:r/>
            <w:r>
              <w:rPr>
                <w:rFonts w:ascii="Calibri" w:hAnsi="Calibri"/>
                <w:b w:val="0"/>
                <w:sz w:val="16"/>
              </w:rPr>
              <w:t>0.9834 (95% CI: 0.9685-0.9943)</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0.9788 (+/- 0.0047)</w:t>
            </w:r>
          </w:p>
        </w:tc>
        <w:tc>
          <w:tcPr>
            <w:tcW w:type="dxa" w:w="2469"/>
            <w:vAlign w:val="center"/>
          </w:tcPr>
          <w:p>
            <w:pPr>
              <w:spacing w:after="0"/>
            </w:pPr>
            <w:r/>
            <w:r>
              <w:rPr>
                <w:rFonts w:ascii="Calibri" w:hAnsi="Calibri"/>
                <w:b w:val="0"/>
                <w:sz w:val="16"/>
              </w:rPr>
              <w:t>0.9394 (95% CI: 0.9030-0.9758)</w:t>
            </w:r>
          </w:p>
        </w:tc>
        <w:tc>
          <w:tcPr>
            <w:tcW w:type="dxa" w:w="2469"/>
            <w:vAlign w:val="center"/>
          </w:tcPr>
          <w:p>
            <w:pPr>
              <w:spacing w:after="0"/>
            </w:pPr>
            <w:r/>
            <w:r>
              <w:rPr>
                <w:rFonts w:ascii="Calibri" w:hAnsi="Calibri"/>
                <w:b w:val="0"/>
                <w:sz w:val="16"/>
              </w:rPr>
              <w:t>0.9881 (95% CI: 0.9763-0.9966)</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0.9783 (+/- 0.0060)</w:t>
            </w:r>
          </w:p>
        </w:tc>
        <w:tc>
          <w:tcPr>
            <w:tcW w:type="dxa" w:w="2469"/>
            <w:vAlign w:val="center"/>
          </w:tcPr>
          <w:p>
            <w:pPr>
              <w:spacing w:after="0"/>
            </w:pPr>
            <w:r/>
            <w:r>
              <w:rPr>
                <w:rFonts w:ascii="Calibri" w:hAnsi="Calibri"/>
                <w:b w:val="0"/>
                <w:sz w:val="16"/>
              </w:rPr>
              <w:t>0.9273 (95% CI: 0.8848-0.9697)</w:t>
            </w:r>
          </w:p>
        </w:tc>
        <w:tc>
          <w:tcPr>
            <w:tcW w:type="dxa" w:w="2469"/>
            <w:vAlign w:val="center"/>
          </w:tcPr>
          <w:p>
            <w:pPr>
              <w:spacing w:after="0"/>
            </w:pPr>
            <w:r/>
            <w:r>
              <w:rPr>
                <w:rFonts w:ascii="Calibri" w:hAnsi="Calibri"/>
                <w:b w:val="0"/>
                <w:sz w:val="16"/>
              </w:rPr>
              <w:t>0.9910 (95% CI: 0.9813-0.9978)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0.9781 (+/- 0.0048)</w:t>
            </w:r>
          </w:p>
        </w:tc>
        <w:tc>
          <w:tcPr>
            <w:tcW w:type="dxa" w:w="2469"/>
            <w:vAlign w:val="center"/>
          </w:tcPr>
          <w:p>
            <w:pPr>
              <w:spacing w:after="0"/>
            </w:pPr>
            <w:r/>
            <w:r>
              <w:rPr>
                <w:rFonts w:ascii="Calibri" w:hAnsi="Calibri"/>
                <w:b w:val="0"/>
                <w:sz w:val="16"/>
              </w:rPr>
              <w:t>0.8970 (95% CI: 0.8485-0.9455)</w:t>
            </w:r>
          </w:p>
        </w:tc>
        <w:tc>
          <w:tcPr>
            <w:tcW w:type="dxa" w:w="2469"/>
            <w:vAlign w:val="center"/>
          </w:tcPr>
          <w:p>
            <w:pPr>
              <w:spacing w:after="0"/>
            </w:pPr>
            <w:r/>
            <w:r>
              <w:rPr>
                <w:rFonts w:ascii="Calibri" w:hAnsi="Calibri"/>
                <w:b w:val="0"/>
                <w:sz w:val="16"/>
              </w:rPr>
              <w:t>0.9812 (95% CI: 0.9647-0.9937)</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holdout set (n = 117), XGBoost had an ROC-AUC of 0.9910 (95% CI: 0.9813-0.9978) and accuracy of 0.9273. On holdout: Logistic Regression (Brier=0.0523, ECE=0.0548), Random Forest (Brier=0.0530, ECE=0.0653), XGBoost (Brier=0.0461, ECE=0.0481), Neural Network (MLP) (Brier=0.0566, ECE=0.0625). Bootstrap comparisons showed differences for Logistic Regression vs XGBoost (p=0.0351); XGBoost vs Neural Network (MLP) (p=0.0369). External validation on TCGA (n = 322) gave a Random Forest calibrated AUC of 0.973 and accuracy of 0.921, with XGBoost close behind at 0.968 and 0.903. On CPTAC-COAD (n = 105, a separate cohort), Random Forest gave a calibrated AUC of 0.9487 and accuracy of 0.8679. Full results: Logistic Regression (AUC=0.8832, Acc=0.7925); Random Forest (AUC=0.9487, Acc=0.8679); XGBoost (AUC=0.9231, Acc=0.8302); Neural Network (MLP) (AUC=0.9402, Acc=0.8302).</w:t>
      </w:r>
    </w:p>
    <w:p>
      <w:r>
        <w:br w:type="page"/>
      </w:r>
    </w:p>
    <w:p>
      <w:pPr>
        <w:pStyle w:val="Heading1"/>
        <w:keepNext/>
        <w:spacing w:before="240" w:after="100"/>
      </w:pPr>
    </w:p>
    <w:p>
      <w:pPr>
        <w:spacing w:before="0" w:after="140" w:line="283" w:lineRule="auto"/>
      </w:pPr>
      <w:r>
        <w:rPr>
          <w:rFonts w:ascii="Calibri" w:hAnsi="Calibri"/>
          <w:color w:val="141F2B"/>
          <w:sz w:val="20"/>
        </w:rPr>
        <w:t>SHAP values were computed from the pipeline-transformed features. Since the ten signature genes were removed, the top features capture correlates of proliferation rather than the target itself. The highest-ranked ANOVA features are listed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886.276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849.649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836.489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827.047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792.038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FANCI</w:t>
            </w:r>
          </w:p>
        </w:tc>
        <w:tc>
          <w:tcPr>
            <w:tcW w:type="dxa" w:w="2469"/>
            <w:vAlign w:val="center"/>
          </w:tcPr>
          <w:p>
            <w:pPr>
              <w:spacing w:after="0"/>
            </w:pPr>
            <w:r/>
            <w:r>
              <w:rPr>
                <w:rFonts w:ascii="Calibri" w:hAnsi="Calibri"/>
                <w:b w:val="0"/>
                <w:sz w:val="16"/>
              </w:rPr>
              <w:t>790.832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782.427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NCAPD3</w:t>
            </w:r>
          </w:p>
        </w:tc>
        <w:tc>
          <w:tcPr>
            <w:tcW w:type="dxa" w:w="2469"/>
            <w:vAlign w:val="center"/>
          </w:tcPr>
          <w:p>
            <w:pPr>
              <w:spacing w:after="0"/>
            </w:pPr>
            <w:r/>
            <w:r>
              <w:rPr>
                <w:rFonts w:ascii="Calibri" w:hAnsi="Calibri"/>
                <w:b w:val="0"/>
                <w:sz w:val="16"/>
              </w:rPr>
              <w:t>776.616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769.846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AUNIP</w:t>
            </w:r>
          </w:p>
        </w:tc>
        <w:tc>
          <w:tcPr>
            <w:tcW w:type="dxa" w:w="2469"/>
            <w:vAlign w:val="center"/>
          </w:tcPr>
          <w:p>
            <w:pPr>
              <w:spacing w:after="0"/>
            </w:pPr>
            <w:r/>
            <w:r>
              <w:rPr>
                <w:rFonts w:ascii="Calibri" w:hAnsi="Calibri"/>
                <w:b w:val="0"/>
                <w:sz w:val="16"/>
              </w:rPr>
              <w:t>759.041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PLK4</w:t>
            </w:r>
          </w:p>
        </w:tc>
        <w:tc>
          <w:tcPr>
            <w:tcW w:type="dxa" w:w="2469"/>
            <w:vAlign w:val="center"/>
          </w:tcPr>
          <w:p>
            <w:pPr>
              <w:spacing w:after="0"/>
            </w:pPr>
            <w:r/>
            <w:r>
              <w:rPr>
                <w:rFonts w:ascii="Calibri" w:hAnsi="Calibri"/>
                <w:b w:val="0"/>
                <w:sz w:val="16"/>
              </w:rPr>
              <w:t>751.620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750.786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POLE2</w:t>
            </w:r>
          </w:p>
        </w:tc>
        <w:tc>
          <w:tcPr>
            <w:tcW w:type="dxa" w:w="2469"/>
            <w:vAlign w:val="center"/>
          </w:tcPr>
          <w:p>
            <w:pPr>
              <w:spacing w:after="0"/>
            </w:pPr>
            <w:r/>
            <w:r>
              <w:rPr>
                <w:rFonts w:ascii="Calibri" w:hAnsi="Calibri"/>
                <w:b w:val="0"/>
                <w:sz w:val="16"/>
              </w:rPr>
              <w:t>744.791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CCNF</w:t>
            </w:r>
          </w:p>
        </w:tc>
        <w:tc>
          <w:tcPr>
            <w:tcW w:type="dxa" w:w="2469"/>
            <w:vAlign w:val="center"/>
          </w:tcPr>
          <w:p>
            <w:pPr>
              <w:spacing w:after="0"/>
            </w:pPr>
            <w:r/>
            <w:r>
              <w:rPr>
                <w:rFonts w:ascii="Calibri" w:hAnsi="Calibri"/>
                <w:b w:val="0"/>
                <w:sz w:val="16"/>
              </w:rPr>
              <w:t>737.666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OIP5</w:t>
            </w:r>
          </w:p>
        </w:tc>
        <w:tc>
          <w:tcPr>
            <w:tcW w:type="dxa" w:w="2469"/>
            <w:vAlign w:val="center"/>
          </w:tcPr>
          <w:p>
            <w:pPr>
              <w:spacing w:after="0"/>
            </w:pPr>
            <w:r/>
            <w:r>
              <w:rPr>
                <w:rFonts w:ascii="Calibri" w:hAnsi="Calibri"/>
                <w:b w:val="0"/>
                <w:sz w:val="16"/>
              </w:rPr>
              <w:t>734.686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NEMP1</w:t>
            </w:r>
          </w:p>
        </w:tc>
        <w:tc>
          <w:tcPr>
            <w:tcW w:type="dxa" w:w="2469"/>
            <w:vAlign w:val="center"/>
          </w:tcPr>
          <w:p>
            <w:pPr>
              <w:spacing w:after="0"/>
            </w:pPr>
            <w:r/>
            <w:r>
              <w:rPr>
                <w:rFonts w:ascii="Calibri" w:hAnsi="Calibri"/>
                <w:b w:val="0"/>
                <w:sz w:val="16"/>
              </w:rPr>
              <w:t>733.817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731.574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CHEK2</w:t>
            </w:r>
          </w:p>
        </w:tc>
        <w:tc>
          <w:tcPr>
            <w:tcW w:type="dxa" w:w="2469"/>
            <w:vAlign w:val="center"/>
          </w:tcPr>
          <w:p>
            <w:pPr>
              <w:spacing w:after="0"/>
            </w:pPr>
            <w:r/>
            <w:r>
              <w:rPr>
                <w:rFonts w:ascii="Calibri" w:hAnsi="Calibri"/>
                <w:b w:val="0"/>
                <w:sz w:val="16"/>
              </w:rPr>
              <w:t>729.750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NEIL3</w:t>
            </w:r>
          </w:p>
        </w:tc>
        <w:tc>
          <w:tcPr>
            <w:tcW w:type="dxa" w:w="2469"/>
            <w:vAlign w:val="center"/>
          </w:tcPr>
          <w:p>
            <w:pPr>
              <w:spacing w:after="0"/>
            </w:pPr>
            <w:r/>
            <w:r>
              <w:rPr>
                <w:rFonts w:ascii="Calibri" w:hAnsi="Calibri"/>
                <w:b w:val="0"/>
                <w:sz w:val="16"/>
              </w:rPr>
              <w:t>728.787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NUSAP1</w:t>
            </w:r>
          </w:p>
        </w:tc>
        <w:tc>
          <w:tcPr>
            <w:tcW w:type="dxa" w:w="2469"/>
            <w:vAlign w:val="center"/>
          </w:tcPr>
          <w:p>
            <w:pPr>
              <w:spacing w:after="0"/>
            </w:pPr>
            <w:r/>
            <w:r>
              <w:rPr>
                <w:rFonts w:ascii="Calibri" w:hAnsi="Calibri"/>
                <w:b w:val="0"/>
                <w:sz w:val="16"/>
              </w:rPr>
              <w:t>728.209</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The top 30 SHAP features were tested against KEGG and GO databases. Enriched pathways fell downstream of cell-cycle regulation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Decision Curve Analysis (Figure 4) showed that all four models gave higher net benefit than treating all patients or treating none.</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0.9250</w:t>
            </w:r>
          </w:p>
        </w:tc>
        <w:tc>
          <w:tcPr>
            <w:tcW w:type="dxa" w:w="1411"/>
            <w:vAlign w:val="center"/>
          </w:tcPr>
          <w:p>
            <w:pPr>
              <w:spacing w:after="0"/>
            </w:pPr>
            <w:r/>
            <w:r>
              <w:rPr>
                <w:rFonts w:ascii="Calibri" w:hAnsi="Calibri"/>
                <w:b w:val="0"/>
                <w:sz w:val="16"/>
              </w:rPr>
              <w:t>0.8941</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0.8675</w:t>
            </w:r>
          </w:p>
        </w:tc>
        <w:tc>
          <w:tcPr>
            <w:tcW w:type="dxa" w:w="1411"/>
            <w:vAlign w:val="center"/>
          </w:tcPr>
          <w:p>
            <w:pPr>
              <w:spacing w:after="0"/>
            </w:pPr>
            <w:r/>
            <w:r>
              <w:rPr>
                <w:rFonts w:ascii="Calibri" w:hAnsi="Calibri"/>
                <w:b w:val="0"/>
                <w:sz w:val="16"/>
              </w:rPr>
              <w:t>0.9756</w:t>
            </w:r>
          </w:p>
        </w:tc>
        <w:tc>
          <w:tcPr>
            <w:tcW w:type="dxa" w:w="1411"/>
            <w:vAlign w:val="center"/>
          </w:tcPr>
          <w:p>
            <w:pPr>
              <w:spacing w:after="0"/>
            </w:pPr>
            <w:r/>
            <w:r>
              <w:rPr>
                <w:rFonts w:ascii="Calibri" w:hAnsi="Calibri"/>
                <w:b w:val="0"/>
                <w:sz w:val="16"/>
              </w:rPr>
              <w:t>0.9730</w:t>
            </w:r>
          </w:p>
        </w:tc>
        <w:tc>
          <w:tcPr>
            <w:tcW w:type="dxa" w:w="1411"/>
            <w:vAlign w:val="center"/>
          </w:tcPr>
          <w:p>
            <w:pPr>
              <w:spacing w:after="0"/>
            </w:pPr>
            <w:r/>
            <w:r>
              <w:rPr>
                <w:rFonts w:ascii="Calibri" w:hAnsi="Calibri"/>
                <w:b w:val="0"/>
                <w:sz w:val="16"/>
              </w:rPr>
              <w:t>0.8791</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0.9759</w:t>
            </w:r>
          </w:p>
        </w:tc>
        <w:tc>
          <w:tcPr>
            <w:tcW w:type="dxa" w:w="1411"/>
            <w:vAlign w:val="center"/>
          </w:tcPr>
          <w:p>
            <w:pPr>
              <w:spacing w:after="0"/>
            </w:pPr>
            <w:r/>
            <w:r>
              <w:rPr>
                <w:rFonts w:ascii="Calibri" w:hAnsi="Calibri"/>
                <w:b w:val="0"/>
                <w:sz w:val="16"/>
              </w:rPr>
              <w:t>0.9024</w:t>
            </w:r>
          </w:p>
        </w:tc>
        <w:tc>
          <w:tcPr>
            <w:tcW w:type="dxa" w:w="1411"/>
            <w:vAlign w:val="center"/>
          </w:tcPr>
          <w:p>
            <w:pPr>
              <w:spacing w:after="0"/>
            </w:pPr>
            <w:r/>
            <w:r>
              <w:rPr>
                <w:rFonts w:ascii="Calibri" w:hAnsi="Calibri"/>
                <w:b w:val="0"/>
                <w:sz w:val="16"/>
              </w:rPr>
              <w:t>0.9101</w:t>
            </w:r>
          </w:p>
        </w:tc>
        <w:tc>
          <w:tcPr>
            <w:tcW w:type="dxa" w:w="1411"/>
            <w:vAlign w:val="center"/>
          </w:tcPr>
          <w:p>
            <w:pPr>
              <w:spacing w:after="0"/>
            </w:pPr>
            <w:r/>
            <w:r>
              <w:rPr>
                <w:rFonts w:ascii="Calibri" w:hAnsi="Calibri"/>
                <w:b w:val="0"/>
                <w:sz w:val="16"/>
              </w:rPr>
              <w:t>0.9737</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0.9512</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0.8966</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0.9398</w:t>
            </w:r>
          </w:p>
        </w:tc>
        <w:tc>
          <w:tcPr>
            <w:tcW w:type="dxa" w:w="1411"/>
            <w:vAlign w:val="center"/>
          </w:tcPr>
          <w:p>
            <w:pPr>
              <w:spacing w:after="0"/>
            </w:pPr>
            <w:r/>
            <w:r>
              <w:rPr>
                <w:rFonts w:ascii="Calibri" w:hAnsi="Calibri"/>
                <w:b w:val="0"/>
                <w:sz w:val="16"/>
              </w:rPr>
              <w:t>0.9146</w:t>
            </w:r>
          </w:p>
        </w:tc>
        <w:tc>
          <w:tcPr>
            <w:tcW w:type="dxa" w:w="1411"/>
            <w:vAlign w:val="center"/>
          </w:tcPr>
          <w:p>
            <w:pPr>
              <w:spacing w:after="0"/>
            </w:pPr>
            <w:r/>
            <w:r>
              <w:rPr>
                <w:rFonts w:ascii="Calibri" w:hAnsi="Calibri"/>
                <w:b w:val="0"/>
                <w:sz w:val="16"/>
              </w:rPr>
              <w:t>0.9176</w:t>
            </w:r>
          </w:p>
        </w:tc>
        <w:tc>
          <w:tcPr>
            <w:tcW w:type="dxa" w:w="1411"/>
            <w:vAlign w:val="center"/>
          </w:tcPr>
          <w:p>
            <w:pPr>
              <w:spacing w:after="0"/>
            </w:pPr>
            <w:r/>
            <w:r>
              <w:rPr>
                <w:rFonts w:ascii="Calibri" w:hAnsi="Calibri"/>
                <w:b w:val="0"/>
                <w:sz w:val="16"/>
              </w:rPr>
              <w:t>0.9375</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0.8659</w:t>
            </w:r>
          </w:p>
        </w:tc>
        <w:tc>
          <w:tcPr>
            <w:tcW w:type="dxa" w:w="1411"/>
            <w:vAlign w:val="center"/>
          </w:tcPr>
          <w:p>
            <w:pPr>
              <w:spacing w:after="0"/>
            </w:pPr>
            <w:r/>
            <w:r>
              <w:rPr>
                <w:rFonts w:ascii="Calibri" w:hAnsi="Calibri"/>
                <w:b w:val="0"/>
                <w:sz w:val="16"/>
              </w:rPr>
              <w:t>0.8750</w:t>
            </w:r>
          </w:p>
        </w:tc>
        <w:tc>
          <w:tcPr>
            <w:tcW w:type="dxa" w:w="1411"/>
            <w:vAlign w:val="center"/>
          </w:tcPr>
          <w:p>
            <w:pPr>
              <w:spacing w:after="0"/>
            </w:pPr>
            <w:r/>
            <w:r>
              <w:rPr>
                <w:rFonts w:ascii="Calibri" w:hAnsi="Calibri"/>
                <w:b w:val="0"/>
                <w:sz w:val="16"/>
              </w:rPr>
              <w:t>0.9221</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0.8810</w:t>
            </w:r>
          </w:p>
        </w:tc>
        <w:tc>
          <w:tcPr>
            <w:tcW w:type="dxa" w:w="1411"/>
            <w:vAlign w:val="center"/>
          </w:tcPr>
          <w:p>
            <w:pPr>
              <w:spacing w:after="0"/>
            </w:pPr>
            <w:r/>
            <w:r>
              <w:rPr>
                <w:rFonts w:ascii="Calibri" w:hAnsi="Calibri"/>
                <w:b w:val="0"/>
                <w:sz w:val="16"/>
              </w:rPr>
              <w:t>0.8889</w:t>
            </w:r>
          </w:p>
        </w:tc>
        <w:tc>
          <w:tcPr>
            <w:tcW w:type="dxa" w:w="1411"/>
            <w:vAlign w:val="center"/>
          </w:tcPr>
          <w:p>
            <w:pPr>
              <w:spacing w:after="0"/>
            </w:pPr>
            <w:r/>
            <w:r>
              <w:rPr>
                <w:rFonts w:ascii="Calibri" w:hAnsi="Calibri"/>
                <w:b w:val="0"/>
                <w:sz w:val="16"/>
              </w:rPr>
              <w:t>2.8</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Subgroup analyses checked for performance differences across age, sex, and stage. Accuracy and ROC-AUC were similar across groups. Bootstrap interaction tests showed no significant differences (p &gt; 0.05). Results are in Table 6.</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165</w:t>
            </w:r>
          </w:p>
        </w:tc>
        <w:tc>
          <w:tcPr>
            <w:tcW w:type="dxa" w:w="1411"/>
            <w:vAlign w:val="center"/>
          </w:tcPr>
          <w:p>
            <w:pPr>
              <w:spacing w:after="0"/>
            </w:pPr>
            <w:r/>
            <w:r>
              <w:rPr>
                <w:rFonts w:ascii="Calibri" w:hAnsi="Calibri"/>
                <w:b w:val="0"/>
                <w:sz w:val="16"/>
              </w:rPr>
              <w:t>0.9091</w:t>
            </w:r>
          </w:p>
        </w:tc>
        <w:tc>
          <w:tcPr>
            <w:tcW w:type="dxa" w:w="1411"/>
            <w:vAlign w:val="center"/>
          </w:tcPr>
          <w:p>
            <w:pPr>
              <w:spacing w:after="0"/>
            </w:pPr>
            <w:r/>
            <w:r>
              <w:rPr>
                <w:rFonts w:ascii="Calibri" w:hAnsi="Calibri"/>
                <w:b w:val="0"/>
                <w:sz w:val="16"/>
              </w:rPr>
              <w:t>0.9834</w:t>
            </w:r>
          </w:p>
        </w:tc>
        <w:tc>
          <w:tcPr>
            <w:tcW w:type="dxa" w:w="1411"/>
            <w:vAlign w:val="center"/>
          </w:tcPr>
          <w:p>
            <w:pPr>
              <w:spacing w:after="0"/>
            </w:pPr>
            <w:r/>
            <w:r>
              <w:rPr>
                <w:rFonts w:ascii="Calibri" w:hAnsi="Calibri"/>
                <w:b w:val="0"/>
                <w:sz w:val="16"/>
              </w:rPr>
              <w:t>(0.9688-0.9942)</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39</w:t>
            </w:r>
          </w:p>
        </w:tc>
        <w:tc>
          <w:tcPr>
            <w:tcW w:type="dxa" w:w="1411"/>
            <w:vAlign w:val="center"/>
          </w:tcPr>
          <w:p>
            <w:pPr>
              <w:spacing w:after="0"/>
            </w:pPr>
            <w:r/>
            <w:r>
              <w:rPr>
                <w:rFonts w:ascii="Calibri" w:hAnsi="Calibri"/>
                <w:b w:val="0"/>
                <w:sz w:val="16"/>
              </w:rPr>
              <w:t>0.8205</w:t>
            </w:r>
          </w:p>
        </w:tc>
        <w:tc>
          <w:tcPr>
            <w:tcW w:type="dxa" w:w="1411"/>
            <w:vAlign w:val="center"/>
          </w:tcPr>
          <w:p>
            <w:pPr>
              <w:spacing w:after="0"/>
            </w:pPr>
            <w:r/>
            <w:r>
              <w:rPr>
                <w:rFonts w:ascii="Calibri" w:hAnsi="Calibri"/>
                <w:b w:val="0"/>
                <w:sz w:val="16"/>
              </w:rPr>
              <w:t>0.9484</w:t>
            </w:r>
          </w:p>
        </w:tc>
        <w:tc>
          <w:tcPr>
            <w:tcW w:type="dxa" w:w="1411"/>
            <w:vAlign w:val="center"/>
          </w:tcPr>
          <w:p>
            <w:pPr>
              <w:spacing w:after="0"/>
            </w:pPr>
            <w:r/>
            <w:r>
              <w:rPr>
                <w:rFonts w:ascii="Calibri" w:hAnsi="Calibri"/>
                <w:b w:val="0"/>
                <w:sz w:val="16"/>
              </w:rPr>
              <w:t>(0.8734-1.0000)</w:t>
            </w:r>
          </w:p>
        </w:tc>
        <w:tc>
          <w:tcPr>
            <w:tcW w:type="dxa" w:w="1411"/>
            <w:vAlign w:val="center"/>
          </w:tcPr>
          <w:p>
            <w:pPr>
              <w:spacing w:after="0"/>
            </w:pPr>
            <w:r/>
            <w:r>
              <w:rPr>
                <w:rFonts w:ascii="Calibri" w:hAnsi="Calibri"/>
                <w:b w:val="0"/>
                <w:sz w:val="16"/>
              </w:rPr>
              <w:t>0.2100</w:t>
            </w:r>
          </w:p>
        </w:tc>
        <w:tc>
          <w:tcPr>
            <w:tcW w:type="dxa" w:w="1411"/>
            <w:vAlign w:val="center"/>
          </w:tcPr>
          <w:p>
            <w:pPr>
              <w:spacing w:after="0"/>
            </w:pPr>
            <w:r/>
            <w:r>
              <w:rPr>
                <w:rFonts w:ascii="Calibri" w:hAnsi="Calibri"/>
                <w:b w:val="0"/>
                <w:sz w:val="16"/>
              </w:rPr>
              <w:t>(-0.1277 to 0.0101)</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126</w:t>
            </w:r>
          </w:p>
        </w:tc>
        <w:tc>
          <w:tcPr>
            <w:tcW w:type="dxa" w:w="1411"/>
            <w:vAlign w:val="center"/>
          </w:tcPr>
          <w:p>
            <w:pPr>
              <w:spacing w:after="0"/>
            </w:pPr>
            <w:r/>
            <w:r>
              <w:rPr>
                <w:rFonts w:ascii="Calibri" w:hAnsi="Calibri"/>
                <w:b w:val="0"/>
                <w:sz w:val="16"/>
              </w:rPr>
              <w:t>0.9365</w:t>
            </w:r>
          </w:p>
        </w:tc>
        <w:tc>
          <w:tcPr>
            <w:tcW w:type="dxa" w:w="1411"/>
            <w:vAlign w:val="center"/>
          </w:tcPr>
          <w:p>
            <w:pPr>
              <w:spacing w:after="0"/>
            </w:pPr>
            <w:r/>
            <w:r>
              <w:rPr>
                <w:rFonts w:ascii="Calibri" w:hAnsi="Calibri"/>
                <w:b w:val="0"/>
                <w:sz w:val="16"/>
              </w:rPr>
              <w:t>0.9901</w:t>
            </w:r>
          </w:p>
        </w:tc>
        <w:tc>
          <w:tcPr>
            <w:tcW w:type="dxa" w:w="1411"/>
            <w:vAlign w:val="center"/>
          </w:tcPr>
          <w:p>
            <w:pPr>
              <w:spacing w:after="0"/>
            </w:pPr>
            <w:r/>
            <w:r>
              <w:rPr>
                <w:rFonts w:ascii="Calibri" w:hAnsi="Calibri"/>
                <w:b w:val="0"/>
                <w:sz w:val="16"/>
              </w:rPr>
              <w:t>(0.9783-0.9980)</w:t>
            </w:r>
          </w:p>
        </w:tc>
        <w:tc>
          <w:tcPr>
            <w:tcW w:type="dxa" w:w="1411"/>
            <w:vAlign w:val="center"/>
          </w:tcPr>
          <w:p>
            <w:pPr>
              <w:spacing w:after="0"/>
            </w:pPr>
            <w:r/>
            <w:r>
              <w:rPr>
                <w:rFonts w:ascii="Calibri" w:hAnsi="Calibri"/>
                <w:b w:val="0"/>
                <w:sz w:val="16"/>
              </w:rPr>
              <w:t>0.2100</w:t>
            </w:r>
          </w:p>
        </w:tc>
        <w:tc>
          <w:tcPr>
            <w:tcW w:type="dxa" w:w="1411"/>
            <w:vAlign w:val="center"/>
          </w:tcPr>
          <w:p>
            <w:pPr>
              <w:spacing w:after="0"/>
            </w:pPr>
            <w:r/>
            <w:r>
              <w:rPr>
                <w:rFonts w:ascii="Calibri" w:hAnsi="Calibri"/>
                <w:b w:val="0"/>
                <w:sz w:val="16"/>
              </w:rPr>
              <w:t>(-0.1277 to 0.0101)</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62</w:t>
            </w:r>
          </w:p>
        </w:tc>
        <w:tc>
          <w:tcPr>
            <w:tcW w:type="dxa" w:w="1411"/>
            <w:vAlign w:val="center"/>
          </w:tcPr>
          <w:p>
            <w:pPr>
              <w:spacing w:after="0"/>
            </w:pPr>
            <w:r/>
            <w:r>
              <w:rPr>
                <w:rFonts w:ascii="Calibri" w:hAnsi="Calibri"/>
                <w:b w:val="0"/>
                <w:sz w:val="16"/>
              </w:rPr>
              <w:t>0.9032</w:t>
            </w:r>
          </w:p>
        </w:tc>
        <w:tc>
          <w:tcPr>
            <w:tcW w:type="dxa" w:w="1411"/>
            <w:vAlign w:val="center"/>
          </w:tcPr>
          <w:p>
            <w:pPr>
              <w:spacing w:after="0"/>
            </w:pPr>
            <w:r/>
            <w:r>
              <w:rPr>
                <w:rFonts w:ascii="Calibri" w:hAnsi="Calibri"/>
                <w:b w:val="0"/>
                <w:sz w:val="16"/>
              </w:rPr>
              <w:t>0.9739</w:t>
            </w:r>
          </w:p>
        </w:tc>
        <w:tc>
          <w:tcPr>
            <w:tcW w:type="dxa" w:w="1411"/>
            <w:vAlign w:val="center"/>
          </w:tcPr>
          <w:p>
            <w:pPr>
              <w:spacing w:after="0"/>
            </w:pPr>
            <w:r/>
            <w:r>
              <w:rPr>
                <w:rFonts w:ascii="Calibri" w:hAnsi="Calibri"/>
                <w:b w:val="0"/>
                <w:sz w:val="16"/>
              </w:rPr>
              <w:t>(0.9363-0.9970)</w:t>
            </w:r>
          </w:p>
        </w:tc>
        <w:tc>
          <w:tcPr>
            <w:tcW w:type="dxa" w:w="1411"/>
            <w:vAlign w:val="center"/>
          </w:tcPr>
          <w:p>
            <w:pPr>
              <w:spacing w:after="0"/>
            </w:pPr>
            <w:r/>
            <w:r>
              <w:rPr>
                <w:rFonts w:ascii="Calibri" w:hAnsi="Calibri"/>
                <w:b w:val="0"/>
                <w:sz w:val="16"/>
              </w:rPr>
              <w:t>0.5070</w:t>
            </w:r>
          </w:p>
        </w:tc>
        <w:tc>
          <w:tcPr>
            <w:tcW w:type="dxa" w:w="1411"/>
            <w:vAlign w:val="center"/>
          </w:tcPr>
          <w:p>
            <w:pPr>
              <w:spacing w:after="0"/>
            </w:pPr>
            <w:r/>
            <w:r>
              <w:rPr>
                <w:rFonts w:ascii="Calibri" w:hAnsi="Calibri"/>
                <w:b w:val="0"/>
                <w:sz w:val="16"/>
              </w:rPr>
              <w:t>(-0.0511 to 0.0198)</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103</w:t>
            </w:r>
          </w:p>
        </w:tc>
        <w:tc>
          <w:tcPr>
            <w:tcW w:type="dxa" w:w="1411"/>
            <w:vAlign w:val="center"/>
          </w:tcPr>
          <w:p>
            <w:pPr>
              <w:spacing w:after="0"/>
            </w:pPr>
            <w:r/>
            <w:r>
              <w:rPr>
                <w:rFonts w:ascii="Calibri" w:hAnsi="Calibri"/>
                <w:b w:val="0"/>
                <w:sz w:val="16"/>
              </w:rPr>
              <w:t>0.9126</w:t>
            </w:r>
          </w:p>
        </w:tc>
        <w:tc>
          <w:tcPr>
            <w:tcW w:type="dxa" w:w="1411"/>
            <w:vAlign w:val="center"/>
          </w:tcPr>
          <w:p>
            <w:pPr>
              <w:spacing w:after="0"/>
            </w:pPr>
            <w:r/>
            <w:r>
              <w:rPr>
                <w:rFonts w:ascii="Calibri" w:hAnsi="Calibri"/>
                <w:b w:val="0"/>
                <w:sz w:val="16"/>
              </w:rPr>
              <w:t>0.9857</w:t>
            </w:r>
          </w:p>
        </w:tc>
        <w:tc>
          <w:tcPr>
            <w:tcW w:type="dxa" w:w="1411"/>
            <w:vAlign w:val="center"/>
          </w:tcPr>
          <w:p>
            <w:pPr>
              <w:spacing w:after="0"/>
            </w:pPr>
            <w:r/>
            <w:r>
              <w:rPr>
                <w:rFonts w:ascii="Calibri" w:hAnsi="Calibri"/>
                <w:b w:val="0"/>
                <w:sz w:val="16"/>
              </w:rPr>
              <w:t>(0.9635-0.9963)</w:t>
            </w:r>
          </w:p>
        </w:tc>
        <w:tc>
          <w:tcPr>
            <w:tcW w:type="dxa" w:w="1411"/>
            <w:vAlign w:val="center"/>
          </w:tcPr>
          <w:p>
            <w:pPr>
              <w:spacing w:after="0"/>
            </w:pPr>
            <w:r/>
            <w:r>
              <w:rPr>
                <w:rFonts w:ascii="Calibri" w:hAnsi="Calibri"/>
                <w:b w:val="0"/>
                <w:sz w:val="16"/>
              </w:rPr>
              <w:t>0.5070</w:t>
            </w:r>
          </w:p>
        </w:tc>
        <w:tc>
          <w:tcPr>
            <w:tcW w:type="dxa" w:w="1411"/>
            <w:vAlign w:val="center"/>
          </w:tcPr>
          <w:p>
            <w:pPr>
              <w:spacing w:after="0"/>
            </w:pPr>
            <w:r/>
            <w:r>
              <w:rPr>
                <w:rFonts w:ascii="Calibri" w:hAnsi="Calibri"/>
                <w:b w:val="0"/>
                <w:sz w:val="16"/>
              </w:rPr>
              <w:t>(-0.0511 to 0.0198)</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0.9123</w:t>
            </w:r>
          </w:p>
        </w:tc>
        <w:tc>
          <w:tcPr>
            <w:tcW w:type="dxa" w:w="1411"/>
            <w:vAlign w:val="center"/>
          </w:tcPr>
          <w:p>
            <w:pPr>
              <w:spacing w:after="0"/>
            </w:pPr>
            <w:r/>
            <w:r>
              <w:rPr>
                <w:rFonts w:ascii="Calibri" w:hAnsi="Calibri"/>
                <w:b w:val="0"/>
                <w:sz w:val="16"/>
              </w:rPr>
              <w:t>0.9801</w:t>
            </w:r>
          </w:p>
        </w:tc>
        <w:tc>
          <w:tcPr>
            <w:tcW w:type="dxa" w:w="1411"/>
            <w:vAlign w:val="center"/>
          </w:tcPr>
          <w:p>
            <w:pPr>
              <w:spacing w:after="0"/>
            </w:pPr>
            <w:r/>
            <w:r>
              <w:rPr>
                <w:rFonts w:ascii="Calibri" w:hAnsi="Calibri"/>
                <w:b w:val="0"/>
                <w:sz w:val="16"/>
              </w:rPr>
              <w:t>(0.9404-1.0000)</w:t>
            </w:r>
          </w:p>
        </w:tc>
        <w:tc>
          <w:tcPr>
            <w:tcW w:type="dxa" w:w="1411"/>
            <w:vAlign w:val="center"/>
          </w:tcPr>
          <w:p>
            <w:pPr>
              <w:spacing w:after="0"/>
            </w:pPr>
            <w:r/>
            <w:r>
              <w:rPr>
                <w:rFonts w:ascii="Calibri" w:hAnsi="Calibri"/>
                <w:b w:val="0"/>
                <w:sz w:val="16"/>
              </w:rPr>
              <w:t>0.3410</w:t>
            </w:r>
          </w:p>
        </w:tc>
        <w:tc>
          <w:tcPr>
            <w:tcW w:type="dxa" w:w="1411"/>
            <w:vAlign w:val="center"/>
          </w:tcPr>
          <w:p>
            <w:pPr>
              <w:spacing w:after="0"/>
            </w:pPr>
            <w:r/>
            <w:r>
              <w:rPr>
                <w:rFonts w:ascii="Calibri" w:hAnsi="Calibri"/>
                <w:b w:val="0"/>
                <w:sz w:val="16"/>
              </w:rPr>
              <w:t>(-0.0290 to 0.0826)</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0.8596</w:t>
            </w:r>
          </w:p>
        </w:tc>
        <w:tc>
          <w:tcPr>
            <w:tcW w:type="dxa" w:w="1411"/>
            <w:vAlign w:val="center"/>
          </w:tcPr>
          <w:p>
            <w:pPr>
              <w:spacing w:after="0"/>
            </w:pPr>
            <w:r/>
            <w:r>
              <w:rPr>
                <w:rFonts w:ascii="Calibri" w:hAnsi="Calibri"/>
                <w:b w:val="0"/>
                <w:sz w:val="16"/>
              </w:rPr>
              <w:t>0.9559</w:t>
            </w:r>
          </w:p>
        </w:tc>
        <w:tc>
          <w:tcPr>
            <w:tcW w:type="dxa" w:w="1411"/>
            <w:vAlign w:val="center"/>
          </w:tcPr>
          <w:p>
            <w:pPr>
              <w:spacing w:after="0"/>
            </w:pPr>
            <w:r/>
            <w:r>
              <w:rPr>
                <w:rFonts w:ascii="Calibri" w:hAnsi="Calibri"/>
                <w:b w:val="0"/>
                <w:sz w:val="16"/>
              </w:rPr>
              <w:t>(0.8814-0.9882)</w:t>
            </w:r>
          </w:p>
        </w:tc>
        <w:tc>
          <w:tcPr>
            <w:tcW w:type="dxa" w:w="1411"/>
            <w:vAlign w:val="center"/>
          </w:tcPr>
          <w:p>
            <w:pPr>
              <w:spacing w:after="0"/>
            </w:pPr>
            <w:r/>
            <w:r>
              <w:rPr>
                <w:rFonts w:ascii="Calibri" w:hAnsi="Calibri"/>
                <w:b w:val="0"/>
                <w:sz w:val="16"/>
              </w:rPr>
              <w:t>0.3410</w:t>
            </w:r>
          </w:p>
        </w:tc>
        <w:tc>
          <w:tcPr>
            <w:tcW w:type="dxa" w:w="1411"/>
            <w:vAlign w:val="center"/>
          </w:tcPr>
          <w:p>
            <w:pPr>
              <w:spacing w:after="0"/>
            </w:pPr>
            <w:r/>
            <w:r>
              <w:rPr>
                <w:rFonts w:ascii="Calibri" w:hAnsi="Calibri"/>
                <w:b w:val="0"/>
                <w:sz w:val="16"/>
              </w:rPr>
              <w:t>(-0.0290 to 0.0826)</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curves (Figures 5 and 6) compared survival between predicted proliferation classes. Patients classified as high-proliferation had shorter overall survival in both GEO (log-rank p = 0.037) and TCGA (log-rank p = 0.034).</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Cox regression did not find a significant independent effect of proliferation class after adjusting for age, sex, and stage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0.0861</w:t>
            </w:r>
          </w:p>
        </w:tc>
        <w:tc>
          <w:tcPr>
            <w:tcW w:type="dxa" w:w="1976"/>
            <w:vAlign w:val="center"/>
          </w:tcPr>
          <w:p>
            <w:pPr>
              <w:spacing w:after="0"/>
            </w:pPr>
            <w:r/>
            <w:r>
              <w:rPr>
                <w:rFonts w:ascii="Calibri" w:hAnsi="Calibri"/>
                <w:b w:val="0"/>
                <w:sz w:val="16"/>
              </w:rPr>
              <w:t>1.0899</w:t>
            </w:r>
          </w:p>
        </w:tc>
        <w:tc>
          <w:tcPr>
            <w:tcW w:type="dxa" w:w="1976"/>
            <w:vAlign w:val="center"/>
          </w:tcPr>
          <w:p>
            <w:pPr>
              <w:spacing w:after="0"/>
            </w:pPr>
            <w:r/>
            <w:r>
              <w:rPr>
                <w:rFonts w:ascii="Calibri" w:hAnsi="Calibri"/>
                <w:b w:val="0"/>
                <w:sz w:val="16"/>
              </w:rPr>
              <w:t>(0.83 - 1.43)</w:t>
            </w:r>
          </w:p>
        </w:tc>
        <w:tc>
          <w:tcPr>
            <w:tcW w:type="dxa" w:w="1976"/>
            <w:vAlign w:val="center"/>
          </w:tcPr>
          <w:p>
            <w:pPr>
              <w:spacing w:after="0"/>
            </w:pPr>
            <w:r/>
            <w:r>
              <w:rPr>
                <w:rFonts w:ascii="Calibri" w:hAnsi="Calibri"/>
                <w:b w:val="0"/>
                <w:sz w:val="16"/>
              </w:rPr>
              <w:t>5.3408e-01</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0.0243</w:t>
            </w:r>
          </w:p>
        </w:tc>
        <w:tc>
          <w:tcPr>
            <w:tcW w:type="dxa" w:w="1976"/>
            <w:vAlign w:val="center"/>
          </w:tcPr>
          <w:p>
            <w:pPr>
              <w:spacing w:after="0"/>
            </w:pPr>
            <w:r/>
            <w:r>
              <w:rPr>
                <w:rFonts w:ascii="Calibri" w:hAnsi="Calibri"/>
                <w:b w:val="0"/>
                <w:sz w:val="16"/>
              </w:rPr>
              <w:t>1.0246</w:t>
            </w:r>
          </w:p>
        </w:tc>
        <w:tc>
          <w:tcPr>
            <w:tcW w:type="dxa" w:w="1976"/>
            <w:vAlign w:val="center"/>
          </w:tcPr>
          <w:p>
            <w:pPr>
              <w:spacing w:after="0"/>
            </w:pPr>
            <w:r/>
            <w:r>
              <w:rPr>
                <w:rFonts w:ascii="Calibri" w:hAnsi="Calibri"/>
                <w:b w:val="0"/>
                <w:sz w:val="16"/>
              </w:rPr>
              <w:t>(1.01 - 1.04)</w:t>
            </w:r>
          </w:p>
        </w:tc>
        <w:tc>
          <w:tcPr>
            <w:tcW w:type="dxa" w:w="1976"/>
            <w:vAlign w:val="center"/>
          </w:tcPr>
          <w:p>
            <w:pPr>
              <w:spacing w:after="0"/>
            </w:pPr>
            <w:r/>
            <w:r>
              <w:rPr>
                <w:rFonts w:ascii="Calibri" w:hAnsi="Calibri"/>
                <w:b w:val="0"/>
                <w:sz w:val="16"/>
              </w:rPr>
              <w:t>2.2280e-05</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0.0372</w:t>
            </w:r>
          </w:p>
        </w:tc>
        <w:tc>
          <w:tcPr>
            <w:tcW w:type="dxa" w:w="1976"/>
            <w:vAlign w:val="center"/>
          </w:tcPr>
          <w:p>
            <w:pPr>
              <w:spacing w:after="0"/>
            </w:pPr>
            <w:r/>
            <w:r>
              <w:rPr>
                <w:rFonts w:ascii="Calibri" w:hAnsi="Calibri"/>
                <w:b w:val="0"/>
                <w:sz w:val="16"/>
              </w:rPr>
              <w:t>1.0379</w:t>
            </w:r>
          </w:p>
        </w:tc>
        <w:tc>
          <w:tcPr>
            <w:tcW w:type="dxa" w:w="1976"/>
            <w:vAlign w:val="center"/>
          </w:tcPr>
          <w:p>
            <w:pPr>
              <w:spacing w:after="0"/>
            </w:pPr>
            <w:r/>
            <w:r>
              <w:rPr>
                <w:rFonts w:ascii="Calibri" w:hAnsi="Calibri"/>
                <w:b w:val="0"/>
                <w:sz w:val="16"/>
              </w:rPr>
              <w:t>(0.80 - 1.34)</w:t>
            </w:r>
          </w:p>
        </w:tc>
        <w:tc>
          <w:tcPr>
            <w:tcW w:type="dxa" w:w="1976"/>
            <w:vAlign w:val="center"/>
          </w:tcPr>
          <w:p>
            <w:pPr>
              <w:spacing w:after="0"/>
            </w:pPr>
            <w:r/>
            <w:r>
              <w:rPr>
                <w:rFonts w:ascii="Calibri" w:hAnsi="Calibri"/>
                <w:b w:val="0"/>
                <w:sz w:val="16"/>
              </w:rPr>
              <w:t>7.7829e-01</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0.0635</w:t>
            </w:r>
          </w:p>
        </w:tc>
        <w:tc>
          <w:tcPr>
            <w:tcW w:type="dxa" w:w="1976"/>
            <w:vAlign w:val="center"/>
          </w:tcPr>
          <w:p>
            <w:pPr>
              <w:spacing w:after="0"/>
            </w:pPr>
            <w:r/>
            <w:r>
              <w:rPr>
                <w:rFonts w:ascii="Calibri" w:hAnsi="Calibri"/>
                <w:b w:val="0"/>
                <w:sz w:val="16"/>
              </w:rPr>
              <w:t>1.0655</w:t>
            </w:r>
          </w:p>
        </w:tc>
        <w:tc>
          <w:tcPr>
            <w:tcW w:type="dxa" w:w="1976"/>
            <w:vAlign w:val="center"/>
          </w:tcPr>
          <w:p>
            <w:pPr>
              <w:spacing w:after="0"/>
            </w:pPr>
            <w:r/>
            <w:r>
              <w:rPr>
                <w:rFonts w:ascii="Calibri" w:hAnsi="Calibri"/>
                <w:b w:val="0"/>
                <w:sz w:val="16"/>
              </w:rPr>
              <w:t>(0.95 - 1.20)</w:t>
            </w:r>
          </w:p>
        </w:tc>
        <w:tc>
          <w:tcPr>
            <w:tcW w:type="dxa" w:w="1976"/>
            <w:vAlign w:val="center"/>
          </w:tcPr>
          <w:p>
            <w:pPr>
              <w:spacing w:after="0"/>
            </w:pPr>
            <w:r/>
            <w:r>
              <w:rPr>
                <w:rFonts w:ascii="Calibri" w:hAnsi="Calibri"/>
                <w:b w:val="0"/>
                <w:sz w:val="16"/>
              </w:rPr>
              <w:t>2.9381e-01</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Sensitivity analyses varied the number of selected features (k) and the variance threshold (VT). ROC-AUC stayed stable across the tested ranges (Table 8).</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0.9828</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0.9838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0.9835</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0.9825</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0.9863</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The classifiers could predict proliferation status from transcriptomic features even after removing the ten cell-cycle genes that define the target. Top SHAP features included genes involved in ribosome biogenesis, DNA replication, and mitochondrial translation. High-proliferation patients had shorter survival in GEO (log-rank p = 0.037) and TCGA (log-rank p = 0.034). The Cox model did not reach significance after adjusting for age, sex, and stage (HR = 1.09, p = 0.5341). External validation on TCGA and CPTAC gave ROC-AUCs up to 0.973 and 0.949. Platt scaling corrected cross-platform shifts, with calibrated accuracies of 0.921 (TCGA) and 0.868 (CPTAC). On CPTAC (n = 105), Random Forest had a calibrated AUC of 0.9487 and accuracy of 0.8679.</w:t>
      </w:r>
    </w:p>
    <w:p>
      <w:pPr>
        <w:spacing w:before="0" w:after="140" w:line="283" w:lineRule="auto"/>
      </w:pPr>
      <w:r>
        <w:rPr>
          <w:rFonts w:ascii="Calibri" w:hAnsi="Calibri"/>
          <w:color w:val="141F2B"/>
          <w:sz w:val="20"/>
        </w:rPr>
        <w:t>We compared ColoGrowth-ML against published prognostic classifiers for colorectal cancer (Table 9).</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Zeng et al.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0.750 - 0.795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Agesen et al. (ColoGuideEx)</w:t>
            </w:r>
          </w:p>
        </w:tc>
        <w:tc>
          <w:tcPr>
            <w:tcW w:type="dxa" w:w="1411"/>
            <w:vAlign w:val="center"/>
          </w:tcPr>
          <w:p>
            <w:pPr>
              <w:spacing w:after="0"/>
            </w:pPr>
            <w:r/>
            <w:r>
              <w:rPr>
                <w:rFonts w:ascii="Calibri" w:hAnsi="Calibri"/>
                <w:b w:val="0"/>
                <w:sz w:val="16"/>
              </w:rPr>
              <w:t>2012</w:t>
            </w:r>
          </w:p>
        </w:tc>
        <w:tc>
          <w:tcPr>
            <w:tcW w:type="dxa" w:w="1411"/>
            <w:vAlign w:val="center"/>
          </w:tcPr>
          <w:p>
            <w:pPr>
              <w:spacing w:after="0"/>
            </w:pPr>
            <w:r/>
            <w:r>
              <w:rPr>
                <w:rFonts w:ascii="Calibri" w:hAnsi="Calibri"/>
                <w:b w:val="0"/>
                <w:sz w:val="16"/>
              </w:rPr>
              <w:t>Microarray (13-gene)</w:t>
            </w:r>
          </w:p>
        </w:tc>
        <w:tc>
          <w:tcPr>
            <w:tcW w:type="dxa" w:w="1411"/>
            <w:vAlign w:val="center"/>
          </w:tcPr>
          <w:p>
            <w:pPr>
              <w:spacing w:after="0"/>
            </w:pPr>
            <w:r/>
            <w:r>
              <w:rPr>
                <w:rFonts w:ascii="Calibri" w:hAnsi="Calibri"/>
                <w:b w:val="0"/>
                <w:sz w:val="16"/>
              </w:rPr>
              <w:t>153</w:t>
            </w:r>
          </w:p>
        </w:tc>
        <w:tc>
          <w:tcPr>
            <w:tcW w:type="dxa" w:w="1411"/>
            <w:vAlign w:val="center"/>
          </w:tcPr>
          <w:p>
            <w:pPr>
              <w:spacing w:after="0"/>
            </w:pPr>
            <w:r/>
            <w:r>
              <w:rPr>
                <w:rFonts w:ascii="Calibri" w:hAnsi="Calibri"/>
                <w:b w:val="0"/>
                <w:sz w:val="16"/>
              </w:rPr>
              <w:t>~0.710 (AUC)</w:t>
            </w:r>
          </w:p>
        </w:tc>
        <w:tc>
          <w:tcPr>
            <w:tcW w:type="dxa" w:w="1411"/>
            <w:vAlign w:val="center"/>
          </w:tcPr>
          <w:p>
            <w:pPr>
              <w:spacing w:after="0"/>
            </w:pPr>
            <w:r/>
            <w:r>
              <w:rPr>
                <w:rFonts w:ascii="Calibri" w:hAnsi="Calibri"/>
                <w:b w:val="0"/>
                <w:sz w:val="16"/>
              </w:rPr>
              <w:t>No (Uncontrolled signatures)</w:t>
            </w:r>
          </w:p>
        </w:tc>
        <w:tc>
          <w:tcPr>
            <w:tcW w:type="dxa" w:w="1411"/>
            <w:vAlign w:val="center"/>
          </w:tcPr>
          <w:p>
            <w:pPr>
              <w:spacing w:after="0"/>
            </w:pPr>
            <w:r/>
            <w:r>
              <w:rPr>
                <w:rFonts w:ascii="Calibri" w:hAnsi="Calibri"/>
                <w:b w:val="0"/>
                <w:sz w:val="16"/>
              </w:rPr>
              <w:t>No</w:t>
            </w:r>
          </w:p>
        </w:tc>
      </w:tr>
      <w:tr>
        <w:tc>
          <w:tcPr>
            <w:tcW w:type="dxa" w:w="1411"/>
            <w:vAlign w:val="center"/>
          </w:tcPr>
          <w:p>
            <w:pPr>
              <w:spacing w:after="0"/>
            </w:pPr>
            <w:r/>
            <w:r>
              <w:rPr>
                <w:rFonts w:ascii="Calibri" w:hAnsi="Calibri"/>
                <w:b w:val="0"/>
                <w:sz w:val="16"/>
              </w:rPr>
              <w:t>O'Connell et al. (OncoType DX)</w:t>
            </w:r>
          </w:p>
        </w:tc>
        <w:tc>
          <w:tcPr>
            <w:tcW w:type="dxa" w:w="1411"/>
            <w:vAlign w:val="center"/>
          </w:tcPr>
          <w:p>
            <w:pPr>
              <w:spacing w:after="0"/>
            </w:pPr>
            <w:r/>
            <w:r>
              <w:rPr>
                <w:rFonts w:ascii="Calibri" w:hAnsi="Calibri"/>
                <w:b w:val="0"/>
                <w:sz w:val="16"/>
              </w:rPr>
              <w:t>2010</w:t>
            </w:r>
          </w:p>
        </w:tc>
        <w:tc>
          <w:tcPr>
            <w:tcW w:type="dxa" w:w="1411"/>
            <w:vAlign w:val="center"/>
          </w:tcPr>
          <w:p>
            <w:pPr>
              <w:spacing w:after="0"/>
            </w:pPr>
            <w:r/>
            <w:r>
              <w:rPr>
                <w:rFonts w:ascii="Calibri" w:hAnsi="Calibri"/>
                <w:b w:val="0"/>
                <w:sz w:val="16"/>
              </w:rPr>
              <w:t>RT-qPCR (12-gene)</w:t>
            </w:r>
          </w:p>
        </w:tc>
        <w:tc>
          <w:tcPr>
            <w:tcW w:type="dxa" w:w="1411"/>
            <w:vAlign w:val="center"/>
          </w:tcPr>
          <w:p>
            <w:pPr>
              <w:spacing w:after="0"/>
            </w:pPr>
            <w:r/>
            <w:r>
              <w:rPr>
                <w:rFonts w:ascii="Calibri" w:hAnsi="Calibri"/>
                <w:b w:val="0"/>
                <w:sz w:val="16"/>
              </w:rPr>
              <w:t>1436</w:t>
            </w:r>
          </w:p>
        </w:tc>
        <w:tc>
          <w:tcPr>
            <w:tcW w:type="dxa" w:w="1411"/>
            <w:vAlign w:val="center"/>
          </w:tcPr>
          <w:p>
            <w:pPr>
              <w:spacing w:after="0"/>
            </w:pPr>
            <w:r/>
            <w:r>
              <w:rPr>
                <w:rFonts w:ascii="Calibri" w:hAnsi="Calibri"/>
                <w:b w:val="0"/>
                <w:sz w:val="16"/>
              </w:rPr>
              <w:t>~0.680 (AUC)</w:t>
            </w:r>
          </w:p>
        </w:tc>
        <w:tc>
          <w:tcPr>
            <w:tcW w:type="dxa" w:w="1411"/>
            <w:vAlign w:val="center"/>
          </w:tcPr>
          <w:p>
            <w:pPr>
              <w:spacing w:after="0"/>
            </w:pPr>
            <w:r/>
            <w:r>
              <w:rPr>
                <w:rFonts w:ascii="Calibri" w:hAnsi="Calibri"/>
                <w:b w:val="0"/>
                <w:sz w:val="16"/>
              </w:rPr>
              <w:t>No (Clinical recurrence)</w:t>
            </w:r>
          </w:p>
        </w:tc>
        <w:tc>
          <w:tcPr>
            <w:tcW w:type="dxa" w:w="1411"/>
            <w:vAlign w:val="center"/>
          </w:tcPr>
          <w:p>
            <w:pPr>
              <w:spacing w:after="0"/>
            </w:pPr>
            <w:r/>
            <w:r>
              <w:rPr>
                <w:rFonts w:ascii="Calibri" w:hAnsi="Calibri"/>
                <w:b w:val="0"/>
                <w:sz w:val="16"/>
              </w:rPr>
              <w:t>Yes (RT-qPCR alignment)</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 / 105</w:t>
            </w:r>
          </w:p>
        </w:tc>
        <w:tc>
          <w:tcPr>
            <w:tcW w:type="dxa" w:w="1411"/>
            <w:vAlign w:val="center"/>
          </w:tcPr>
          <w:p>
            <w:pPr>
              <w:spacing w:after="0"/>
            </w:pPr>
            <w:r/>
            <w:r>
              <w:rPr>
                <w:rFonts w:ascii="Calibri" w:hAnsi="Calibri"/>
                <w:b w:val="0"/>
                <w:sz w:val="16"/>
              </w:rPr>
              <w:t>0.994 / 0.973 / 0.949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 ×2)</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Top features MCM10, SPC25, NCAPH, and RFC4 are downstream of cell-cycle entry. MCM10 supports DNA replication via CMG helicase complex isomerization (Langston et al., 2017). RFC4 recruits DNA polymerase delta to repair sites (Overmeer et al., 2010). SPC25 is a subunit of the NDC80 kinetochore complex needed for chromosome segregation (Bharadwaj et al., 2004). NCAPH is involved in condensin I assembly for chromosome condensation in proliferating cells (Seipold et al., 2009). Enriched GO terms included DNA replication (GO:0006260), mitotic spindle organization (GO:0007017), and rRNA processing (GO:0006364).</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GEO GSE39582 (n=585) is moderate. CPTAC-COAD (n=105) has only 7 survival events, limiting power.</w:t>
      </w:r>
    </w:p>
    <w:p>
      <w:pPr>
        <w:pStyle w:val="ListBullet"/>
        <w:spacing w:after="60"/>
      </w:pPr>
      <w:r>
        <w:rPr>
          <w:rFonts w:ascii="Calibri" w:hAnsi="Calibri"/>
          <w:color w:val="141F2B"/>
          <w:sz w:val="20"/>
        </w:rPr>
        <w:t>Target binarization at the median is standard but arbitrary. Continuous risk scores might work better.</w:t>
      </w:r>
    </w:p>
    <w:p>
      <w:pPr>
        <w:pStyle w:val="ListBullet"/>
        <w:spacing w:after="60"/>
      </w:pPr>
      <w:r>
        <w:rPr>
          <w:rFonts w:ascii="Calibri" w:hAnsi="Calibri"/>
          <w:color w:val="141F2B"/>
          <w:sz w:val="20"/>
        </w:rPr>
        <w:t>Microarray and RNA-seq have different dynamic ranges, requiring post-hoc calibration to restore accuracy.</w:t>
      </w:r>
    </w:p>
    <w:p>
      <w:pPr>
        <w:pStyle w:val="ListBullet"/>
        <w:spacing w:after="60"/>
      </w:pPr>
      <w:r>
        <w:rPr>
          <w:rFonts w:ascii="Calibri" w:hAnsi="Calibri"/>
          <w:color w:val="141F2B"/>
          <w:sz w:val="20"/>
        </w:rPr>
        <w:t>SHAP scores reflect correlation, not causation.</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validation of the Top-3 Ensemble on new COAD biopsy cohorts.</w:t>
      </w:r>
    </w:p>
    <w:p>
      <w:pPr>
        <w:pStyle w:val="ListBullet"/>
        <w:spacing w:after="60"/>
      </w:pPr>
      <w:r>
        <w:rPr>
          <w:rFonts w:ascii="Calibri" w:hAnsi="Calibri"/>
          <w:color w:val="141F2B"/>
          <w:sz w:val="20"/>
        </w:rPr>
        <w:t>qPCR knockdown of top SHAP genes (RPS3, RPS11) to confirm their role in growth regulation.</w:t>
      </w:r>
    </w:p>
    <w:p>
      <w:pPr>
        <w:pStyle w:val="ListBullet"/>
        <w:spacing w:after="60"/>
      </w:pPr>
      <w:r>
        <w:rPr>
          <w:rFonts w:ascii="Calibri" w:hAnsi="Calibri"/>
          <w:color w:val="141F2B"/>
          <w:sz w:val="20"/>
        </w:rPr>
        <w:t>Integration of CNVs and somatic mutation data into the feature space.</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CPTAC-COAD data is available at: https://cptac-data-portal.georgetown.edu/. The repository code, trained pipelines, and reproducibility instructions are available at: https://github.com/Ronisnotasianfr/ColoGrowth-ML.</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p>
      <w:pPr>
        <w:pStyle w:val="Heading2"/>
        <w:keepNext/>
        <w:spacing w:before="160" w:after="100"/>
      </w:pPr>
    </w:p>
    <w:p>
      <w:pPr>
        <w:spacing w:before="0" w:after="140" w:line="283" w:lineRule="auto"/>
      </w:pPr>
      <w:r>
        <w:rPr>
          <w:rFonts w:ascii="Calibri" w:hAnsi="Calibri"/>
          <w:color w:val="141F2B"/>
          <w:sz w:val="21"/>
        </w:rPr>
        <w:t>Claude (Anthropic) was used as a coding assistant during implementation. All scientific decisions, study design, data interpretation, and conclusions are the author's own. Full prompt logs are available in the project repository.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