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Cross-Platform Colon Cancer Proliferation Classification via Leakage-Free ML</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GEO_PAN</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High AUC is not always high utility. This study reports ROC-AUCs above 0.97 for colon cancer proliferation classification across independent cohorts, but the task itself is easier than typical clinical ML problems: the proliferation median split gives a Cohen's d of 2.3, meaning the two classes barely overlap. Proliferation drives broad transcriptional changes, so thousands of non-target genes correlate with the label. With that caveat stated upfront, I compared four calibration strategies (Platt Scaling, Isotonic Regression, QN+Platt, QN-only) across four model classes. The ten cell-cycle genes defining the target were removed from the feature set to prevent leakage. All preprocessing was wrapped in scikit-learn Pipelines so training and validation never mixed. Classifiers trained on GEO microarray data (GSE39582, n = 585) and validated on TCGA-COAD (RNA-seq, n = 322) and CPTAC-COAD (n = 105) gave ROC-AUCs above 0.97 on external cohorts after quantile normalization and Platt scaling. Tree-based models needed minimal calibration (AUC 0.973, Accuracy 0.915), while Logistic Regression benefited from QN+Platt for cross-platform alignment (AUC 0.972). A drug screen (GDSC2, 295 drugs, 969 cell lines, Bonferroni-corrected Mann-Whitney U) identified Trametinib as the top hit (p = 1.8e-12). All five top hits target the MAPK/ERK pathway. On CPTAC-COAD (n = 105), Random Forest had a calibrated AUC of 0.9487 and accuracy of 0.8679. High proliferation was linked to shorter survival in GEO (log-rank p = 0.037) and TCGA (log-rank p = 0.034). Code: https://github.com/Ronisnotasianfr/ColoGrowth-ML.</w:t>
      </w:r>
    </w:p>
    <w:p>
      <w:pPr>
        <w:pStyle w:val="Heading1"/>
        <w:keepNext/>
        <w:spacing w:before="240" w:after="100"/>
      </w:pPr>
    </w:p>
    <w:p>
      <w:pPr>
        <w:spacing w:before="0" w:after="140" w:line="283" w:lineRule="auto"/>
      </w:pPr>
      <w:r>
        <w:rPr>
          <w:rFonts w:ascii="Calibri" w:hAnsi="Calibri"/>
          <w:color w:val="141F2B"/>
          <w:sz w:val="20"/>
        </w:rPr>
        <w:t>Proliferation rate correlates with survival and chemotherapy response in colorectal cancer. Clinicians estimate it through Ki-67 immunohistochemistry or tumor staging, but both have limitations. Ki-67 scoring has inter-observer variability, and staging is too coarse to capture the transcriptomic consequences of cell-cycle deregulation. The consensus molecular subtypes (CMS1-4) capture some of this heterogeneity (Guinney et al., 2015), and the TCGA network has described the genomic landscape of colon adenocarcinoma in detail (TCGA Network, 2012), but neither framework provides a direct, quantitative proliferation score from gene expression data that generalizes across microarray and RNA-seq platforms.</w:t>
      </w:r>
    </w:p>
    <w:p>
      <w:pPr>
        <w:spacing w:before="0" w:after="140" w:line="283" w:lineRule="auto"/>
      </w:pPr>
      <w:r>
        <w:rPr>
          <w:rFonts w:ascii="Calibri" w:hAnsi="Calibri"/>
          <w:color w:val="141F2B"/>
          <w:sz w:val="20"/>
        </w:rPr>
        <w:t>I trained four classifiers on GEO microarray data (GSE39582, Marisa et al., 2013) to predict high versus low proliferation from gene expression plus clinical covariates. The target was defined as the mean z-score of ten cell-cycle genes drawn from the Whitfield et al. (2002) cell-cycle catalogue. Those ten genes were removed from the feature set before any splitting, so the models had to learn broader transcriptional patterns associated with proliferation rather than reconstructing the label from the same genes. External validation was done on TCGA-COAD RNA-seq (n = 322) and CPTAC-COAD (n = 105), two independent cohorts on a different sequencing platform. The goal was to see whether a leakage-free classifier could generalize across platforms and whether the proliferation signal carried prognostic information beyond established clinical variables.</w:t>
      </w:r>
    </w:p>
    <w:p>
      <w:r>
        <w:br w:type="page"/>
      </w:r>
    </w:p>
    <w:p>
      <w:pPr>
        <w:pStyle w:val="Heading1"/>
        <w:keepNext/>
        <w:spacing w:before="240" w:after="100"/>
      </w:pPr>
    </w:p>
    <w:p>
      <w:pPr>
        <w:spacing w:before="0" w:after="140" w:line="283" w:lineRule="auto"/>
      </w:pPr>
      <w:r>
        <w:rPr>
          <w:rFonts w:ascii="Calibri" w:hAnsi="Calibri"/>
          <w:color w:val="141F2B"/>
          <w:sz w:val="20"/>
        </w:rPr>
        <w:t>The GEO_PAN dataset has 823 samples and 22182 features after removing the ten signature genes. Clinical covariates are age, sex, and stage. Target class balance: 411 low, 412 high. I used an 80/20 stratified split: 658 training, 165 holdout.</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geo_pan_X_features / y_target</w:t>
            </w:r>
          </w:p>
        </w:tc>
        <w:tc>
          <w:tcPr>
            <w:tcW w:type="dxa" w:w="2469"/>
            <w:vAlign w:val="center"/>
          </w:tcPr>
          <w:p>
            <w:pPr>
              <w:spacing w:after="0"/>
            </w:pPr>
            <w:r/>
            <w:r>
              <w:rPr>
                <w:rFonts w:ascii="Calibri" w:hAnsi="Calibri"/>
                <w:b w:val="0"/>
                <w:sz w:val="17"/>
              </w:rPr>
              <w:t>823</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411 low, 412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658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165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I used a multi-cohort design. GEO microarray data was split into training and holdout for internal evaluation. TCGA and CPTAC were held back entirely during training for external validation. TCGA-COAD (n = 322) was split in half: one half for Platt scaling calibration, the other for evaluation. Platt scaling fits a logistic regression on the raw model probabilities to correct the threshold shift between microarray and RNA-seq platforms. Different platforms have different dynamic ranges, so the model's confidence scores can shift even when the ranking stays correct. Platt scaling fixes the threshold without changing the ranking. CPTAC-COAD (n = 105) was split the same way for a second external check. Feature selection, scaling, and model training used only GEO data.</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GEO Cohort (n=585):</w:t>
        <w:br/>
        <w:t xml:space="preserve">    Training Pool (80%, n=468, 5-fold CV)</w:t>
        <w:br/>
        <w:t xml:space="preserve">    Holdout (20%, n=117, final evaluation)</w:t>
        <w:br/>
        <w:br/>
        <w:t>External Validation (RNA-seq platforms):</w:t>
        <w:br/>
        <w:t xml:space="preserve">    TCGA-COAD (n=322):  50% Platt calibration + 50% evaluation</w:t>
        <w:br/>
        <w:t xml:space="preserve">    CPTAC-COAD (n=105): 50% Platt calibration + 50% evaluation</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I chose these four models for different reasons. Logistic Regression lets me look at the coefficients and see which genes drive the prediction. Random Forest and XGBoost can pick up non-linear interactions. I added the MLP to test whether deep learning helps on a dataset with only 585 samples, though I suspected it would not. Each model went into a Pipeline: standardize, filter low-variance genes, select the 500 best by ANOVA F-score, then classify. I learned why nested CV matters the hard way. My first pass used single-shot feature selection on the whole training pool before cross-validation. The CV scores looked great. The holdout performance was noticeably worse. The feature selection had peeked at all the data, leaking information across folds. Wrapping everything inside a Pipeline and using nested five-fold CV fixed this. The inner fold selects features on 4/5 of the data, and the outer fold tests on the held-out 1/5. It is slower but the numbers are honest.</w:t>
      </w:r>
    </w:p>
    <w:p>
      <w:pPr>
        <w:spacing w:before="0" w:after="140" w:line="283" w:lineRule="auto"/>
      </w:pPr>
      <w:r>
        <w:rPr>
          <w:rFonts w:ascii="Calibri" w:hAnsi="Calibri"/>
          <w:color w:val="141F2B"/>
          <w:sz w:val="20"/>
        </w:rPr>
        <w:t>I defined the target as the mean z-score of ten cell-cycle genes: MKI67, PCNA, TOP2A, MCM2, MCM6, AURKA, BUB1, CCNB1, CDK1, and BIRC5. These ten genes were removed from the feature matrix before any splitting. Leaving them in would let the classifier cheat by reconstructing the label from the same genes used to define it. I also wrapped all preprocessing inside scikit-learn Pipelines so that scaling, variance filtering, and feature selection refit from scratch inside each cross-validation fold. This prevents the model from seeing information from the test fold during training.</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I tested four models with nested five-fold CV on the GEO training pool (n = 468) after removing the ten signature genes. Mean CV ROC-AUCs were similar across models: Logistic Regression 0.9811 (+/- 0.0041), Random Forest 0.9788 (+/- 0.0047), XGBoost 0.9783 (+/- 0.0060), and MLP 0.9781 (+/- 0.0048). A simple Logistic Regression without feature selection gave a holdout accuracy of 0.9697, compared to 0.4970 for a majority-class baseline.</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0.9811 (+/- 0.0041)</w:t>
            </w:r>
          </w:p>
        </w:tc>
        <w:tc>
          <w:tcPr>
            <w:tcW w:type="dxa" w:w="2469"/>
            <w:vAlign w:val="center"/>
          </w:tcPr>
          <w:p>
            <w:pPr>
              <w:spacing w:after="0"/>
            </w:pPr>
            <w:r/>
            <w:r>
              <w:rPr>
                <w:rFonts w:ascii="Calibri" w:hAnsi="Calibri"/>
                <w:b w:val="0"/>
                <w:sz w:val="16"/>
              </w:rPr>
              <w:t>0.9030 (95% CI: 0.8545-0.9455)</w:t>
            </w:r>
          </w:p>
        </w:tc>
        <w:tc>
          <w:tcPr>
            <w:tcW w:type="dxa" w:w="2469"/>
            <w:vAlign w:val="center"/>
          </w:tcPr>
          <w:p>
            <w:pPr>
              <w:spacing w:after="0"/>
            </w:pPr>
            <w:r/>
            <w:r>
              <w:rPr>
                <w:rFonts w:ascii="Calibri" w:hAnsi="Calibri"/>
                <w:b w:val="0"/>
                <w:sz w:val="16"/>
              </w:rPr>
              <w:t>0.9850 (95% CI: 0.9713-0.9953)</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0.9788 (+/- 0.0047)</w:t>
            </w:r>
          </w:p>
        </w:tc>
        <w:tc>
          <w:tcPr>
            <w:tcW w:type="dxa" w:w="2469"/>
            <w:vAlign w:val="center"/>
          </w:tcPr>
          <w:p>
            <w:pPr>
              <w:spacing w:after="0"/>
            </w:pPr>
            <w:r/>
            <w:r>
              <w:rPr>
                <w:rFonts w:ascii="Calibri" w:hAnsi="Calibri"/>
                <w:b w:val="0"/>
                <w:sz w:val="16"/>
              </w:rPr>
              <w:t>0.9273 (95% CI: 0.8848-0.9636)</w:t>
            </w:r>
          </w:p>
        </w:tc>
        <w:tc>
          <w:tcPr>
            <w:tcW w:type="dxa" w:w="2469"/>
            <w:vAlign w:val="center"/>
          </w:tcPr>
          <w:p>
            <w:pPr>
              <w:spacing w:after="0"/>
            </w:pPr>
            <w:r/>
            <w:r>
              <w:rPr>
                <w:rFonts w:ascii="Calibri" w:hAnsi="Calibri"/>
                <w:b w:val="0"/>
                <w:sz w:val="16"/>
              </w:rPr>
              <w:t>0.9871 (95% CI: 0.9748-0.9959)</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0.9783 (+/- 0.0060)</w:t>
            </w:r>
          </w:p>
        </w:tc>
        <w:tc>
          <w:tcPr>
            <w:tcW w:type="dxa" w:w="2469"/>
            <w:vAlign w:val="center"/>
          </w:tcPr>
          <w:p>
            <w:pPr>
              <w:spacing w:after="0"/>
            </w:pPr>
            <w:r/>
            <w:r>
              <w:rPr>
                <w:rFonts w:ascii="Calibri" w:hAnsi="Calibri"/>
                <w:b w:val="0"/>
                <w:sz w:val="16"/>
              </w:rPr>
              <w:t>0.9273 (95% CI: 0.8848-0.9697)</w:t>
            </w:r>
          </w:p>
        </w:tc>
        <w:tc>
          <w:tcPr>
            <w:tcW w:type="dxa" w:w="2469"/>
            <w:vAlign w:val="center"/>
          </w:tcPr>
          <w:p>
            <w:pPr>
              <w:spacing w:after="0"/>
            </w:pPr>
            <w:r/>
            <w:r>
              <w:rPr>
                <w:rFonts w:ascii="Calibri" w:hAnsi="Calibri"/>
                <w:b w:val="0"/>
                <w:sz w:val="16"/>
              </w:rPr>
              <w:t>0.9910 (95% CI: 0.9813-0.9978)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0.9781 (+/- 0.0048)</w:t>
            </w:r>
          </w:p>
        </w:tc>
        <w:tc>
          <w:tcPr>
            <w:tcW w:type="dxa" w:w="2469"/>
            <w:vAlign w:val="center"/>
          </w:tcPr>
          <w:p>
            <w:pPr>
              <w:spacing w:after="0"/>
            </w:pPr>
            <w:r/>
            <w:r>
              <w:rPr>
                <w:rFonts w:ascii="Calibri" w:hAnsi="Calibri"/>
                <w:b w:val="0"/>
                <w:sz w:val="16"/>
              </w:rPr>
              <w:t>0.8970 (95% CI: 0.8485-0.9455)</w:t>
            </w:r>
          </w:p>
        </w:tc>
        <w:tc>
          <w:tcPr>
            <w:tcW w:type="dxa" w:w="2469"/>
            <w:vAlign w:val="center"/>
          </w:tcPr>
          <w:p>
            <w:pPr>
              <w:spacing w:after="0"/>
            </w:pPr>
            <w:r/>
            <w:r>
              <w:rPr>
                <w:rFonts w:ascii="Calibri" w:hAnsi="Calibri"/>
                <w:b w:val="0"/>
                <w:sz w:val="16"/>
              </w:rPr>
              <w:t>0.9812 (95% CI: 0.9647-0.9937)</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holdout set (n = 117), XGBoost had an ROC-AUC of 0.9910 (95% CI: 0.9813-0.9978) and accuracy of 0.9273. On holdout: Logistic Regression (Brier=0.0513, ECE=0.0722), Random Forest (Brier=0.0517, ECE=0.0492), XGBoost (Brier=0.0461, ECE=0.0481), Neural Network (MLP) (Brier=0.0566, ECE=0.0625). Bootstrap comparisons showed differences for XGBoost vs Neural Network (MLP) (p=0.0369). External validation on TCGA (n = 322) gave a Random Forest calibrated AUC of 0.973 and accuracy of 0.921, with XGBoost close behind at 0.968 and 0.903. On CPTAC-COAD (n = 105, a separate cohort), Random Forest gave a calibrated AUC of 0.9487 and accuracy of 0.8679. Full results: Logistic Regression (AUC=0.8832, Acc=0.7925); Random Forest (AUC=0.9487, Acc=0.8679); XGBoost (AUC=0.9231, Acc=0.8302); Neural Network (MLP) (AUC=0.9402, Acc=0.8302).</w:t>
      </w:r>
    </w:p>
    <w:p>
      <w:r>
        <w:br w:type="page"/>
      </w:r>
    </w:p>
    <w:p>
      <w:pPr>
        <w:pStyle w:val="Heading1"/>
        <w:keepNext/>
        <w:spacing w:before="240" w:after="100"/>
      </w:pPr>
    </w:p>
    <w:p>
      <w:pPr>
        <w:spacing w:before="0" w:after="140" w:line="283" w:lineRule="auto"/>
      </w:pPr>
      <w:r>
        <w:rPr>
          <w:rFonts w:ascii="Calibri" w:hAnsi="Calibri"/>
          <w:color w:val="141F2B"/>
          <w:sz w:val="20"/>
        </w:rPr>
        <w:t>SHAP values were computed from the pipeline-transformed features. Since the ten signature genes were removed, the top features capture correlates of proliferation rather than the target itself. The highest-ranked ANOVA features are listed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886.276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849.649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836.489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827.047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792.038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FANCI</w:t>
            </w:r>
          </w:p>
        </w:tc>
        <w:tc>
          <w:tcPr>
            <w:tcW w:type="dxa" w:w="2469"/>
            <w:vAlign w:val="center"/>
          </w:tcPr>
          <w:p>
            <w:pPr>
              <w:spacing w:after="0"/>
            </w:pPr>
            <w:r/>
            <w:r>
              <w:rPr>
                <w:rFonts w:ascii="Calibri" w:hAnsi="Calibri"/>
                <w:b w:val="0"/>
                <w:sz w:val="16"/>
              </w:rPr>
              <w:t>790.832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782.427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NCAPD3</w:t>
            </w:r>
          </w:p>
        </w:tc>
        <w:tc>
          <w:tcPr>
            <w:tcW w:type="dxa" w:w="2469"/>
            <w:vAlign w:val="center"/>
          </w:tcPr>
          <w:p>
            <w:pPr>
              <w:spacing w:after="0"/>
            </w:pPr>
            <w:r/>
            <w:r>
              <w:rPr>
                <w:rFonts w:ascii="Calibri" w:hAnsi="Calibri"/>
                <w:b w:val="0"/>
                <w:sz w:val="16"/>
              </w:rPr>
              <w:t>776.616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769.846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AUNIP</w:t>
            </w:r>
          </w:p>
        </w:tc>
        <w:tc>
          <w:tcPr>
            <w:tcW w:type="dxa" w:w="2469"/>
            <w:vAlign w:val="center"/>
          </w:tcPr>
          <w:p>
            <w:pPr>
              <w:spacing w:after="0"/>
            </w:pPr>
            <w:r/>
            <w:r>
              <w:rPr>
                <w:rFonts w:ascii="Calibri" w:hAnsi="Calibri"/>
                <w:b w:val="0"/>
                <w:sz w:val="16"/>
              </w:rPr>
              <w:t>759.041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PLK4</w:t>
            </w:r>
          </w:p>
        </w:tc>
        <w:tc>
          <w:tcPr>
            <w:tcW w:type="dxa" w:w="2469"/>
            <w:vAlign w:val="center"/>
          </w:tcPr>
          <w:p>
            <w:pPr>
              <w:spacing w:after="0"/>
            </w:pPr>
            <w:r/>
            <w:r>
              <w:rPr>
                <w:rFonts w:ascii="Calibri" w:hAnsi="Calibri"/>
                <w:b w:val="0"/>
                <w:sz w:val="16"/>
              </w:rPr>
              <w:t>751.620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750.786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POLE2</w:t>
            </w:r>
          </w:p>
        </w:tc>
        <w:tc>
          <w:tcPr>
            <w:tcW w:type="dxa" w:w="2469"/>
            <w:vAlign w:val="center"/>
          </w:tcPr>
          <w:p>
            <w:pPr>
              <w:spacing w:after="0"/>
            </w:pPr>
            <w:r/>
            <w:r>
              <w:rPr>
                <w:rFonts w:ascii="Calibri" w:hAnsi="Calibri"/>
                <w:b w:val="0"/>
                <w:sz w:val="16"/>
              </w:rPr>
              <w:t>744.791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CCNF</w:t>
            </w:r>
          </w:p>
        </w:tc>
        <w:tc>
          <w:tcPr>
            <w:tcW w:type="dxa" w:w="2469"/>
            <w:vAlign w:val="center"/>
          </w:tcPr>
          <w:p>
            <w:pPr>
              <w:spacing w:after="0"/>
            </w:pPr>
            <w:r/>
            <w:r>
              <w:rPr>
                <w:rFonts w:ascii="Calibri" w:hAnsi="Calibri"/>
                <w:b w:val="0"/>
                <w:sz w:val="16"/>
              </w:rPr>
              <w:t>737.666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OIP5</w:t>
            </w:r>
          </w:p>
        </w:tc>
        <w:tc>
          <w:tcPr>
            <w:tcW w:type="dxa" w:w="2469"/>
            <w:vAlign w:val="center"/>
          </w:tcPr>
          <w:p>
            <w:pPr>
              <w:spacing w:after="0"/>
            </w:pPr>
            <w:r/>
            <w:r>
              <w:rPr>
                <w:rFonts w:ascii="Calibri" w:hAnsi="Calibri"/>
                <w:b w:val="0"/>
                <w:sz w:val="16"/>
              </w:rPr>
              <w:t>734.686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NEMP1</w:t>
            </w:r>
          </w:p>
        </w:tc>
        <w:tc>
          <w:tcPr>
            <w:tcW w:type="dxa" w:w="2469"/>
            <w:vAlign w:val="center"/>
          </w:tcPr>
          <w:p>
            <w:pPr>
              <w:spacing w:after="0"/>
            </w:pPr>
            <w:r/>
            <w:r>
              <w:rPr>
                <w:rFonts w:ascii="Calibri" w:hAnsi="Calibri"/>
                <w:b w:val="0"/>
                <w:sz w:val="16"/>
              </w:rPr>
              <w:t>733.817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731.574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CHEK2</w:t>
            </w:r>
          </w:p>
        </w:tc>
        <w:tc>
          <w:tcPr>
            <w:tcW w:type="dxa" w:w="2469"/>
            <w:vAlign w:val="center"/>
          </w:tcPr>
          <w:p>
            <w:pPr>
              <w:spacing w:after="0"/>
            </w:pPr>
            <w:r/>
            <w:r>
              <w:rPr>
                <w:rFonts w:ascii="Calibri" w:hAnsi="Calibri"/>
                <w:b w:val="0"/>
                <w:sz w:val="16"/>
              </w:rPr>
              <w:t>729.750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NEIL3</w:t>
            </w:r>
          </w:p>
        </w:tc>
        <w:tc>
          <w:tcPr>
            <w:tcW w:type="dxa" w:w="2469"/>
            <w:vAlign w:val="center"/>
          </w:tcPr>
          <w:p>
            <w:pPr>
              <w:spacing w:after="0"/>
            </w:pPr>
            <w:r/>
            <w:r>
              <w:rPr>
                <w:rFonts w:ascii="Calibri" w:hAnsi="Calibri"/>
                <w:b w:val="0"/>
                <w:sz w:val="16"/>
              </w:rPr>
              <w:t>728.787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NUSAP1</w:t>
            </w:r>
          </w:p>
        </w:tc>
        <w:tc>
          <w:tcPr>
            <w:tcW w:type="dxa" w:w="2469"/>
            <w:vAlign w:val="center"/>
          </w:tcPr>
          <w:p>
            <w:pPr>
              <w:spacing w:after="0"/>
            </w:pPr>
            <w:r/>
            <w:r>
              <w:rPr>
                <w:rFonts w:ascii="Calibri" w:hAnsi="Calibri"/>
                <w:b w:val="0"/>
                <w:sz w:val="16"/>
              </w:rPr>
              <w:t>728.209</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The top 30 SHAP features were tested against KEGG and GO databases. Enriched pathways fell downstream of cell-cycle regulation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Decision Curve Analysis (Figure 4) showed that all four models gave higher net benefit than treating all patients or treating none.</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0.8795</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0.9241</w:t>
            </w:r>
          </w:p>
        </w:tc>
        <w:tc>
          <w:tcPr>
            <w:tcW w:type="dxa" w:w="1411"/>
            <w:vAlign w:val="center"/>
          </w:tcPr>
          <w:p>
            <w:pPr>
              <w:spacing w:after="0"/>
            </w:pPr>
            <w:r/>
            <w:r>
              <w:rPr>
                <w:rFonts w:ascii="Calibri" w:hAnsi="Calibri"/>
                <w:b w:val="0"/>
                <w:sz w:val="16"/>
              </w:rPr>
              <w:t>0.8837</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0.8675</w:t>
            </w:r>
          </w:p>
        </w:tc>
        <w:tc>
          <w:tcPr>
            <w:tcW w:type="dxa" w:w="1411"/>
            <w:vAlign w:val="center"/>
          </w:tcPr>
          <w:p>
            <w:pPr>
              <w:spacing w:after="0"/>
            </w:pPr>
            <w:r/>
            <w:r>
              <w:rPr>
                <w:rFonts w:ascii="Calibri" w:hAnsi="Calibri"/>
                <w:b w:val="0"/>
                <w:sz w:val="16"/>
              </w:rPr>
              <w:t>0.9634</w:t>
            </w:r>
          </w:p>
        </w:tc>
        <w:tc>
          <w:tcPr>
            <w:tcW w:type="dxa" w:w="1411"/>
            <w:vAlign w:val="center"/>
          </w:tcPr>
          <w:p>
            <w:pPr>
              <w:spacing w:after="0"/>
            </w:pPr>
            <w:r/>
            <w:r>
              <w:rPr>
                <w:rFonts w:ascii="Calibri" w:hAnsi="Calibri"/>
                <w:b w:val="0"/>
                <w:sz w:val="16"/>
              </w:rPr>
              <w:t>0.9600</w:t>
            </w:r>
          </w:p>
        </w:tc>
        <w:tc>
          <w:tcPr>
            <w:tcW w:type="dxa" w:w="1411"/>
            <w:vAlign w:val="center"/>
          </w:tcPr>
          <w:p>
            <w:pPr>
              <w:spacing w:after="0"/>
            </w:pPr>
            <w:r/>
            <w:r>
              <w:rPr>
                <w:rFonts w:ascii="Calibri" w:hAnsi="Calibri"/>
                <w:b w:val="0"/>
                <w:sz w:val="16"/>
              </w:rPr>
              <w:t>0.8778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0.9518</w:t>
            </w:r>
          </w:p>
        </w:tc>
        <w:tc>
          <w:tcPr>
            <w:tcW w:type="dxa" w:w="1411"/>
            <w:vAlign w:val="center"/>
          </w:tcPr>
          <w:p>
            <w:pPr>
              <w:spacing w:after="0"/>
            </w:pPr>
            <w:r/>
            <w:r>
              <w:rPr>
                <w:rFonts w:ascii="Calibri" w:hAnsi="Calibri"/>
                <w:b w:val="0"/>
                <w:sz w:val="16"/>
              </w:rPr>
              <w:t>0.9024</w:t>
            </w:r>
          </w:p>
        </w:tc>
        <w:tc>
          <w:tcPr>
            <w:tcW w:type="dxa" w:w="1411"/>
            <w:vAlign w:val="center"/>
          </w:tcPr>
          <w:p>
            <w:pPr>
              <w:spacing w:after="0"/>
            </w:pPr>
            <w:r/>
            <w:r>
              <w:rPr>
                <w:rFonts w:ascii="Calibri" w:hAnsi="Calibri"/>
                <w:b w:val="0"/>
                <w:sz w:val="16"/>
              </w:rPr>
              <w:t>0.9080</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0.9512</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0.8966</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0.9398</w:t>
            </w:r>
          </w:p>
        </w:tc>
        <w:tc>
          <w:tcPr>
            <w:tcW w:type="dxa" w:w="1411"/>
            <w:vAlign w:val="center"/>
          </w:tcPr>
          <w:p>
            <w:pPr>
              <w:spacing w:after="0"/>
            </w:pPr>
            <w:r/>
            <w:r>
              <w:rPr>
                <w:rFonts w:ascii="Calibri" w:hAnsi="Calibri"/>
                <w:b w:val="0"/>
                <w:sz w:val="16"/>
              </w:rPr>
              <w:t>0.9146</w:t>
            </w:r>
          </w:p>
        </w:tc>
        <w:tc>
          <w:tcPr>
            <w:tcW w:type="dxa" w:w="1411"/>
            <w:vAlign w:val="center"/>
          </w:tcPr>
          <w:p>
            <w:pPr>
              <w:spacing w:after="0"/>
            </w:pPr>
            <w:r/>
            <w:r>
              <w:rPr>
                <w:rFonts w:ascii="Calibri" w:hAnsi="Calibri"/>
                <w:b w:val="0"/>
                <w:sz w:val="16"/>
              </w:rPr>
              <w:t>0.9176</w:t>
            </w:r>
          </w:p>
        </w:tc>
        <w:tc>
          <w:tcPr>
            <w:tcW w:type="dxa" w:w="1411"/>
            <w:vAlign w:val="center"/>
          </w:tcPr>
          <w:p>
            <w:pPr>
              <w:spacing w:after="0"/>
            </w:pPr>
            <w:r/>
            <w:r>
              <w:rPr>
                <w:rFonts w:ascii="Calibri" w:hAnsi="Calibri"/>
                <w:b w:val="0"/>
                <w:sz w:val="16"/>
              </w:rPr>
              <w:t>0.9375</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0.8659</w:t>
            </w:r>
          </w:p>
        </w:tc>
        <w:tc>
          <w:tcPr>
            <w:tcW w:type="dxa" w:w="1411"/>
            <w:vAlign w:val="center"/>
          </w:tcPr>
          <w:p>
            <w:pPr>
              <w:spacing w:after="0"/>
            </w:pPr>
            <w:r/>
            <w:r>
              <w:rPr>
                <w:rFonts w:ascii="Calibri" w:hAnsi="Calibri"/>
                <w:b w:val="0"/>
                <w:sz w:val="16"/>
              </w:rPr>
              <w:t>0.8750</w:t>
            </w:r>
          </w:p>
        </w:tc>
        <w:tc>
          <w:tcPr>
            <w:tcW w:type="dxa" w:w="1411"/>
            <w:vAlign w:val="center"/>
          </w:tcPr>
          <w:p>
            <w:pPr>
              <w:spacing w:after="0"/>
            </w:pPr>
            <w:r/>
            <w:r>
              <w:rPr>
                <w:rFonts w:ascii="Calibri" w:hAnsi="Calibri"/>
                <w:b w:val="0"/>
                <w:sz w:val="16"/>
              </w:rPr>
              <w:t>0.9221</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0.8810</w:t>
            </w:r>
          </w:p>
        </w:tc>
        <w:tc>
          <w:tcPr>
            <w:tcW w:type="dxa" w:w="1411"/>
            <w:vAlign w:val="center"/>
          </w:tcPr>
          <w:p>
            <w:pPr>
              <w:spacing w:after="0"/>
            </w:pPr>
            <w:r/>
            <w:r>
              <w:rPr>
                <w:rFonts w:ascii="Calibri" w:hAnsi="Calibri"/>
                <w:b w:val="0"/>
                <w:sz w:val="16"/>
              </w:rPr>
              <w:t>0.8889</w:t>
            </w:r>
          </w:p>
        </w:tc>
        <w:tc>
          <w:tcPr>
            <w:tcW w:type="dxa" w:w="1411"/>
            <w:vAlign w:val="center"/>
          </w:tcPr>
          <w:p>
            <w:pPr>
              <w:spacing w:after="0"/>
            </w:pPr>
            <w:r/>
            <w:r>
              <w:rPr>
                <w:rFonts w:ascii="Calibri" w:hAnsi="Calibri"/>
                <w:b w:val="0"/>
                <w:sz w:val="16"/>
              </w:rPr>
              <w:t>2.8</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Subgroup analyses checked for performance differences across age, sex, and stage. Accuracy and ROC-AUC were similar across groups. Bootstrap interaction tests showed no significant differences (p &gt; 0.05). Results are in Table 6.</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165</w:t>
            </w:r>
          </w:p>
        </w:tc>
        <w:tc>
          <w:tcPr>
            <w:tcW w:type="dxa" w:w="1411"/>
            <w:vAlign w:val="center"/>
          </w:tcPr>
          <w:p>
            <w:pPr>
              <w:spacing w:after="0"/>
            </w:pPr>
            <w:r/>
            <w:r>
              <w:rPr>
                <w:rFonts w:ascii="Calibri" w:hAnsi="Calibri"/>
                <w:b w:val="0"/>
                <w:sz w:val="16"/>
              </w:rPr>
              <w:t>0.9030</w:t>
            </w:r>
          </w:p>
        </w:tc>
        <w:tc>
          <w:tcPr>
            <w:tcW w:type="dxa" w:w="1411"/>
            <w:vAlign w:val="center"/>
          </w:tcPr>
          <w:p>
            <w:pPr>
              <w:spacing w:after="0"/>
            </w:pPr>
            <w:r/>
            <w:r>
              <w:rPr>
                <w:rFonts w:ascii="Calibri" w:hAnsi="Calibri"/>
                <w:b w:val="0"/>
                <w:sz w:val="16"/>
              </w:rPr>
              <w:t>0.9850</w:t>
            </w:r>
          </w:p>
        </w:tc>
        <w:tc>
          <w:tcPr>
            <w:tcW w:type="dxa" w:w="1411"/>
            <w:vAlign w:val="center"/>
          </w:tcPr>
          <w:p>
            <w:pPr>
              <w:spacing w:after="0"/>
            </w:pPr>
            <w:r/>
            <w:r>
              <w:rPr>
                <w:rFonts w:ascii="Calibri" w:hAnsi="Calibri"/>
                <w:b w:val="0"/>
                <w:sz w:val="16"/>
              </w:rPr>
              <w:t>(0.9711-0.9948)</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39</w:t>
            </w:r>
          </w:p>
        </w:tc>
        <w:tc>
          <w:tcPr>
            <w:tcW w:type="dxa" w:w="1411"/>
            <w:vAlign w:val="center"/>
          </w:tcPr>
          <w:p>
            <w:pPr>
              <w:spacing w:after="0"/>
            </w:pPr>
            <w:r/>
            <w:r>
              <w:rPr>
                <w:rFonts w:ascii="Calibri" w:hAnsi="Calibri"/>
                <w:b w:val="0"/>
                <w:sz w:val="16"/>
              </w:rPr>
              <w:t>0.8205</w:t>
            </w:r>
          </w:p>
        </w:tc>
        <w:tc>
          <w:tcPr>
            <w:tcW w:type="dxa" w:w="1411"/>
            <w:vAlign w:val="center"/>
          </w:tcPr>
          <w:p>
            <w:pPr>
              <w:spacing w:after="0"/>
            </w:pPr>
            <w:r/>
            <w:r>
              <w:rPr>
                <w:rFonts w:ascii="Calibri" w:hAnsi="Calibri"/>
                <w:b w:val="0"/>
                <w:sz w:val="16"/>
              </w:rPr>
              <w:t>0.9511</w:t>
            </w:r>
          </w:p>
        </w:tc>
        <w:tc>
          <w:tcPr>
            <w:tcW w:type="dxa" w:w="1411"/>
            <w:vAlign w:val="center"/>
          </w:tcPr>
          <w:p>
            <w:pPr>
              <w:spacing w:after="0"/>
            </w:pPr>
            <w:r/>
            <w:r>
              <w:rPr>
                <w:rFonts w:ascii="Calibri" w:hAnsi="Calibri"/>
                <w:b w:val="0"/>
                <w:sz w:val="16"/>
              </w:rPr>
              <w:t>(0.8757-1.0000)</w:t>
            </w:r>
          </w:p>
        </w:tc>
        <w:tc>
          <w:tcPr>
            <w:tcW w:type="dxa" w:w="1411"/>
            <w:vAlign w:val="center"/>
          </w:tcPr>
          <w:p>
            <w:pPr>
              <w:spacing w:after="0"/>
            </w:pPr>
            <w:r/>
            <w:r>
              <w:rPr>
                <w:rFonts w:ascii="Calibri" w:hAnsi="Calibri"/>
                <w:b w:val="0"/>
                <w:sz w:val="16"/>
              </w:rPr>
              <w:t>0.2050</w:t>
            </w:r>
          </w:p>
        </w:tc>
        <w:tc>
          <w:tcPr>
            <w:tcW w:type="dxa" w:w="1411"/>
            <w:vAlign w:val="center"/>
          </w:tcPr>
          <w:p>
            <w:pPr>
              <w:spacing w:after="0"/>
            </w:pPr>
            <w:r/>
            <w:r>
              <w:rPr>
                <w:rFonts w:ascii="Calibri" w:hAnsi="Calibri"/>
                <w:b w:val="0"/>
                <w:sz w:val="16"/>
              </w:rPr>
              <w:t>(-0.1205 to 0.0096)</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126</w:t>
            </w:r>
          </w:p>
        </w:tc>
        <w:tc>
          <w:tcPr>
            <w:tcW w:type="dxa" w:w="1411"/>
            <w:vAlign w:val="center"/>
          </w:tcPr>
          <w:p>
            <w:pPr>
              <w:spacing w:after="0"/>
            </w:pPr>
            <w:r/>
            <w:r>
              <w:rPr>
                <w:rFonts w:ascii="Calibri" w:hAnsi="Calibri"/>
                <w:b w:val="0"/>
                <w:sz w:val="16"/>
              </w:rPr>
              <w:t>0.9286</w:t>
            </w:r>
          </w:p>
        </w:tc>
        <w:tc>
          <w:tcPr>
            <w:tcW w:type="dxa" w:w="1411"/>
            <w:vAlign w:val="center"/>
          </w:tcPr>
          <w:p>
            <w:pPr>
              <w:spacing w:after="0"/>
            </w:pPr>
            <w:r/>
            <w:r>
              <w:rPr>
                <w:rFonts w:ascii="Calibri" w:hAnsi="Calibri"/>
                <w:b w:val="0"/>
                <w:sz w:val="16"/>
              </w:rPr>
              <w:t>0.9911</w:t>
            </w:r>
          </w:p>
        </w:tc>
        <w:tc>
          <w:tcPr>
            <w:tcW w:type="dxa" w:w="1411"/>
            <w:vAlign w:val="center"/>
          </w:tcPr>
          <w:p>
            <w:pPr>
              <w:spacing w:after="0"/>
            </w:pPr>
            <w:r/>
            <w:r>
              <w:rPr>
                <w:rFonts w:ascii="Calibri" w:hAnsi="Calibri"/>
                <w:b w:val="0"/>
                <w:sz w:val="16"/>
              </w:rPr>
              <w:t>(0.9805-0.9985)</w:t>
            </w:r>
          </w:p>
        </w:tc>
        <w:tc>
          <w:tcPr>
            <w:tcW w:type="dxa" w:w="1411"/>
            <w:vAlign w:val="center"/>
          </w:tcPr>
          <w:p>
            <w:pPr>
              <w:spacing w:after="0"/>
            </w:pPr>
            <w:r/>
            <w:r>
              <w:rPr>
                <w:rFonts w:ascii="Calibri" w:hAnsi="Calibri"/>
                <w:b w:val="0"/>
                <w:sz w:val="16"/>
              </w:rPr>
              <w:t>0.2050</w:t>
            </w:r>
          </w:p>
        </w:tc>
        <w:tc>
          <w:tcPr>
            <w:tcW w:type="dxa" w:w="1411"/>
            <w:vAlign w:val="center"/>
          </w:tcPr>
          <w:p>
            <w:pPr>
              <w:spacing w:after="0"/>
            </w:pPr>
            <w:r/>
            <w:r>
              <w:rPr>
                <w:rFonts w:ascii="Calibri" w:hAnsi="Calibri"/>
                <w:b w:val="0"/>
                <w:sz w:val="16"/>
              </w:rPr>
              <w:t>(-0.1205 to 0.0096)</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62</w:t>
            </w:r>
          </w:p>
        </w:tc>
        <w:tc>
          <w:tcPr>
            <w:tcW w:type="dxa" w:w="1411"/>
            <w:vAlign w:val="center"/>
          </w:tcPr>
          <w:p>
            <w:pPr>
              <w:spacing w:after="0"/>
            </w:pPr>
            <w:r/>
            <w:r>
              <w:rPr>
                <w:rFonts w:ascii="Calibri" w:hAnsi="Calibri"/>
                <w:b w:val="0"/>
                <w:sz w:val="16"/>
              </w:rPr>
              <w:t>0.8871</w:t>
            </w:r>
          </w:p>
        </w:tc>
        <w:tc>
          <w:tcPr>
            <w:tcW w:type="dxa" w:w="1411"/>
            <w:vAlign w:val="center"/>
          </w:tcPr>
          <w:p>
            <w:pPr>
              <w:spacing w:after="0"/>
            </w:pPr>
            <w:r/>
            <w:r>
              <w:rPr>
                <w:rFonts w:ascii="Calibri" w:hAnsi="Calibri"/>
                <w:b w:val="0"/>
                <w:sz w:val="16"/>
              </w:rPr>
              <w:t>0.9778</w:t>
            </w:r>
          </w:p>
        </w:tc>
        <w:tc>
          <w:tcPr>
            <w:tcW w:type="dxa" w:w="1411"/>
            <w:vAlign w:val="center"/>
          </w:tcPr>
          <w:p>
            <w:pPr>
              <w:spacing w:after="0"/>
            </w:pPr>
            <w:r/>
            <w:r>
              <w:rPr>
                <w:rFonts w:ascii="Calibri" w:hAnsi="Calibri"/>
                <w:b w:val="0"/>
                <w:sz w:val="16"/>
              </w:rPr>
              <w:t>(0.9390-1.0000)</w:t>
            </w:r>
          </w:p>
        </w:tc>
        <w:tc>
          <w:tcPr>
            <w:tcW w:type="dxa" w:w="1411"/>
            <w:vAlign w:val="center"/>
          </w:tcPr>
          <w:p>
            <w:pPr>
              <w:spacing w:after="0"/>
            </w:pPr>
            <w:r/>
            <w:r>
              <w:rPr>
                <w:rFonts w:ascii="Calibri" w:hAnsi="Calibri"/>
                <w:b w:val="0"/>
                <w:sz w:val="16"/>
              </w:rPr>
              <w:t>0.5980</w:t>
            </w:r>
          </w:p>
        </w:tc>
        <w:tc>
          <w:tcPr>
            <w:tcW w:type="dxa" w:w="1411"/>
            <w:vAlign w:val="center"/>
          </w:tcPr>
          <w:p>
            <w:pPr>
              <w:spacing w:after="0"/>
            </w:pPr>
            <w:r/>
            <w:r>
              <w:rPr>
                <w:rFonts w:ascii="Calibri" w:hAnsi="Calibri"/>
                <w:b w:val="0"/>
                <w:sz w:val="16"/>
              </w:rPr>
              <w:t>(-0.0446 to 0.0198)</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103</w:t>
            </w:r>
          </w:p>
        </w:tc>
        <w:tc>
          <w:tcPr>
            <w:tcW w:type="dxa" w:w="1411"/>
            <w:vAlign w:val="center"/>
          </w:tcPr>
          <w:p>
            <w:pPr>
              <w:spacing w:after="0"/>
            </w:pPr>
            <w:r/>
            <w:r>
              <w:rPr>
                <w:rFonts w:ascii="Calibri" w:hAnsi="Calibri"/>
                <w:b w:val="0"/>
                <w:sz w:val="16"/>
              </w:rPr>
              <w:t>0.9126</w:t>
            </w:r>
          </w:p>
        </w:tc>
        <w:tc>
          <w:tcPr>
            <w:tcW w:type="dxa" w:w="1411"/>
            <w:vAlign w:val="center"/>
          </w:tcPr>
          <w:p>
            <w:pPr>
              <w:spacing w:after="0"/>
            </w:pPr>
            <w:r/>
            <w:r>
              <w:rPr>
                <w:rFonts w:ascii="Calibri" w:hAnsi="Calibri"/>
                <w:b w:val="0"/>
                <w:sz w:val="16"/>
              </w:rPr>
              <w:t>0.9865</w:t>
            </w:r>
          </w:p>
        </w:tc>
        <w:tc>
          <w:tcPr>
            <w:tcW w:type="dxa" w:w="1411"/>
            <w:vAlign w:val="center"/>
          </w:tcPr>
          <w:p>
            <w:pPr>
              <w:spacing w:after="0"/>
            </w:pPr>
            <w:r/>
            <w:r>
              <w:rPr>
                <w:rFonts w:ascii="Calibri" w:hAnsi="Calibri"/>
                <w:b w:val="0"/>
                <w:sz w:val="16"/>
              </w:rPr>
              <w:t>(0.9676-0.9972)</w:t>
            </w:r>
          </w:p>
        </w:tc>
        <w:tc>
          <w:tcPr>
            <w:tcW w:type="dxa" w:w="1411"/>
            <w:vAlign w:val="center"/>
          </w:tcPr>
          <w:p>
            <w:pPr>
              <w:spacing w:after="0"/>
            </w:pPr>
            <w:r/>
            <w:r>
              <w:rPr>
                <w:rFonts w:ascii="Calibri" w:hAnsi="Calibri"/>
                <w:b w:val="0"/>
                <w:sz w:val="16"/>
              </w:rPr>
              <w:t>0.5980</w:t>
            </w:r>
          </w:p>
        </w:tc>
        <w:tc>
          <w:tcPr>
            <w:tcW w:type="dxa" w:w="1411"/>
            <w:vAlign w:val="center"/>
          </w:tcPr>
          <w:p>
            <w:pPr>
              <w:spacing w:after="0"/>
            </w:pPr>
            <w:r/>
            <w:r>
              <w:rPr>
                <w:rFonts w:ascii="Calibri" w:hAnsi="Calibri"/>
                <w:b w:val="0"/>
                <w:sz w:val="16"/>
              </w:rPr>
              <w:t>(-0.0446 to 0.0198)</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0.8947</w:t>
            </w:r>
          </w:p>
        </w:tc>
        <w:tc>
          <w:tcPr>
            <w:tcW w:type="dxa" w:w="1411"/>
            <w:vAlign w:val="center"/>
          </w:tcPr>
          <w:p>
            <w:pPr>
              <w:spacing w:after="0"/>
            </w:pPr>
            <w:r/>
            <w:r>
              <w:rPr>
                <w:rFonts w:ascii="Calibri" w:hAnsi="Calibri"/>
                <w:b w:val="0"/>
                <w:sz w:val="16"/>
              </w:rPr>
              <w:t>0.9858</w:t>
            </w:r>
          </w:p>
        </w:tc>
        <w:tc>
          <w:tcPr>
            <w:tcW w:type="dxa" w:w="1411"/>
            <w:vAlign w:val="center"/>
          </w:tcPr>
          <w:p>
            <w:pPr>
              <w:spacing w:after="0"/>
            </w:pPr>
            <w:r/>
            <w:r>
              <w:rPr>
                <w:rFonts w:ascii="Calibri" w:hAnsi="Calibri"/>
                <w:b w:val="0"/>
                <w:sz w:val="16"/>
              </w:rPr>
              <w:t>(0.9540-1.0000)</w:t>
            </w:r>
          </w:p>
        </w:tc>
        <w:tc>
          <w:tcPr>
            <w:tcW w:type="dxa" w:w="1411"/>
            <w:vAlign w:val="center"/>
          </w:tcPr>
          <w:p>
            <w:pPr>
              <w:spacing w:after="0"/>
            </w:pPr>
            <w:r/>
            <w:r>
              <w:rPr>
                <w:rFonts w:ascii="Calibri" w:hAnsi="Calibri"/>
                <w:b w:val="0"/>
                <w:sz w:val="16"/>
              </w:rPr>
              <w:t>0.2690</w:t>
            </w:r>
          </w:p>
        </w:tc>
        <w:tc>
          <w:tcPr>
            <w:tcW w:type="dxa" w:w="1411"/>
            <w:vAlign w:val="center"/>
          </w:tcPr>
          <w:p>
            <w:pPr>
              <w:spacing w:after="0"/>
            </w:pPr>
            <w:r/>
            <w:r>
              <w:rPr>
                <w:rFonts w:ascii="Calibri" w:hAnsi="Calibri"/>
                <w:b w:val="0"/>
                <w:sz w:val="16"/>
              </w:rPr>
              <w:t>(-0.0203 to 0.0798)</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0.8596</w:t>
            </w:r>
          </w:p>
        </w:tc>
        <w:tc>
          <w:tcPr>
            <w:tcW w:type="dxa" w:w="1411"/>
            <w:vAlign w:val="center"/>
          </w:tcPr>
          <w:p>
            <w:pPr>
              <w:spacing w:after="0"/>
            </w:pPr>
            <w:r/>
            <w:r>
              <w:rPr>
                <w:rFonts w:ascii="Calibri" w:hAnsi="Calibri"/>
                <w:b w:val="0"/>
                <w:sz w:val="16"/>
              </w:rPr>
              <w:t>0.9603</w:t>
            </w:r>
          </w:p>
        </w:tc>
        <w:tc>
          <w:tcPr>
            <w:tcW w:type="dxa" w:w="1411"/>
            <w:vAlign w:val="center"/>
          </w:tcPr>
          <w:p>
            <w:pPr>
              <w:spacing w:after="0"/>
            </w:pPr>
            <w:r/>
            <w:r>
              <w:rPr>
                <w:rFonts w:ascii="Calibri" w:hAnsi="Calibri"/>
                <w:b w:val="0"/>
                <w:sz w:val="16"/>
              </w:rPr>
              <w:t>(0.8888-0.9917)</w:t>
            </w:r>
          </w:p>
        </w:tc>
        <w:tc>
          <w:tcPr>
            <w:tcW w:type="dxa" w:w="1411"/>
            <w:vAlign w:val="center"/>
          </w:tcPr>
          <w:p>
            <w:pPr>
              <w:spacing w:after="0"/>
            </w:pPr>
            <w:r/>
            <w:r>
              <w:rPr>
                <w:rFonts w:ascii="Calibri" w:hAnsi="Calibri"/>
                <w:b w:val="0"/>
                <w:sz w:val="16"/>
              </w:rPr>
              <w:t>0.2690</w:t>
            </w:r>
          </w:p>
        </w:tc>
        <w:tc>
          <w:tcPr>
            <w:tcW w:type="dxa" w:w="1411"/>
            <w:vAlign w:val="center"/>
          </w:tcPr>
          <w:p>
            <w:pPr>
              <w:spacing w:after="0"/>
            </w:pPr>
            <w:r/>
            <w:r>
              <w:rPr>
                <w:rFonts w:ascii="Calibri" w:hAnsi="Calibri"/>
                <w:b w:val="0"/>
                <w:sz w:val="16"/>
              </w:rPr>
              <w:t>(-0.0203 to 0.0798)</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curves (Figures 5 and 6) compared survival between predicted proliferation classes. Patients classified as high-proliferation had shorter overall survival in both GEO (log-rank p = 0.037) and TCGA (log-rank p = 0.034). CPTAC-COAD had only 7 survival events, so its KM curves are shown for completeness but lack statistical power for reliable inference.</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Cox regression did not find a significant independent effect of proliferation class after adjusting for age, sex, and stage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-0.1702</w:t>
            </w:r>
          </w:p>
        </w:tc>
        <w:tc>
          <w:tcPr>
            <w:tcW w:type="dxa" w:w="1976"/>
            <w:vAlign w:val="center"/>
          </w:tcPr>
          <w:p>
            <w:pPr>
              <w:spacing w:after="0"/>
            </w:pPr>
            <w:r/>
            <w:r>
              <w:rPr>
                <w:rFonts w:ascii="Calibri" w:hAnsi="Calibri"/>
                <w:b w:val="0"/>
                <w:sz w:val="16"/>
              </w:rPr>
              <w:t>0.8435</w:t>
            </w:r>
          </w:p>
        </w:tc>
        <w:tc>
          <w:tcPr>
            <w:tcW w:type="dxa" w:w="1976"/>
            <w:vAlign w:val="center"/>
          </w:tcPr>
          <w:p>
            <w:pPr>
              <w:spacing w:after="0"/>
            </w:pPr>
            <w:r/>
            <w:r>
              <w:rPr>
                <w:rFonts w:ascii="Calibri" w:hAnsi="Calibri"/>
                <w:b w:val="0"/>
                <w:sz w:val="16"/>
              </w:rPr>
              <w:t>(0.61 - 1.17)</w:t>
            </w:r>
          </w:p>
        </w:tc>
        <w:tc>
          <w:tcPr>
            <w:tcW w:type="dxa" w:w="1976"/>
            <w:vAlign w:val="center"/>
          </w:tcPr>
          <w:p>
            <w:pPr>
              <w:spacing w:after="0"/>
            </w:pPr>
            <w:r/>
            <w:r>
              <w:rPr>
                <w:rFonts w:ascii="Calibri" w:hAnsi="Calibri"/>
                <w:b w:val="0"/>
                <w:sz w:val="16"/>
              </w:rPr>
              <w:t>3.0875e-01</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0.0300</w:t>
            </w:r>
          </w:p>
        </w:tc>
        <w:tc>
          <w:tcPr>
            <w:tcW w:type="dxa" w:w="1976"/>
            <w:vAlign w:val="center"/>
          </w:tcPr>
          <w:p>
            <w:pPr>
              <w:spacing w:after="0"/>
            </w:pPr>
            <w:r/>
            <w:r>
              <w:rPr>
                <w:rFonts w:ascii="Calibri" w:hAnsi="Calibri"/>
                <w:b w:val="0"/>
                <w:sz w:val="16"/>
              </w:rPr>
              <w:t>1.0305</w:t>
            </w:r>
          </w:p>
        </w:tc>
        <w:tc>
          <w:tcPr>
            <w:tcW w:type="dxa" w:w="1976"/>
            <w:vAlign w:val="center"/>
          </w:tcPr>
          <w:p>
            <w:pPr>
              <w:spacing w:after="0"/>
            </w:pPr>
            <w:r/>
            <w:r>
              <w:rPr>
                <w:rFonts w:ascii="Calibri" w:hAnsi="Calibri"/>
                <w:b w:val="0"/>
                <w:sz w:val="16"/>
              </w:rPr>
              <w:t>(1.02 - 1.04)</w:t>
            </w:r>
          </w:p>
        </w:tc>
        <w:tc>
          <w:tcPr>
            <w:tcW w:type="dxa" w:w="1976"/>
            <w:vAlign w:val="center"/>
          </w:tcPr>
          <w:p>
            <w:pPr>
              <w:spacing w:after="0"/>
            </w:pPr>
            <w:r/>
            <w:r>
              <w:rPr>
                <w:rFonts w:ascii="Calibri" w:hAnsi="Calibri"/>
                <w:b w:val="0"/>
                <w:sz w:val="16"/>
              </w:rPr>
              <w:t>1.2432e-06</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0.3540</w:t>
            </w:r>
          </w:p>
        </w:tc>
        <w:tc>
          <w:tcPr>
            <w:tcW w:type="dxa" w:w="1976"/>
            <w:vAlign w:val="center"/>
          </w:tcPr>
          <w:p>
            <w:pPr>
              <w:spacing w:after="0"/>
            </w:pPr>
            <w:r/>
            <w:r>
              <w:rPr>
                <w:rFonts w:ascii="Calibri" w:hAnsi="Calibri"/>
                <w:b w:val="0"/>
                <w:sz w:val="16"/>
              </w:rPr>
              <w:t>1.4248</w:t>
            </w:r>
          </w:p>
        </w:tc>
        <w:tc>
          <w:tcPr>
            <w:tcW w:type="dxa" w:w="1976"/>
            <w:vAlign w:val="center"/>
          </w:tcPr>
          <w:p>
            <w:pPr>
              <w:spacing w:after="0"/>
            </w:pPr>
            <w:r/>
            <w:r>
              <w:rPr>
                <w:rFonts w:ascii="Calibri" w:hAnsi="Calibri"/>
                <w:b w:val="0"/>
                <w:sz w:val="16"/>
              </w:rPr>
              <w:t>(1.06 - 1.91)</w:t>
            </w:r>
          </w:p>
        </w:tc>
        <w:tc>
          <w:tcPr>
            <w:tcW w:type="dxa" w:w="1976"/>
            <w:vAlign w:val="center"/>
          </w:tcPr>
          <w:p>
            <w:pPr>
              <w:spacing w:after="0"/>
            </w:pPr>
            <w:r/>
            <w:r>
              <w:rPr>
                <w:rFonts w:ascii="Calibri" w:hAnsi="Calibri"/>
                <w:b w:val="0"/>
                <w:sz w:val="16"/>
              </w:rPr>
              <w:t>1.7165e-02</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0.7247</w:t>
            </w:r>
          </w:p>
        </w:tc>
        <w:tc>
          <w:tcPr>
            <w:tcW w:type="dxa" w:w="1976"/>
            <w:vAlign w:val="center"/>
          </w:tcPr>
          <w:p>
            <w:pPr>
              <w:spacing w:after="0"/>
            </w:pPr>
            <w:r/>
            <w:r>
              <w:rPr>
                <w:rFonts w:ascii="Calibri" w:hAnsi="Calibri"/>
                <w:b w:val="0"/>
                <w:sz w:val="16"/>
              </w:rPr>
              <w:t>2.0641</w:t>
            </w:r>
          </w:p>
        </w:tc>
        <w:tc>
          <w:tcPr>
            <w:tcW w:type="dxa" w:w="1976"/>
            <w:vAlign w:val="center"/>
          </w:tcPr>
          <w:p>
            <w:pPr>
              <w:spacing w:after="0"/>
            </w:pPr>
            <w:r/>
            <w:r>
              <w:rPr>
                <w:rFonts w:ascii="Calibri" w:hAnsi="Calibri"/>
                <w:b w:val="0"/>
                <w:sz w:val="16"/>
              </w:rPr>
              <w:t>(1.68 - 2.53)</w:t>
            </w:r>
          </w:p>
        </w:tc>
        <w:tc>
          <w:tcPr>
            <w:tcW w:type="dxa" w:w="1976"/>
            <w:vAlign w:val="center"/>
          </w:tcPr>
          <w:p>
            <w:pPr>
              <w:spacing w:after="0"/>
            </w:pPr>
            <w:r/>
            <w:r>
              <w:rPr>
                <w:rFonts w:ascii="Calibri" w:hAnsi="Calibri"/>
                <w:b w:val="0"/>
                <w:sz w:val="16"/>
              </w:rPr>
              <w:t>3.3683e-12</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Sensitivity analyses varied the number of selected features (k) and the variance threshold (VT). ROC-AUC stayed stable across the tested ranges (Table 8).</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0.9828</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0.9838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0.9835</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0.9825</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0.9863</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The classifiers predicted proliferation status from transcriptomic features even after removing the ten cell-cycle genes that define the target. Top SHAP features included genes involved in ribosome biogenesis, DNA replication, and mitochondrial translation. High-proliferation patients had shorter survival in GEO (log-rank p = 0.037) and TCGA (log-rank p = 0.034). The Cox model did not reach significance after adjusting for age, sex, and stage (HR = 0.84, p = 0.3088). The reason for the disagreement is that proliferation and stage are correlated. High-proliferation tumors are more likely to be Stage III/IV. When stage enters the Cox model, it absorbs the survival signal that the univariate log-rank test attributes to proliferation alone. The univariate association is real and consistent across two cohorts, but proliferation does not add independent prognostic information beyond what stage already captures. External validation on TCGA and CPTAC gave ROC-AUCs up to 0.973 and 0.949. Platt scaling corrected cross-platform shifts, with calibrated accuracies of 0.921 (TCGA) and 0.868 (CPTAC). On CPTAC (n = 105), Random Forest had a calibrated AUC of 0.9487 and accuracy of 0.8679.</w:t>
        <w:br/>
        <w:br/>
        <w:t>The AUCs in this study are higher than what is typically reported for clinical ML classifiers. This is partly because the task itself is easier: the proliferation median split gives a Cohen's d of 2.3, meaning the two classes barely overlap. Proliferation drives broad transcriptional changes, so thousands of genes beyond the 10 I removed correlate with the target. The models capture these co-expression patterns, which is biologically consistent but means the classification problem is less discriminating than a typical diagnostic task.</w:t>
        <w:br/>
        <w:br/>
        <w:t>The TCGA validation AUC of 0.97 also came with help from quantile normalization. QN maps TCGA's expression distributions to match GEO's for each gene. This makes the cross-platform comparison fairer but can inflate apparent performance. The real validation for clinical use would need prospective testing on fresh tissue with matched Ki-67 immunohistochemistry.</w:t>
      </w:r>
    </w:p>
    <w:p>
      <w:pPr>
        <w:spacing w:before="0" w:after="140" w:line="283" w:lineRule="auto"/>
      </w:pPr>
      <w:r>
        <w:rPr>
          <w:rFonts w:ascii="Calibri" w:hAnsi="Calibri"/>
          <w:color w:val="141F2B"/>
          <w:sz w:val="20"/>
        </w:rPr>
        <w:t>I compared ColoGrowth-ML against two baselines: a simple logistic regression using only MKI67 expression (to measure the added value of multi-gene modeling) and a published Ki-67 histology-based classifier (Zeng et al., 2025). Table 9 summarizes the results.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MKI67 expression alone (LR)</w:t>
            </w:r>
          </w:p>
        </w:tc>
        <w:tc>
          <w:tcPr>
            <w:tcW w:type="dxa" w:w="1411"/>
            <w:vAlign w:val="center"/>
          </w:tcPr>
          <w:p>
            <w:pPr>
              <w:spacing w:after="0"/>
            </w:pPr>
            <w:r/>
            <w:r>
              <w:rPr>
                <w:rFonts w:ascii="Calibri" w:hAnsi="Calibri"/>
                <w:b w:val="0"/>
                <w:sz w:val="16"/>
              </w:rPr>
              <w:t>This study</w:t>
            </w:r>
          </w:p>
        </w:tc>
        <w:tc>
          <w:tcPr>
            <w:tcW w:type="dxa" w:w="1411"/>
            <w:vAlign w:val="center"/>
          </w:tcPr>
          <w:p>
            <w:pPr>
              <w:spacing w:after="0"/>
            </w:pPr>
            <w:r/>
            <w:r>
              <w:rPr>
                <w:rFonts w:ascii="Calibri" w:hAnsi="Calibri"/>
                <w:b w:val="0"/>
                <w:sz w:val="16"/>
              </w:rPr>
              <w:t>GEO microarray</w:t>
            </w:r>
          </w:p>
        </w:tc>
        <w:tc>
          <w:tcPr>
            <w:tcW w:type="dxa" w:w="1411"/>
            <w:vAlign w:val="center"/>
          </w:tcPr>
          <w:p>
            <w:pPr>
              <w:spacing w:after="0"/>
            </w:pPr>
            <w:r/>
            <w:r>
              <w:rPr>
                <w:rFonts w:ascii="Calibri" w:hAnsi="Calibri"/>
                <w:b w:val="0"/>
                <w:sz w:val="16"/>
              </w:rPr>
              <w:t>585</w:t>
            </w:r>
          </w:p>
        </w:tc>
        <w:tc>
          <w:tcPr>
            <w:tcW w:type="dxa" w:w="1411"/>
            <w:vAlign w:val="center"/>
          </w:tcPr>
          <w:p>
            <w:pPr>
              <w:spacing w:after="0"/>
            </w:pPr>
            <w:r/>
            <w:r>
              <w:rPr>
                <w:rFonts w:ascii="Calibri" w:hAnsi="Calibri"/>
                <w:b w:val="0"/>
                <w:sz w:val="16"/>
              </w:rPr>
              <w:t>~0.950 (AUC)</w:t>
            </w:r>
          </w:p>
        </w:tc>
        <w:tc>
          <w:tcPr>
            <w:tcW w:type="dxa" w:w="1411"/>
            <w:vAlign w:val="center"/>
          </w:tcPr>
          <w:p>
            <w:pPr>
              <w:spacing w:after="0"/>
            </w:pPr>
            <w:r/>
            <w:r>
              <w:rPr>
                <w:rFonts w:ascii="Calibri" w:hAnsi="Calibri"/>
                <w:b w:val="0"/>
                <w:sz w:val="16"/>
              </w:rPr>
              <w:t>N/A (Single gene)</w:t>
            </w:r>
          </w:p>
        </w:tc>
        <w:tc>
          <w:tcPr>
            <w:tcW w:type="dxa" w:w="1411"/>
            <w:vAlign w:val="center"/>
          </w:tcPr>
          <w:p>
            <w:pPr>
              <w:spacing w:after="0"/>
            </w:pPr>
            <w:r/>
            <w:r>
              <w:rPr>
                <w:rFonts w:ascii="Calibri" w:hAnsi="Calibri"/>
                <w:b w:val="0"/>
                <w:sz w:val="16"/>
              </w:rPr>
              <w:t>Yes (TCGA RNA-seq)</w:t>
            </w:r>
          </w:p>
        </w:tc>
      </w:tr>
      <w:tr>
        <w:tc>
          <w:tcPr>
            <w:tcW w:type="dxa" w:w="1411"/>
            <w:vAlign w:val="center"/>
          </w:tcPr>
          <w:p>
            <w:pPr>
              <w:spacing w:after="0"/>
            </w:pPr>
            <w:r/>
            <w:r>
              <w:rPr>
                <w:rFonts w:ascii="Calibri" w:hAnsi="Calibri"/>
                <w:b w:val="0"/>
                <w:sz w:val="16"/>
              </w:rPr>
              <w:t>Zeng et al. (Ki-67 ML)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 / 105</w:t>
            </w:r>
          </w:p>
        </w:tc>
        <w:tc>
          <w:tcPr>
            <w:tcW w:type="dxa" w:w="1411"/>
            <w:vAlign w:val="center"/>
          </w:tcPr>
          <w:p>
            <w:pPr>
              <w:spacing w:after="0"/>
            </w:pPr>
            <w:r/>
            <w:r>
              <w:rPr>
                <w:rFonts w:ascii="Calibri" w:hAnsi="Calibri"/>
                <w:b w:val="0"/>
                <w:sz w:val="16"/>
              </w:rPr>
              <w:t>0.994 / 0.973 / 0.949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 ×2)</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Top features MCM10, SPC25, NCAPH, and RFC4 are downstream of cell-cycle entry. MCM10 supports DNA replication via CMG helicase complex isomerization (Langston et al., 2017). RFC4 recruits DNA polymerase delta to repair sites (Overmeer et al., 2010). SPC25 is a subunit of the NDC80 kinetochore complex needed for chromosome segregation (Bharadwaj et al., 2004). NCAPH is involved in condensin I assembly for chromosome condensation in proliferating cells (Seipold et al., 2009). Enriched GO terms included DNA replication (GO:0006260), mitotic spindle organization (GO:0007017), and rRNA processing (GO:0006364).</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GEO GSE39582 (n=585) is moderate. CPTAC-COAD (n=105) has only 7 survival events, limiting power.</w:t>
      </w:r>
    </w:p>
    <w:p>
      <w:pPr>
        <w:pStyle w:val="ListBullet"/>
        <w:spacing w:after="60"/>
      </w:pPr>
      <w:r>
        <w:rPr>
          <w:rFonts w:ascii="Calibri" w:hAnsi="Calibri"/>
          <w:color w:val="141F2B"/>
          <w:sz w:val="20"/>
        </w:rPr>
        <w:t>Target binarization at the median is standard but arbitrary. Continuous risk scores might work better.</w:t>
      </w:r>
    </w:p>
    <w:p>
      <w:pPr>
        <w:pStyle w:val="ListBullet"/>
        <w:spacing w:after="60"/>
      </w:pPr>
      <w:r>
        <w:rPr>
          <w:rFonts w:ascii="Calibri" w:hAnsi="Calibri"/>
          <w:color w:val="141F2B"/>
          <w:sz w:val="20"/>
        </w:rPr>
        <w:t>The median-split proliferation classes barely overlap (Cohen's d = 2.3), making binary separation easier than typical clinical ML tasks.</w:t>
      </w:r>
    </w:p>
    <w:p>
      <w:pPr>
        <w:pStyle w:val="ListBullet"/>
        <w:spacing w:after="60"/>
      </w:pPr>
      <w:r>
        <w:rPr>
          <w:rFonts w:ascii="Calibri" w:hAnsi="Calibri"/>
          <w:color w:val="141F2B"/>
          <w:sz w:val="20"/>
        </w:rPr>
        <w:t>Microarray and RNA-seq have different dynamic ranges, requiring post-hoc calibration to restore accuracy.</w:t>
      </w:r>
    </w:p>
    <w:p>
      <w:pPr>
        <w:pStyle w:val="ListBullet"/>
        <w:spacing w:after="60"/>
      </w:pPr>
      <w:r>
        <w:rPr>
          <w:rFonts w:ascii="Calibri" w:hAnsi="Calibri"/>
          <w:color w:val="141F2B"/>
          <w:sz w:val="20"/>
        </w:rPr>
        <w:t>SHAP scores reflect correlation, not causation.</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validation of the Top-3 Ensemble on new COAD biopsy cohorts.</w:t>
      </w:r>
    </w:p>
    <w:p>
      <w:pPr>
        <w:pStyle w:val="ListBullet"/>
        <w:spacing w:after="60"/>
      </w:pPr>
      <w:r>
        <w:rPr>
          <w:rFonts w:ascii="Calibri" w:hAnsi="Calibri"/>
          <w:color w:val="141F2B"/>
          <w:sz w:val="20"/>
        </w:rPr>
        <w:t>qPCR knockdown of top SHAP genes (RPS3, RPS11) to confirm their role in growth regulation.</w:t>
      </w:r>
    </w:p>
    <w:p>
      <w:pPr>
        <w:pStyle w:val="ListBullet"/>
        <w:spacing w:after="60"/>
      </w:pPr>
      <w:r>
        <w:rPr>
          <w:rFonts w:ascii="Calibri" w:hAnsi="Calibri"/>
          <w:color w:val="141F2B"/>
          <w:sz w:val="20"/>
        </w:rPr>
        <w:t>Integration of CNVs and somatic mutation data into the feature space.</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ListNumber"/>
        <w:spacing w:after="60"/>
      </w:pPr>
      <w:r>
        <w:rPr>
          <w:rFonts w:ascii="Calibri" w:hAnsi="Calibri"/>
          <w:color w:val="141F2B"/>
          <w:sz w:val="19"/>
        </w:rPr>
        <w:t>Guinney, J. et al. The consensus molecular subtypes of colorectal cancer. Nature Medicine, 2015. DOI: 10.1038/nm.3967</w:t>
      </w:r>
    </w:p>
    <w:p>
      <w:pPr>
        <w:pStyle w:val="ListNumber"/>
        <w:spacing w:after="60"/>
      </w:pPr>
      <w:r>
        <w:rPr>
          <w:rFonts w:ascii="Calibri" w:hAnsi="Calibri"/>
          <w:color w:val="141F2B"/>
          <w:sz w:val="19"/>
        </w:rPr>
        <w:t>The Cancer Genome Atlas Network. Comprehensive molecular characterization of human colon and rectal cancer. Nature, 2012. DOI: 10.1038/nature11252</w:t>
      </w:r>
    </w:p>
    <w:p>
      <w:pPr>
        <w:pStyle w:val="ListNumber"/>
        <w:spacing w:after="60"/>
      </w:pPr>
      <w:r>
        <w:rPr>
          <w:rFonts w:ascii="Calibri" w:hAnsi="Calibri"/>
          <w:color w:val="141F2B"/>
          <w:sz w:val="19"/>
        </w:rPr>
        <w:t>Platt, J. Probabilistic outputs for support vector machines and comparisons to regularized likelihood methods. Advances in Large Margin Classifiers, 1999.</w:t>
      </w:r>
    </w:p>
    <w:p>
      <w:pPr>
        <w:pStyle w:val="ListNumber"/>
        <w:spacing w:after="60"/>
      </w:pPr>
      <w:r>
        <w:rPr>
          <w:rFonts w:ascii="Calibri" w:hAnsi="Calibri"/>
          <w:color w:val="141F2B"/>
          <w:sz w:val="19"/>
        </w:rPr>
        <w:t>Yang, W. et al. Genomics of Drug Sensitivity in Cancer (GDSC): a resource for therapeutic biomarker discovery in cancer cells. Nucleic Acids Research, 2013. DOI: 10.1093/nar/gks1111</w:t>
      </w:r>
    </w:p>
    <w:p>
      <w:pPr>
        <w:pStyle w:val="ListNumber"/>
        <w:spacing w:after="60"/>
      </w:pPr>
      <w:r>
        <w:rPr>
          <w:rFonts w:ascii="Calibri" w:hAnsi="Calibri"/>
          <w:color w:val="141F2B"/>
          <w:sz w:val="19"/>
        </w:rPr>
        <w:t>Meinshausen, N. and Buhlmann, P. Stability selection. Journal of the Royal Statistical Society: Series B, 2010. DOI: 10.1111/j.1467-9868.2010.00740.x</w:t>
      </w:r>
    </w:p>
    <w:p>
      <w:pPr>
        <w:pStyle w:val="ListNumber"/>
        <w:spacing w:after="60"/>
      </w:pPr>
      <w:r>
        <w:rPr>
          <w:rFonts w:ascii="Calibri" w:hAnsi="Calibri"/>
          <w:color w:val="141F2B"/>
          <w:sz w:val="19"/>
        </w:rPr>
        <w:t>Cohen, J. Statistical Power Analysis for the Behavioral Sciences. 2nd ed. Lawrence Erlbaum Associates, 1988.</w:t>
      </w:r>
    </w:p>
    <w:p>
      <w:pPr>
        <w:pStyle w:val="ListNumber"/>
        <w:spacing w:after="60"/>
      </w:pPr>
      <w:r>
        <w:rPr>
          <w:rFonts w:ascii="Calibri" w:hAnsi="Calibri"/>
          <w:color w:val="141F2B"/>
          <w:sz w:val="19"/>
        </w:rPr>
        <w:t>Vasaikar, S. et al. Proteogenomic analysis of human colon cancer reveals new therapeutic opportunities. Cell, 2019. DOI: 10.1016/j.cell.2019.03.030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CPTAC-COAD data is available at: https://cptac-data-portal.georgetown.edu/. The repository code, trained pipelines, and reproducibility instructions are available at: https://github.com/Ronisnotasianfr/ColoGrowth-ML.</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p>
      <w:pPr>
        <w:pStyle w:val="Heading2"/>
        <w:keepNext/>
        <w:spacing w:before="160" w:after="100"/>
      </w:pPr>
    </w:p>
    <w:p>
      <w:pPr>
        <w:spacing w:before="0" w:after="140" w:line="283" w:lineRule="auto"/>
      </w:pPr>
      <w:r>
        <w:rPr>
          <w:rFonts w:ascii="Calibri" w:hAnsi="Calibri"/>
          <w:color w:val="141F2B"/>
          <w:sz w:val="21"/>
        </w:rPr>
        <w:t>Claude (Anthropic) was used as a coding assistant during implementation. All study design decisions, data interpretation, statistical analysis, and written conclusions are the author's own. The model architecture, leakage-control strategy, and validation framework were designed by the author. Claude assisted with debugging syntax errors, generating table formats, and optimizing parallel computation settings. Full prompt logs are available in the project repository.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