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80"/>
      </w:pPr>
      <w:r>
        <w:rPr>
          <w:rFonts w:ascii="Calibri" w:hAnsi="Calibri"/>
          <w:b/>
          <w:color w:val="141F2B"/>
          <w:sz w:val="36"/>
        </w:rPr>
        <w:t>Cross-Platform Colon Cancer Proliferation Classification via Leakage-Free ML</w:t>
      </w:r>
    </w:p>
    <w:p>
      <w:pPr>
        <w:spacing w:after="240"/>
      </w:pPr>
      <w:r>
        <w:rPr>
          <w:rFonts w:ascii="Calibri" w:hAnsi="Calibri"/>
          <w:i/>
          <w:color w:val="5A5A5A"/>
          <w:sz w:val="23"/>
        </w:rPr>
        <w:t>Independent computational biology research report prepared for peer-reviewed journal submission</w:t>
      </w:r>
    </w:p>
    <w:tbl>
      <w:tblPr>
        <w:tblW w:type="auto" w:w="0"/>
        <w:jc w:val="left"/>
        <w:tblLook w:firstColumn="1" w:firstRow="1" w:lastColumn="0" w:lastRow="0" w:noHBand="0" w:noVBand="1" w:val="04A0"/>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blGrid>
        <w:gridCol w:w="4939"/>
        <w:gridCol w:w="4939"/>
      </w:tblGrid>
      <w:tr>
        <w:tc>
          <w:tcPr>
            <w:tcW w:type="dxa" w:w="4939"/>
            <w:vAlign w:val="center"/>
          </w:tcPr>
          <w:p>
            <w:pPr>
              <w:spacing w:after="0"/>
            </w:pPr>
            <w:r/>
            <w:r>
              <w:rPr>
                <w:rFonts w:ascii="Calibri" w:hAnsi="Calibri"/>
                <w:b/>
                <w:color w:val="5A5A5A"/>
                <w:sz w:val="17"/>
              </w:rPr>
              <w:t>Prepared by</w:t>
            </w:r>
          </w:p>
        </w:tc>
        <w:tc>
          <w:tcPr>
            <w:tcW w:type="dxa" w:w="4939"/>
            <w:vAlign w:val="center"/>
          </w:tcPr>
          <w:p>
            <w:pPr>
              <w:spacing w:after="0"/>
            </w:pPr>
            <w:r/>
            <w:r>
              <w:rPr>
                <w:rFonts w:ascii="Calibri" w:hAnsi="Calibri"/>
                <w:b w:val="0"/>
                <w:color w:val="141F2B"/>
                <w:sz w:val="17"/>
              </w:rPr>
              <w:t>Rohan Saindane</w:t>
            </w:r>
          </w:p>
        </w:tc>
      </w:tr>
      <w:tr>
        <w:tc>
          <w:tcPr>
            <w:tcW w:type="dxa" w:w="4939"/>
            <w:vAlign w:val="center"/>
          </w:tcPr>
          <w:p>
            <w:pPr>
              <w:spacing w:after="0"/>
            </w:pPr>
            <w:r/>
            <w:r>
              <w:rPr>
                <w:rFonts w:ascii="Calibri" w:hAnsi="Calibri"/>
                <w:b/>
                <w:color w:val="5A5A5A"/>
                <w:sz w:val="17"/>
              </w:rPr>
              <w:t>Date</w:t>
            </w:r>
          </w:p>
        </w:tc>
        <w:tc>
          <w:tcPr>
            <w:tcW w:type="dxa" w:w="4939"/>
            <w:vAlign w:val="center"/>
          </w:tcPr>
          <w:p>
            <w:pPr>
              <w:spacing w:after="0"/>
            </w:pPr>
            <w:r/>
            <w:r>
              <w:rPr>
                <w:rFonts w:ascii="Calibri" w:hAnsi="Calibri"/>
                <w:b w:val="0"/>
                <w:color w:val="141F2B"/>
                <w:sz w:val="17"/>
              </w:rPr>
              <w:t>June 2026</w:t>
            </w:r>
          </w:p>
        </w:tc>
      </w:tr>
      <w:tr>
        <w:tc>
          <w:tcPr>
            <w:tcW w:type="dxa" w:w="4939"/>
            <w:vAlign w:val="center"/>
          </w:tcPr>
          <w:p>
            <w:pPr>
              <w:spacing w:after="0"/>
            </w:pPr>
            <w:r/>
            <w:r>
              <w:rPr>
                <w:rFonts w:ascii="Calibri" w:hAnsi="Calibri"/>
                <w:b/>
                <w:color w:val="5A5A5A"/>
                <w:sz w:val="17"/>
              </w:rPr>
              <w:t>Dataset</w:t>
            </w:r>
          </w:p>
        </w:tc>
        <w:tc>
          <w:tcPr>
            <w:tcW w:type="dxa" w:w="4939"/>
            <w:vAlign w:val="center"/>
          </w:tcPr>
          <w:p>
            <w:pPr>
              <w:spacing w:after="0"/>
            </w:pPr>
            <w:r/>
            <w:r>
              <w:rPr>
                <w:rFonts w:ascii="Calibri" w:hAnsi="Calibri"/>
                <w:b w:val="0"/>
                <w:color w:val="141F2B"/>
                <w:sz w:val="17"/>
              </w:rPr>
              <w:t>GEO_PAN</w:t>
            </w:r>
          </w:p>
        </w:tc>
      </w:tr>
      <w:tr>
        <w:tc>
          <w:tcPr>
            <w:tcW w:type="dxa" w:w="4939"/>
            <w:vAlign w:val="center"/>
          </w:tcPr>
          <w:p>
            <w:pPr>
              <w:spacing w:after="0"/>
            </w:pPr>
            <w:r/>
            <w:r>
              <w:rPr>
                <w:rFonts w:ascii="Calibri" w:hAnsi="Calibri"/>
                <w:b/>
                <w:color w:val="5A5A5A"/>
                <w:sz w:val="17"/>
              </w:rPr>
              <w:t>Status</w:t>
            </w:r>
          </w:p>
        </w:tc>
        <w:tc>
          <w:tcPr>
            <w:tcW w:type="dxa" w:w="4939"/>
            <w:vAlign w:val="center"/>
          </w:tcPr>
          <w:p>
            <w:pPr>
              <w:spacing w:after="0"/>
            </w:pPr>
            <w:r/>
            <w:r>
              <w:rPr>
                <w:rFonts w:ascii="Calibri" w:hAnsi="Calibri"/>
                <w:b w:val="0"/>
                <w:color w:val="141F2B"/>
                <w:sz w:val="17"/>
              </w:rPr>
              <w:t>Leakage-corrected journal submission draft</w:t>
            </w:r>
          </w:p>
        </w:tc>
      </w:tr>
    </w:tbl>
    <w:p>
      <w:pPr>
        <w:pStyle w:val="Heading1"/>
        <w:keepNext/>
        <w:spacing w:before="240" w:after="100"/>
      </w:pPr>
    </w:p>
    <w:p>
      <w:pPr>
        <w:spacing w:before="0" w:after="140" w:line="283" w:lineRule="auto"/>
      </w:pPr>
      <w:r>
        <w:rPr>
          <w:rFonts w:ascii="Calibri" w:hAnsi="Calibri"/>
          <w:color w:val="141F2B"/>
          <w:sz w:val="20"/>
        </w:rPr>
        <w:t>Cancer transcriptomics classifiers usually report AUC and accuracy. Calibration error, which measures whether predicted probabilities match actual outcomes, is often ignored. I compared five calibration strategies (Platt Scaling, Isotonic Regression, QN+Platt, QN-only, None) across four model classes for colon cancer proliferation prediction. The ten cell-cycle genes defining the target were removed from the feature set to prevent leakage. All preprocessing was wrapped in scikit-learn Pipelines so training and validation never mixed. Classifiers trained on GEO microarray data (GSE39582, n = 585) and validated on TCGA-COAD (RNA-seq, n = 322) and CPTAC-COAD (n = 105) gave ROC-AUCs above 0.97 on external cohorts after quantile normalization and Platt scaling. Tree-based models needed minimal calibration (AUC 0.973, Accuracy 0.915), while Logistic Regression benefited from QN+Platt for cross-platform alignment (AUC 0.972). A drug screen (GDSC2, 295 drugs, 969 cell lines, Bonferroni-corrected Mann-Whitney U) identified Trametinib as the top hit (p = 1.8e-12). All five top hits target the MAPK/ERK pathway. On CPTAC-COAD (n = 105), Random Forest had a calibrated AUC of 0.9487 and accuracy of 0.8679. High proliferation was linked to shorter survival in GEO (log-rank p = 0.037) and TCGA (log-rank p = 0.034). Code: https://github.com/Ronisnotasianfr/ColoGrowth-ML.</w:t>
      </w:r>
    </w:p>
    <w:p>
      <w:pPr>
        <w:pStyle w:val="Heading1"/>
        <w:keepNext/>
        <w:spacing w:before="240" w:after="100"/>
      </w:pPr>
    </w:p>
    <w:p>
      <w:pPr>
        <w:spacing w:before="0" w:after="140" w:line="283" w:lineRule="auto"/>
      </w:pPr>
      <w:r>
        <w:rPr>
          <w:rFonts w:ascii="Calibri" w:hAnsi="Calibri"/>
          <w:color w:val="141F2B"/>
          <w:sz w:val="20"/>
        </w:rPr>
        <w:t>Proliferation rate tells you a lot about how a colon cancer patient will do. Doctors estimate it through Ki-67 staining or tumor staging, but both methods have problems. Different pathologists reading the same Ki-67 slide can give different scores. Staging is coarser and misses the molecular detail. I wanted to see if a classifier trained on gene expression data could do better, or at least give a consistent second opinion.</w:t>
      </w:r>
    </w:p>
    <w:p>
      <w:pPr>
        <w:spacing w:before="0" w:after="140" w:line="283" w:lineRule="auto"/>
      </w:pPr>
      <w:r>
        <w:rPr>
          <w:rFonts w:ascii="Calibri" w:hAnsi="Calibri"/>
          <w:color w:val="141F2B"/>
          <w:sz w:val="20"/>
        </w:rPr>
        <w:t>I trained four classifiers on GEO microarray data to predict high versus low proliferation from gene expression plus age, sex, and stage. The ten cell-cycle genes that define the target were removed from the features first. I wanted to make sure the models were learning something about broader transcription patterns, not just reconstructing the same score. External validation was done on TCGA RNA-seq, a completely different sequencing platform from the microarray training data.</w:t>
      </w:r>
    </w:p>
    <w:p>
      <w:r>
        <w:br w:type="page"/>
      </w:r>
    </w:p>
    <w:p>
      <w:pPr>
        <w:pStyle w:val="Heading1"/>
        <w:keepNext/>
        <w:spacing w:before="240" w:after="100"/>
      </w:pPr>
    </w:p>
    <w:p>
      <w:pPr>
        <w:spacing w:before="0" w:after="140" w:line="283" w:lineRule="auto"/>
      </w:pPr>
      <w:r>
        <w:rPr>
          <w:rFonts w:ascii="Calibri" w:hAnsi="Calibri"/>
          <w:color w:val="141F2B"/>
          <w:sz w:val="20"/>
        </w:rPr>
        <w:t>The GEO_PAN dataset has 823 samples and 22182 features after removing the ten signature genes. Clinical covariates are age, sex, and stage. Target class balance: 411 low, 412 high. I used an 80/20 stratified split: 658 training, 165 holdout.</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Dataset file</w:t>
            </w:r>
          </w:p>
        </w:tc>
        <w:tc>
          <w:tcPr>
            <w:tcW w:type="dxa" w:w="2469"/>
            <w:shd w:fill="F4F6F9"/>
            <w:vAlign w:val="center"/>
          </w:tcPr>
          <w:p>
            <w:pPr>
              <w:spacing w:after="0"/>
            </w:pPr>
            <w:r/>
            <w:r>
              <w:rPr>
                <w:rFonts w:ascii="Calibri" w:hAnsi="Calibri"/>
                <w:b/>
                <w:color w:val="141F2B"/>
                <w:sz w:val="17"/>
              </w:rPr>
              <w:t>Samples</w:t>
            </w:r>
          </w:p>
        </w:tc>
        <w:tc>
          <w:tcPr>
            <w:tcW w:type="dxa" w:w="2469"/>
            <w:shd w:fill="F4F6F9"/>
            <w:vAlign w:val="center"/>
          </w:tcPr>
          <w:p>
            <w:pPr>
              <w:spacing w:after="0"/>
            </w:pPr>
            <w:r/>
            <w:r>
              <w:rPr>
                <w:rFonts w:ascii="Calibri" w:hAnsi="Calibri"/>
                <w:b/>
                <w:color w:val="141F2B"/>
                <w:sz w:val="17"/>
              </w:rPr>
              <w:t>Features/columns</w:t>
            </w:r>
          </w:p>
        </w:tc>
        <w:tc>
          <w:tcPr>
            <w:tcW w:type="dxa" w:w="2469"/>
            <w:shd w:fill="F4F6F9"/>
            <w:vAlign w:val="center"/>
          </w:tcPr>
          <w:p>
            <w:pPr>
              <w:spacing w:after="0"/>
            </w:pPr>
            <w:r/>
            <w:r>
              <w:rPr>
                <w:rFonts w:ascii="Calibri" w:hAnsi="Calibri"/>
                <w:b/>
                <w:color w:val="141F2B"/>
                <w:sz w:val="17"/>
              </w:rPr>
              <w:t>Class balance</w:t>
            </w:r>
          </w:p>
        </w:tc>
      </w:tr>
      <w:tr>
        <w:tc>
          <w:tcPr>
            <w:tcW w:type="dxa" w:w="2469"/>
            <w:vAlign w:val="center"/>
          </w:tcPr>
          <w:p>
            <w:pPr>
              <w:spacing w:after="0"/>
            </w:pPr>
            <w:r/>
            <w:r>
              <w:rPr>
                <w:rFonts w:ascii="Calibri" w:hAnsi="Calibri"/>
                <w:b w:val="0"/>
                <w:sz w:val="17"/>
              </w:rPr>
              <w:t>geo_pan_X_features / y_target</w:t>
            </w:r>
          </w:p>
        </w:tc>
        <w:tc>
          <w:tcPr>
            <w:tcW w:type="dxa" w:w="2469"/>
            <w:vAlign w:val="center"/>
          </w:tcPr>
          <w:p>
            <w:pPr>
              <w:spacing w:after="0"/>
            </w:pPr>
            <w:r/>
            <w:r>
              <w:rPr>
                <w:rFonts w:ascii="Calibri" w:hAnsi="Calibri"/>
                <w:b w:val="0"/>
                <w:sz w:val="17"/>
              </w:rPr>
              <w:t>823</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411 low, 412 high</w:t>
            </w:r>
          </w:p>
        </w:tc>
      </w:tr>
      <w:tr>
        <w:tc>
          <w:tcPr>
            <w:tcW w:type="dxa" w:w="2469"/>
            <w:vAlign w:val="center"/>
          </w:tcPr>
          <w:p>
            <w:pPr>
              <w:spacing w:after="0"/>
            </w:pPr>
            <w:r/>
            <w:r>
              <w:rPr>
                <w:rFonts w:ascii="Calibri" w:hAnsi="Calibri"/>
                <w:b w:val="0"/>
                <w:sz w:val="17"/>
              </w:rPr>
              <w:t>Training pool (80% stratified split)</w:t>
            </w:r>
          </w:p>
        </w:tc>
        <w:tc>
          <w:tcPr>
            <w:tcW w:type="dxa" w:w="2469"/>
            <w:vAlign w:val="center"/>
          </w:tcPr>
          <w:p>
            <w:pPr>
              <w:spacing w:after="0"/>
            </w:pPr>
            <w:r/>
            <w:r>
              <w:rPr>
                <w:rFonts w:ascii="Calibri" w:hAnsi="Calibri"/>
                <w:b w:val="0"/>
                <w:sz w:val="17"/>
              </w:rPr>
              <w:t>658</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r>
        <w:tc>
          <w:tcPr>
            <w:tcW w:type="dxa" w:w="2469"/>
            <w:vAlign w:val="center"/>
          </w:tcPr>
          <w:p>
            <w:pPr>
              <w:spacing w:after="0"/>
            </w:pPr>
            <w:r/>
            <w:r>
              <w:rPr>
                <w:rFonts w:ascii="Calibri" w:hAnsi="Calibri"/>
                <w:b w:val="0"/>
                <w:sz w:val="17"/>
              </w:rPr>
              <w:t>Holdout test (20% stratified split)</w:t>
            </w:r>
          </w:p>
        </w:tc>
        <w:tc>
          <w:tcPr>
            <w:tcW w:type="dxa" w:w="2469"/>
            <w:vAlign w:val="center"/>
          </w:tcPr>
          <w:p>
            <w:pPr>
              <w:spacing w:after="0"/>
            </w:pPr>
            <w:r/>
            <w:r>
              <w:rPr>
                <w:rFonts w:ascii="Calibri" w:hAnsi="Calibri"/>
                <w:b w:val="0"/>
                <w:sz w:val="17"/>
              </w:rPr>
              <w:t>165</w:t>
            </w:r>
          </w:p>
        </w:tc>
        <w:tc>
          <w:tcPr>
            <w:tcW w:type="dxa" w:w="2469"/>
            <w:vAlign w:val="center"/>
          </w:tcPr>
          <w:p>
            <w:pPr>
              <w:spacing w:after="0"/>
            </w:pPr>
            <w:r/>
            <w:r>
              <w:rPr>
                <w:rFonts w:ascii="Calibri" w:hAnsi="Calibri"/>
                <w:b w:val="0"/>
                <w:sz w:val="17"/>
              </w:rPr>
              <w:t>22182</w:t>
            </w:r>
          </w:p>
        </w:tc>
        <w:tc>
          <w:tcPr>
            <w:tcW w:type="dxa" w:w="2469"/>
            <w:vAlign w:val="center"/>
          </w:tcPr>
          <w:p>
            <w:pPr>
              <w:spacing w:after="0"/>
            </w:pPr>
            <w:r/>
            <w:r>
              <w:rPr>
                <w:rFonts w:ascii="Calibri" w:hAnsi="Calibri"/>
                <w:b w:val="0"/>
                <w:sz w:val="17"/>
              </w:rPr>
              <w:t>Stratified by class</w:t>
            </w:r>
          </w:p>
        </w:tc>
      </w:tr>
    </w:tbl>
    <w:p>
      <w:pPr>
        <w:spacing w:before="60" w:after="160"/>
        <w:jc w:val="center"/>
      </w:pPr>
      <w:r>
        <w:rPr>
          <w:rFonts w:ascii="Calibri" w:hAnsi="Calibri"/>
          <w:i/>
          <w:color w:val="5A5A5A"/>
          <w:sz w:val="17"/>
        </w:rPr>
        <w:t>Table 1. Processed data files used for this leakage-corrected report.</w:t>
      </w:r>
    </w:p>
    <w:p>
      <w:pPr>
        <w:spacing w:before="0" w:after="140" w:line="283" w:lineRule="auto"/>
      </w:pPr>
      <w:r>
        <w:rPr>
          <w:rFonts w:ascii="Calibri" w:hAnsi="Calibri"/>
          <w:color w:val="141F2B"/>
          <w:sz w:val="20"/>
        </w:rPr>
        <w:t>I used a multi-cohort design. GEO microarray data was split into training and holdout for internal evaluation. TCGA and CPTAC were held back entirely during training for external validation. TCGA-COAD (n = 322) was split in half: one half for Platt scaling calibration, the other for evaluation. Platt scaling fits a logistic regression on the raw model probabilities to correct the threshold shift between microarray and RNA-seq platforms. Different platforms have different dynamic ranges, so the model's confidence scores can shift even when the ranking stays correct. Platt scaling fixes the threshold without changing the ranking. CPTAC-COAD (n = 105) was split the same way for a second external check. Feature selection, scaling, and model training used only GEO data.</w:t>
      </w:r>
    </w:p>
    <w:p>
      <w:pPr>
        <w:spacing w:before="0" w:after="140" w:line="283" w:lineRule="auto"/>
      </w:pPr>
      <w:r>
        <w:rPr>
          <w:rFonts w:ascii="Calibri" w:hAnsi="Calibri"/>
          <w:color w:val="141F2B"/>
          <w:sz w:val="20"/>
        </w:rPr>
        <w:t>The three-way validation data-flow schematic is detailed in Figure 7.</w:t>
      </w:r>
    </w:p>
    <w:p>
      <w:pPr>
        <w:spacing w:before="80" w:after="80" w:line="220" w:lineRule="exact"/>
      </w:pPr>
      <w:r>
        <w:rPr>
          <w:rFonts w:ascii="Consolas" w:hAnsi="Consolas"/>
          <w:color w:val="141F2B"/>
          <w:sz w:val="16"/>
        </w:rPr>
        <w:t xml:space="preserve">                     [ GEO Cohort (n=585) ]</w:t>
        <w:br/>
        <w:t xml:space="preserve">                               |</w:t>
        <w:br/>
        <w:t xml:space="preserve">                 +-------------+-------------+</w:t>
        <w:br/>
        <w:t xml:space="preserve">                 v                           v</w:t>
        <w:br/>
        <w:t xml:space="preserve">        GEO-Train (80%, n=468)      GEO-Holdout (20%, n=117)</w:t>
        <w:br/>
        <w:t xml:space="preserve">                 |                           |</w:t>
        <w:br/>
        <w:t xml:space="preserve">                 +-&gt; [Feature Selection]     +-&gt; [Evaluate Model]</w:t>
        <w:br/>
        <w:t xml:space="preserve">                 +-&gt; [GridSearchCV Tuning]   |</w:t>
        <w:br/>
        <w:t xml:space="preserve">                 +-&gt; [Fit Model Coefficients]|</w:t>
        <w:br/>
        <w:t xml:space="preserve">                                             |</w:t>
        <w:br/>
        <w:t xml:space="preserve">          +----------------------------------+</w:t>
        <w:br/>
        <w:t xml:space="preserve">          v                                   v</w:t>
        <w:br/>
        <w:t xml:space="preserve">  [TCGA Cohort (n=322)]            [CPTAC Cohort (n=105)]</w:t>
        <w:br/>
        <w:t xml:space="preserve">          |                                   |</w:t>
        <w:br/>
        <w:t xml:space="preserve">    +-----+-----+                       +----+------+</w:t>
        <w:br/>
        <w:t xml:space="preserve">    v           v                       v           v</w:t>
        <w:br/>
        <w:t xml:space="preserve">  Calib (50%)  Eval (50%)           Calib (50%)  Eval (50%)</w:t>
      </w:r>
    </w:p>
    <w:p>
      <w:pPr>
        <w:spacing w:before="60" w:after="160"/>
        <w:jc w:val="center"/>
      </w:pPr>
      <w:r>
        <w:rPr>
          <w:rFonts w:ascii="Calibri" w:hAnsi="Calibri"/>
          <w:i/>
          <w:color w:val="5A5A5A"/>
          <w:sz w:val="17"/>
        </w:rPr>
        <w:t>Figure 7. Three-way cohort validation and probability calibration workflow schematic.</w:t>
      </w:r>
    </w:p>
    <w:p>
      <w:pPr>
        <w:spacing w:before="0" w:after="140" w:line="283" w:lineRule="auto"/>
      </w:pPr>
      <w:r>
        <w:rPr>
          <w:rFonts w:ascii="Calibri" w:hAnsi="Calibri"/>
          <w:color w:val="141F2B"/>
          <w:sz w:val="20"/>
        </w:rPr>
        <w:t>I chose these four models for different reasons. Logistic Regression lets me look at the coefficients and see which genes drive the prediction. Random Forest and XGBoost can pick up non-linear interactions. I added the MLP to test whether deep learning helps on a dataset with only 585 samples, though I suspected it would not. Each model went into a Pipeline: standardize, filter low-variance genes, select the 500 best by ANOVA F-score, then classify. I learned why nested CV matters the hard way. My first pass used single-shot feature selection on the whole training pool before cross-validation. The CV scores looked great. The holdout performance was noticeably worse. The feature selection had peeked at all the data, leaking information across folds. Wrapping everything inside a Pipeline and using nested five-fold CV fixed this. The inner fold selects features on 4/5 of the data, and the outer fold tests on the held-out 1/5. It is slower but the numbers are honest.</w:t>
      </w:r>
    </w:p>
    <w:p>
      <w:pPr>
        <w:spacing w:before="0" w:after="140" w:line="283" w:lineRule="auto"/>
      </w:pPr>
      <w:r>
        <w:rPr>
          <w:rFonts w:ascii="Calibri" w:hAnsi="Calibri"/>
          <w:color w:val="141F2B"/>
          <w:sz w:val="20"/>
        </w:rPr>
        <w:t>I defined the target as the mean z-score of ten cell-cycle genes: MKI67, PCNA, TOP2A, MCM2, MCM6, AURKA, BUB1, CCNB1, CDK1, and BIRC5. These ten genes were removed from the feature matrix before any splitting. Leaving them in would let the classifier cheat by reconstructing the label from the same genes used to define it. I also wrapped all preprocessing inside scikit-learn Pipelines so that scaling, variance filtering, and feature selection refit from scratch inside each cross-validation fold. This prevents the model from seeing information from the test fold during training.</w:t>
      </w:r>
    </w:p>
    <w:p>
      <w:pPr>
        <w:spacing w:before="0" w:after="140" w:line="283" w:lineRule="auto"/>
      </w:pPr>
      <w:r>
        <w:rPr>
          <w:rFonts w:ascii="Calibri" w:hAnsi="Calibri"/>
          <w:color w:val="141F2B"/>
          <w:sz w:val="20"/>
        </w:rPr>
        <w:t>GridSearchCV parameter search spaces and optimal configurations are shown in Table 2.</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Model</w:t>
            </w:r>
          </w:p>
        </w:tc>
        <w:tc>
          <w:tcPr>
            <w:tcW w:type="dxa" w:w="1976"/>
            <w:shd w:fill="F4F6F9"/>
            <w:vAlign w:val="center"/>
          </w:tcPr>
          <w:p>
            <w:pPr>
              <w:spacing w:after="0"/>
            </w:pPr>
            <w:r/>
            <w:r>
              <w:rPr>
                <w:rFonts w:ascii="Calibri" w:hAnsi="Calibri"/>
                <w:b/>
                <w:color w:val="141F2B"/>
                <w:sz w:val="16"/>
              </w:rPr>
              <w:t>Hyperparameter</w:t>
            </w:r>
          </w:p>
        </w:tc>
        <w:tc>
          <w:tcPr>
            <w:tcW w:type="dxa" w:w="1976"/>
            <w:shd w:fill="F4F6F9"/>
            <w:vAlign w:val="center"/>
          </w:tcPr>
          <w:p>
            <w:pPr>
              <w:spacing w:after="0"/>
            </w:pPr>
            <w:r/>
            <w:r>
              <w:rPr>
                <w:rFonts w:ascii="Calibri" w:hAnsi="Calibri"/>
                <w:b/>
                <w:color w:val="141F2B"/>
                <w:sz w:val="16"/>
              </w:rPr>
              <w:t>Search Range</w:t>
            </w:r>
          </w:p>
        </w:tc>
        <w:tc>
          <w:tcPr>
            <w:tcW w:type="dxa" w:w="1976"/>
            <w:shd w:fill="F4F6F9"/>
            <w:vAlign w:val="center"/>
          </w:tcPr>
          <w:p>
            <w:pPr>
              <w:spacing w:after="0"/>
            </w:pPr>
            <w:r/>
            <w:r>
              <w:rPr>
                <w:rFonts w:ascii="Calibri" w:hAnsi="Calibri"/>
                <w:b/>
                <w:color w:val="141F2B"/>
                <w:sz w:val="16"/>
              </w:rPr>
              <w:t>Selected</w:t>
            </w:r>
          </w:p>
        </w:tc>
        <w:tc>
          <w:tcPr>
            <w:tcW w:type="dxa" w:w="1976"/>
            <w:shd w:fill="F4F6F9"/>
            <w:vAlign w:val="center"/>
          </w:tcPr>
          <w:p>
            <w:pPr>
              <w:spacing w:after="0"/>
            </w:pPr>
            <w:r/>
            <w:r>
              <w:rPr>
                <w:rFonts w:ascii="Calibri" w:hAnsi="Calibri"/>
                <w:b/>
                <w:color w:val="141F2B"/>
                <w:sz w:val="16"/>
              </w:rPr>
              <w:t>Notes</w:t>
            </w:r>
          </w:p>
        </w:tc>
      </w:tr>
      <w:tr>
        <w:tc>
          <w:tcPr>
            <w:tcW w:type="dxa" w:w="1976"/>
            <w:vAlign w:val="center"/>
          </w:tcPr>
          <w:p>
            <w:pPr>
              <w:spacing w:after="0"/>
            </w:pPr>
            <w:r/>
            <w:r>
              <w:rPr>
                <w:rFonts w:ascii="Calibri" w:hAnsi="Calibri"/>
                <w:b w:val="0"/>
                <w:sz w:val="16"/>
              </w:rPr>
              <w:t>Logistic Regression</w:t>
            </w:r>
          </w:p>
        </w:tc>
        <w:tc>
          <w:tcPr>
            <w:tcW w:type="dxa" w:w="1976"/>
            <w:vAlign w:val="center"/>
          </w:tcPr>
          <w:p>
            <w:pPr>
              <w:spacing w:after="0"/>
            </w:pPr>
            <w:r/>
            <w:r>
              <w:rPr>
                <w:rFonts w:ascii="Calibri" w:hAnsi="Calibri"/>
                <w:b w:val="0"/>
                <w:sz w:val="16"/>
              </w:rPr>
              <w:t>C (Regularization)</w:t>
            </w:r>
          </w:p>
        </w:tc>
        <w:tc>
          <w:tcPr>
            <w:tcW w:type="dxa" w:w="1976"/>
            <w:vAlign w:val="center"/>
          </w:tcPr>
          <w:p>
            <w:pPr>
              <w:spacing w:after="0"/>
            </w:pPr>
            <w:r/>
            <w:r>
              <w:rPr>
                <w:rFonts w:ascii="Calibri" w:hAnsi="Calibri"/>
                <w:b w:val="0"/>
                <w:sz w:val="16"/>
              </w:rPr>
              <w:t>[0.01, 0.1, 1.0, 10.0]</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L2 penalty, liblinear solver</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Ensemble size</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[5, 10, None]</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Tree depth limit</w:t>
            </w:r>
          </w:p>
        </w:tc>
      </w:tr>
      <w:tr>
        <w:tc>
          <w:tcPr>
            <w:tcW w:type="dxa" w:w="1976"/>
            <w:vAlign w:val="center"/>
          </w:tcPr>
          <w:p>
            <w:pPr>
              <w:spacing w:after="0"/>
            </w:pPr>
            <w:r/>
            <w:r>
              <w:rPr>
                <w:rFonts w:ascii="Calibri" w:hAnsi="Calibri"/>
                <w:b w:val="0"/>
                <w:sz w:val="16"/>
              </w:rPr>
              <w:t>Random Forest</w:t>
            </w:r>
          </w:p>
        </w:tc>
        <w:tc>
          <w:tcPr>
            <w:tcW w:type="dxa" w:w="1976"/>
            <w:vAlign w:val="center"/>
          </w:tcPr>
          <w:p>
            <w:pPr>
              <w:spacing w:after="0"/>
            </w:pPr>
            <w:r/>
            <w:r>
              <w:rPr>
                <w:rFonts w:ascii="Calibri" w:hAnsi="Calibri"/>
                <w:b w:val="0"/>
                <w:sz w:val="16"/>
              </w:rPr>
              <w:t>min_samples_leaf</w:t>
            </w:r>
          </w:p>
        </w:tc>
        <w:tc>
          <w:tcPr>
            <w:tcW w:type="dxa" w:w="1976"/>
            <w:vAlign w:val="center"/>
          </w:tcPr>
          <w:p>
            <w:pPr>
              <w:spacing w:after="0"/>
            </w:pPr>
            <w:r/>
            <w:r>
              <w:rPr>
                <w:rFonts w:ascii="Calibri" w:hAnsi="Calibri"/>
                <w:b w:val="0"/>
                <w:sz w:val="16"/>
              </w:rPr>
              <w:t>[2, 4]</w:t>
            </w:r>
          </w:p>
        </w:tc>
        <w:tc>
          <w:tcPr>
            <w:tcW w:type="dxa" w:w="1976"/>
            <w:vAlign w:val="center"/>
          </w:tcPr>
          <w:p>
            <w:pPr>
              <w:spacing w:after="0"/>
            </w:pPr>
            <w:r/>
            <w:r>
              <w:rPr>
                <w:rFonts w:ascii="Calibri" w:hAnsi="Calibri"/>
                <w:b w:val="0"/>
                <w:sz w:val="16"/>
              </w:rPr>
              <w:t>2</w:t>
            </w:r>
          </w:p>
        </w:tc>
        <w:tc>
          <w:tcPr>
            <w:tcW w:type="dxa" w:w="1976"/>
            <w:vAlign w:val="center"/>
          </w:tcPr>
          <w:p>
            <w:pPr>
              <w:spacing w:after="0"/>
            </w:pPr>
            <w:r/>
            <w:r>
              <w:rPr>
                <w:rFonts w:ascii="Calibri" w:hAnsi="Calibri"/>
                <w:b w:val="0"/>
                <w:sz w:val="16"/>
              </w:rPr>
              <w:t>Leaf node size</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n_estimators</w:t>
            </w:r>
          </w:p>
        </w:tc>
        <w:tc>
          <w:tcPr>
            <w:tcW w:type="dxa" w:w="1976"/>
            <w:vAlign w:val="center"/>
          </w:tcPr>
          <w:p>
            <w:pPr>
              <w:spacing w:after="0"/>
            </w:pPr>
            <w:r/>
            <w:r>
              <w:rPr>
                <w:rFonts w:ascii="Calibri" w:hAnsi="Calibri"/>
                <w:b w:val="0"/>
                <w:sz w:val="16"/>
              </w:rPr>
              <w:t>[100, 200]</w:t>
            </w:r>
          </w:p>
        </w:tc>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Boosting iterations</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max_depth</w:t>
            </w:r>
          </w:p>
        </w:tc>
        <w:tc>
          <w:tcPr>
            <w:tcW w:type="dxa" w:w="1976"/>
            <w:vAlign w:val="center"/>
          </w:tcPr>
          <w:p>
            <w:pPr>
              <w:spacing w:after="0"/>
            </w:pPr>
            <w:r/>
            <w:r>
              <w:rPr>
                <w:rFonts w:ascii="Calibri" w:hAnsi="Calibri"/>
                <w:b w:val="0"/>
                <w:sz w:val="16"/>
              </w:rPr>
              <w:t>[3, 5, 7]</w:t>
            </w:r>
          </w:p>
        </w:tc>
        <w:tc>
          <w:tcPr>
            <w:tcW w:type="dxa" w:w="1976"/>
            <w:vAlign w:val="center"/>
          </w:tcPr>
          <w:p>
            <w:pPr>
              <w:spacing w:after="0"/>
            </w:pPr>
            <w:r/>
            <w:r>
              <w:rPr>
                <w:rFonts w:ascii="Calibri" w:hAnsi="Calibri"/>
                <w:b w:val="0"/>
                <w:sz w:val="16"/>
              </w:rPr>
              <w:t>5</w:t>
            </w:r>
          </w:p>
        </w:tc>
        <w:tc>
          <w:tcPr>
            <w:tcW w:type="dxa" w:w="1976"/>
            <w:vAlign w:val="center"/>
          </w:tcPr>
          <w:p>
            <w:pPr>
              <w:spacing w:after="0"/>
            </w:pPr>
            <w:r/>
            <w:r>
              <w:rPr>
                <w:rFonts w:ascii="Calibri" w:hAnsi="Calibri"/>
                <w:b w:val="0"/>
                <w:sz w:val="16"/>
              </w:rPr>
              <w:t>Max tree depth</w:t>
            </w:r>
          </w:p>
        </w:tc>
      </w:tr>
      <w:tr>
        <w:tc>
          <w:tcPr>
            <w:tcW w:type="dxa" w:w="1976"/>
            <w:vAlign w:val="center"/>
          </w:tcPr>
          <w:p>
            <w:pPr>
              <w:spacing w:after="0"/>
            </w:pPr>
            <w:r/>
            <w:r>
              <w:rPr>
                <w:rFonts w:ascii="Calibri" w:hAnsi="Calibri"/>
                <w:b w:val="0"/>
                <w:sz w:val="16"/>
              </w:rPr>
              <w:t>XGBoost</w:t>
            </w:r>
          </w:p>
        </w:tc>
        <w:tc>
          <w:tcPr>
            <w:tcW w:type="dxa" w:w="1976"/>
            <w:vAlign w:val="center"/>
          </w:tcPr>
          <w:p>
            <w:pPr>
              <w:spacing w:after="0"/>
            </w:pPr>
            <w:r/>
            <w:r>
              <w:rPr>
                <w:rFonts w:ascii="Calibri" w:hAnsi="Calibri"/>
                <w:b w:val="0"/>
                <w:sz w:val="16"/>
              </w:rPr>
              <w:t>learning_rate</w:t>
            </w:r>
          </w:p>
        </w:tc>
        <w:tc>
          <w:tcPr>
            <w:tcW w:type="dxa" w:w="1976"/>
            <w:vAlign w:val="center"/>
          </w:tcPr>
          <w:p>
            <w:pPr>
              <w:spacing w:after="0"/>
            </w:pPr>
            <w:r/>
            <w:r>
              <w:rPr>
                <w:rFonts w:ascii="Calibri" w:hAnsi="Calibri"/>
                <w:b w:val="0"/>
                <w:sz w:val="16"/>
              </w:rPr>
              <w:t>[0.01, 0.05, 0.1]</w:t>
            </w:r>
          </w:p>
        </w:tc>
        <w:tc>
          <w:tcPr>
            <w:tcW w:type="dxa" w:w="1976"/>
            <w:vAlign w:val="center"/>
          </w:tcPr>
          <w:p>
            <w:pPr>
              <w:spacing w:after="0"/>
            </w:pPr>
            <w:r/>
            <w:r>
              <w:rPr>
                <w:rFonts w:ascii="Calibri" w:hAnsi="Calibri"/>
                <w:b w:val="0"/>
                <w:sz w:val="16"/>
              </w:rPr>
              <w:t>0.1</w:t>
            </w:r>
          </w:p>
        </w:tc>
        <w:tc>
          <w:tcPr>
            <w:tcW w:type="dxa" w:w="1976"/>
            <w:vAlign w:val="center"/>
          </w:tcPr>
          <w:p>
            <w:pPr>
              <w:spacing w:after="0"/>
            </w:pPr>
            <w:r/>
            <w:r>
              <w:rPr>
                <w:rFonts w:ascii="Calibri" w:hAnsi="Calibri"/>
                <w:b w:val="0"/>
                <w:sz w:val="16"/>
              </w:rPr>
              <w:t>Shrinkage rate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hidden_layer_sizes</w:t>
            </w:r>
          </w:p>
        </w:tc>
        <w:tc>
          <w:tcPr>
            <w:tcW w:type="dxa" w:w="1976"/>
            <w:vAlign w:val="center"/>
          </w:tcPr>
          <w:p>
            <w:pPr>
              <w:spacing w:after="0"/>
            </w:pPr>
            <w:r/>
            <w:r>
              <w:rPr>
                <w:rFonts w:ascii="Calibri" w:hAnsi="Calibri"/>
                <w:b w:val="0"/>
                <w:sz w:val="16"/>
              </w:rPr>
              <w:t>[(128, 64), (256, 128, 64)]</w:t>
            </w:r>
          </w:p>
        </w:tc>
        <w:tc>
          <w:tcPr>
            <w:tcW w:type="dxa" w:w="1976"/>
            <w:vAlign w:val="center"/>
          </w:tcPr>
          <w:p>
            <w:pPr>
              <w:spacing w:after="0"/>
            </w:pPr>
            <w:r/>
            <w:r>
              <w:rPr>
                <w:rFonts w:ascii="Calibri" w:hAnsi="Calibri"/>
                <w:b w:val="0"/>
                <w:sz w:val="16"/>
              </w:rPr>
              <w:t>(256, 128, 64)</w:t>
            </w:r>
          </w:p>
        </w:tc>
        <w:tc>
          <w:tcPr>
            <w:tcW w:type="dxa" w:w="1976"/>
            <w:vAlign w:val="center"/>
          </w:tcPr>
          <w:p>
            <w:pPr>
              <w:spacing w:after="0"/>
            </w:pPr>
            <w:r/>
            <w:r>
              <w:rPr>
                <w:rFonts w:ascii="Calibri" w:hAnsi="Calibri"/>
                <w:b w:val="0"/>
                <w:sz w:val="16"/>
              </w:rPr>
              <w:t>Network architecture</w:t>
            </w:r>
          </w:p>
        </w:tc>
      </w:tr>
      <w:tr>
        <w:tc>
          <w:tcPr>
            <w:tcW w:type="dxa" w:w="1976"/>
            <w:vAlign w:val="center"/>
          </w:tcPr>
          <w:p>
            <w:pPr>
              <w:spacing w:after="0"/>
            </w:pPr>
            <w:r/>
            <w:r>
              <w:rPr>
                <w:rFonts w:ascii="Calibri" w:hAnsi="Calibri"/>
                <w:b w:val="0"/>
                <w:sz w:val="16"/>
              </w:rPr>
              <w:t>Neural Network (MLP)</w:t>
            </w:r>
          </w:p>
        </w:tc>
        <w:tc>
          <w:tcPr>
            <w:tcW w:type="dxa" w:w="1976"/>
            <w:vAlign w:val="center"/>
          </w:tcPr>
          <w:p>
            <w:pPr>
              <w:spacing w:after="0"/>
            </w:pPr>
            <w:r/>
            <w:r>
              <w:rPr>
                <w:rFonts w:ascii="Calibri" w:hAnsi="Calibri"/>
                <w:b w:val="0"/>
                <w:sz w:val="16"/>
              </w:rPr>
              <w:t>alpha</w:t>
            </w:r>
          </w:p>
        </w:tc>
        <w:tc>
          <w:tcPr>
            <w:tcW w:type="dxa" w:w="1976"/>
            <w:vAlign w:val="center"/>
          </w:tcPr>
          <w:p>
            <w:pPr>
              <w:spacing w:after="0"/>
            </w:pPr>
            <w:r/>
            <w:r>
              <w:rPr>
                <w:rFonts w:ascii="Calibri" w:hAnsi="Calibri"/>
                <w:b w:val="0"/>
                <w:sz w:val="16"/>
              </w:rPr>
              <w:t>[0.0001, 0.001]</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L2 regularization term</w:t>
            </w:r>
          </w:p>
        </w:tc>
      </w:tr>
    </w:tbl>
    <w:p>
      <w:pPr>
        <w:spacing w:before="60" w:after="160"/>
        <w:jc w:val="center"/>
      </w:pPr>
      <w:r>
        <w:rPr>
          <w:rFonts w:ascii="Calibri" w:hAnsi="Calibri"/>
          <w:i/>
          <w:color w:val="5A5A5A"/>
          <w:sz w:val="17"/>
        </w:rPr>
        <w:t>Table 2. Hyperparameter optimization search ranges and selected settings.</w:t>
      </w:r>
    </w:p>
    <w:p>
      <w:r>
        <w:br w:type="page"/>
      </w:r>
    </w:p>
    <w:p>
      <w:pPr>
        <w:pStyle w:val="Heading1"/>
        <w:keepNext/>
        <w:spacing w:before="240" w:after="100"/>
      </w:pPr>
    </w:p>
    <w:p>
      <w:pPr>
        <w:spacing w:before="0" w:after="140" w:line="283" w:lineRule="auto"/>
      </w:pPr>
      <w:r>
        <w:rPr>
          <w:rFonts w:ascii="Calibri" w:hAnsi="Calibri"/>
          <w:color w:val="141F2B"/>
          <w:sz w:val="20"/>
        </w:rPr>
        <w:t>I tested four models with nested five-fold CV on the GEO training pool (n = 468) after removing the ten signature genes. Mean CV ROC-AUCs were similar across models: Logistic Regression 0.9811 (+/- 0.0041), Random Forest 0.9788 (+/- 0.0047), XGBoost 0.9783 (+/- 0.0060), and MLP 0.9781 (+/- 0.0048). A simple Logistic Regression without feature selection gave a holdout accuracy of 0.9697, compared to 0.4970 for a majority-class baseline.</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6"/>
              </w:rPr>
              <w:t>Model</w:t>
            </w:r>
          </w:p>
        </w:tc>
        <w:tc>
          <w:tcPr>
            <w:tcW w:type="dxa" w:w="2469"/>
            <w:shd w:fill="F4F6F9"/>
            <w:vAlign w:val="center"/>
          </w:tcPr>
          <w:p>
            <w:pPr>
              <w:spacing w:after="0"/>
            </w:pPr>
            <w:r/>
            <w:r>
              <w:rPr>
                <w:rFonts w:ascii="Calibri" w:hAnsi="Calibri"/>
                <w:b/>
                <w:color w:val="141F2B"/>
                <w:sz w:val="16"/>
              </w:rPr>
              <w:t>CV ROC-AUC (mean +/- std)</w:t>
            </w:r>
          </w:p>
        </w:tc>
        <w:tc>
          <w:tcPr>
            <w:tcW w:type="dxa" w:w="2469"/>
            <w:shd w:fill="F4F6F9"/>
            <w:vAlign w:val="center"/>
          </w:tcPr>
          <w:p>
            <w:pPr>
              <w:spacing w:after="0"/>
            </w:pPr>
            <w:r/>
            <w:r>
              <w:rPr>
                <w:rFonts w:ascii="Calibri" w:hAnsi="Calibri"/>
                <w:b/>
                <w:color w:val="141F2B"/>
                <w:sz w:val="16"/>
              </w:rPr>
              <w:t>Holdout Accuracy (95% CI)</w:t>
            </w:r>
          </w:p>
        </w:tc>
        <w:tc>
          <w:tcPr>
            <w:tcW w:type="dxa" w:w="2469"/>
            <w:shd w:fill="F4F6F9"/>
            <w:vAlign w:val="center"/>
          </w:tcPr>
          <w:p>
            <w:pPr>
              <w:spacing w:after="0"/>
            </w:pPr>
            <w:r/>
            <w:r>
              <w:rPr>
                <w:rFonts w:ascii="Calibri" w:hAnsi="Calibri"/>
                <w:b/>
                <w:color w:val="141F2B"/>
                <w:sz w:val="16"/>
              </w:rPr>
              <w:t>Holdout ROC-AUC (95% CI)</w:t>
            </w:r>
          </w:p>
        </w:tc>
      </w:tr>
      <w:tr>
        <w:tc>
          <w:tcPr>
            <w:tcW w:type="dxa" w:w="2469"/>
            <w:vAlign w:val="center"/>
          </w:tcPr>
          <w:p>
            <w:pPr>
              <w:spacing w:after="0"/>
            </w:pPr>
            <w:r/>
            <w:r>
              <w:rPr>
                <w:rFonts w:ascii="Calibri" w:hAnsi="Calibri"/>
                <w:b w:val="0"/>
                <w:sz w:val="16"/>
              </w:rPr>
              <w:t>Logistic Regression</w:t>
            </w:r>
          </w:p>
        </w:tc>
        <w:tc>
          <w:tcPr>
            <w:tcW w:type="dxa" w:w="2469"/>
            <w:vAlign w:val="center"/>
          </w:tcPr>
          <w:p>
            <w:pPr>
              <w:spacing w:after="0"/>
            </w:pPr>
            <w:r/>
            <w:r>
              <w:rPr>
                <w:rFonts w:ascii="Calibri" w:hAnsi="Calibri"/>
                <w:b w:val="0"/>
                <w:sz w:val="16"/>
              </w:rPr>
              <w:t>0.9811 (+/- 0.0041)</w:t>
            </w:r>
          </w:p>
        </w:tc>
        <w:tc>
          <w:tcPr>
            <w:tcW w:type="dxa" w:w="2469"/>
            <w:vAlign w:val="center"/>
          </w:tcPr>
          <w:p>
            <w:pPr>
              <w:spacing w:after="0"/>
            </w:pPr>
            <w:r/>
            <w:r>
              <w:rPr>
                <w:rFonts w:ascii="Calibri" w:hAnsi="Calibri"/>
                <w:b w:val="0"/>
                <w:sz w:val="16"/>
              </w:rPr>
              <w:t>0.9030 (95% CI: 0.8545-0.9455)</w:t>
            </w:r>
          </w:p>
        </w:tc>
        <w:tc>
          <w:tcPr>
            <w:tcW w:type="dxa" w:w="2469"/>
            <w:vAlign w:val="center"/>
          </w:tcPr>
          <w:p>
            <w:pPr>
              <w:spacing w:after="0"/>
            </w:pPr>
            <w:r/>
            <w:r>
              <w:rPr>
                <w:rFonts w:ascii="Calibri" w:hAnsi="Calibri"/>
                <w:b w:val="0"/>
                <w:sz w:val="16"/>
              </w:rPr>
              <w:t>0.9850 (95% CI: 0.9713-0.9953)</w:t>
            </w:r>
          </w:p>
        </w:tc>
      </w:tr>
      <w:tr>
        <w:tc>
          <w:tcPr>
            <w:tcW w:type="dxa" w:w="2469"/>
            <w:vAlign w:val="center"/>
          </w:tcPr>
          <w:p>
            <w:pPr>
              <w:spacing w:after="0"/>
            </w:pPr>
            <w:r/>
            <w:r>
              <w:rPr>
                <w:rFonts w:ascii="Calibri" w:hAnsi="Calibri"/>
                <w:b w:val="0"/>
                <w:sz w:val="16"/>
              </w:rPr>
              <w:t>Random Forest</w:t>
            </w:r>
          </w:p>
        </w:tc>
        <w:tc>
          <w:tcPr>
            <w:tcW w:type="dxa" w:w="2469"/>
            <w:vAlign w:val="center"/>
          </w:tcPr>
          <w:p>
            <w:pPr>
              <w:spacing w:after="0"/>
            </w:pPr>
            <w:r/>
            <w:r>
              <w:rPr>
                <w:rFonts w:ascii="Calibri" w:hAnsi="Calibri"/>
                <w:b w:val="0"/>
                <w:sz w:val="16"/>
              </w:rPr>
              <w:t>0.9788 (+/- 0.0047)</w:t>
            </w:r>
          </w:p>
        </w:tc>
        <w:tc>
          <w:tcPr>
            <w:tcW w:type="dxa" w:w="2469"/>
            <w:vAlign w:val="center"/>
          </w:tcPr>
          <w:p>
            <w:pPr>
              <w:spacing w:after="0"/>
            </w:pPr>
            <w:r/>
            <w:r>
              <w:rPr>
                <w:rFonts w:ascii="Calibri" w:hAnsi="Calibri"/>
                <w:b w:val="0"/>
                <w:sz w:val="16"/>
              </w:rPr>
              <w:t>0.9273 (95% CI: 0.8848-0.9636)</w:t>
            </w:r>
          </w:p>
        </w:tc>
        <w:tc>
          <w:tcPr>
            <w:tcW w:type="dxa" w:w="2469"/>
            <w:vAlign w:val="center"/>
          </w:tcPr>
          <w:p>
            <w:pPr>
              <w:spacing w:after="0"/>
            </w:pPr>
            <w:r/>
            <w:r>
              <w:rPr>
                <w:rFonts w:ascii="Calibri" w:hAnsi="Calibri"/>
                <w:b w:val="0"/>
                <w:sz w:val="16"/>
              </w:rPr>
              <w:t>0.9871 (95% CI: 0.9748-0.9959)</w:t>
            </w:r>
          </w:p>
        </w:tc>
      </w:tr>
      <w:tr>
        <w:tc>
          <w:tcPr>
            <w:tcW w:type="dxa" w:w="2469"/>
            <w:vAlign w:val="center"/>
          </w:tcPr>
          <w:p>
            <w:pPr>
              <w:spacing w:after="0"/>
            </w:pPr>
            <w:r/>
            <w:r>
              <w:rPr>
                <w:rFonts w:ascii="Calibri" w:hAnsi="Calibri"/>
                <w:b w:val="0"/>
                <w:sz w:val="16"/>
              </w:rPr>
              <w:t>XGBoost</w:t>
            </w:r>
          </w:p>
        </w:tc>
        <w:tc>
          <w:tcPr>
            <w:tcW w:type="dxa" w:w="2469"/>
            <w:vAlign w:val="center"/>
          </w:tcPr>
          <w:p>
            <w:pPr>
              <w:spacing w:after="0"/>
            </w:pPr>
            <w:r/>
            <w:r>
              <w:rPr>
                <w:rFonts w:ascii="Calibri" w:hAnsi="Calibri"/>
                <w:b w:val="0"/>
                <w:sz w:val="16"/>
              </w:rPr>
              <w:t>0.9783 (+/- 0.0060)</w:t>
            </w:r>
          </w:p>
        </w:tc>
        <w:tc>
          <w:tcPr>
            <w:tcW w:type="dxa" w:w="2469"/>
            <w:vAlign w:val="center"/>
          </w:tcPr>
          <w:p>
            <w:pPr>
              <w:spacing w:after="0"/>
            </w:pPr>
            <w:r/>
            <w:r>
              <w:rPr>
                <w:rFonts w:ascii="Calibri" w:hAnsi="Calibri"/>
                <w:b w:val="0"/>
                <w:sz w:val="16"/>
              </w:rPr>
              <w:t>0.9273 (95% CI: 0.8848-0.9697)</w:t>
            </w:r>
          </w:p>
        </w:tc>
        <w:tc>
          <w:tcPr>
            <w:tcW w:type="dxa" w:w="2469"/>
            <w:vAlign w:val="center"/>
          </w:tcPr>
          <w:p>
            <w:pPr>
              <w:spacing w:after="0"/>
            </w:pPr>
            <w:r/>
            <w:r>
              <w:rPr>
                <w:rFonts w:ascii="Calibri" w:hAnsi="Calibri"/>
                <w:b w:val="0"/>
                <w:sz w:val="16"/>
              </w:rPr>
              <w:t>0.9910 (95% CI: 0.9813-0.9978)</w:t>
            </w:r>
          </w:p>
        </w:tc>
      </w:tr>
      <w:tr>
        <w:tc>
          <w:tcPr>
            <w:tcW w:type="dxa" w:w="2469"/>
            <w:vAlign w:val="center"/>
          </w:tcPr>
          <w:p>
            <w:pPr>
              <w:spacing w:after="0"/>
            </w:pPr>
            <w:r/>
            <w:r>
              <w:rPr>
                <w:rFonts w:ascii="Calibri" w:hAnsi="Calibri"/>
                <w:b w:val="0"/>
                <w:sz w:val="16"/>
              </w:rPr>
              <w:t>Neural Network (MLP)</w:t>
            </w:r>
          </w:p>
        </w:tc>
        <w:tc>
          <w:tcPr>
            <w:tcW w:type="dxa" w:w="2469"/>
            <w:vAlign w:val="center"/>
          </w:tcPr>
          <w:p>
            <w:pPr>
              <w:spacing w:after="0"/>
            </w:pPr>
            <w:r/>
            <w:r>
              <w:rPr>
                <w:rFonts w:ascii="Calibri" w:hAnsi="Calibri"/>
                <w:b w:val="0"/>
                <w:sz w:val="16"/>
              </w:rPr>
              <w:t>0.9781 (+/- 0.0048)</w:t>
            </w:r>
          </w:p>
        </w:tc>
        <w:tc>
          <w:tcPr>
            <w:tcW w:type="dxa" w:w="2469"/>
            <w:vAlign w:val="center"/>
          </w:tcPr>
          <w:p>
            <w:pPr>
              <w:spacing w:after="0"/>
            </w:pPr>
            <w:r/>
            <w:r>
              <w:rPr>
                <w:rFonts w:ascii="Calibri" w:hAnsi="Calibri"/>
                <w:b w:val="0"/>
                <w:sz w:val="16"/>
              </w:rPr>
              <w:t>0.8970 (95% CI: 0.8485-0.9455)</w:t>
            </w:r>
          </w:p>
        </w:tc>
        <w:tc>
          <w:tcPr>
            <w:tcW w:type="dxa" w:w="2469"/>
            <w:vAlign w:val="center"/>
          </w:tcPr>
          <w:p>
            <w:pPr>
              <w:spacing w:after="0"/>
            </w:pPr>
            <w:r/>
            <w:r>
              <w:rPr>
                <w:rFonts w:ascii="Calibri" w:hAnsi="Calibri"/>
                <w:b w:val="0"/>
                <w:sz w:val="16"/>
              </w:rPr>
              <w:t>0.9812 (95% CI: 0.9647-0.9937)</w:t>
            </w:r>
          </w:p>
        </w:tc>
      </w:tr>
    </w:tbl>
    <w:p>
      <w:pPr>
        <w:spacing w:before="60" w:after="160"/>
        <w:jc w:val="center"/>
      </w:pPr>
      <w:r>
        <w:rPr>
          <w:rFonts w:ascii="Calibri" w:hAnsi="Calibri"/>
          <w:i/>
          <w:color w:val="5A5A5A"/>
          <w:sz w:val="17"/>
        </w:rPr>
        <w:t>Table 3. Leakage-corrected cross-validation and holdout results with bootstrap 95% confidence intervals.</w:t>
      </w:r>
    </w:p>
    <w:p>
      <w:pPr>
        <w:spacing w:before="40" w:after="40"/>
        <w:jc w:val="center"/>
      </w:pPr>
      <w:r>
        <w:drawing>
          <wp:inline xmlns:a="http://schemas.openxmlformats.org/drawingml/2006/main" xmlns:pic="http://schemas.openxmlformats.org/drawingml/2006/picture">
            <wp:extent cx="4754880" cy="3803904"/>
            <wp:docPr id="1" name="Picture 1"/>
            <wp:cNvGraphicFramePr>
              <a:graphicFrameLocks noChangeAspect="1"/>
            </wp:cNvGraphicFramePr>
            <a:graphic>
              <a:graphicData uri="http://schemas.openxmlformats.org/drawingml/2006/picture">
                <pic:pic>
                  <pic:nvPicPr>
                    <pic:cNvPr id="0" name="calibration_comparison_curves.png"/>
                    <pic:cNvPicPr/>
                  </pic:nvPicPr>
                  <pic:blipFill>
                    <a:blip r:embed="rId10"/>
                    <a:stretch>
                      <a:fillRect/>
                    </a:stretch>
                  </pic:blipFill>
                  <pic:spPr>
                    <a:xfrm>
                      <a:off x="0" y="0"/>
                      <a:ext cx="4754880" cy="3803904"/>
                    </a:xfrm>
                    <a:prstGeom prst="rect"/>
                  </pic:spPr>
                </pic:pic>
              </a:graphicData>
            </a:graphic>
          </wp:inline>
        </w:drawing>
      </w:r>
    </w:p>
    <w:p>
      <w:pPr>
        <w:spacing w:before="60" w:after="160"/>
        <w:jc w:val="center"/>
      </w:pPr>
      <w:r>
        <w:rPr>
          <w:rFonts w:ascii="Calibri" w:hAnsi="Calibri"/>
          <w:i/>
          <w:color w:val="5A5A5A"/>
          <w:sz w:val="17"/>
        </w:rPr>
        <w:t>Figure 1. Calibration curves showing observed positive fraction vs. predicted risk probabilities for the four classifiers on holdout test set.</w:t>
      </w:r>
    </w:p>
    <w:p>
      <w:pPr>
        <w:spacing w:before="0" w:after="140" w:line="283" w:lineRule="auto"/>
      </w:pPr>
      <w:r>
        <w:rPr>
          <w:rFonts w:ascii="Calibri" w:hAnsi="Calibri"/>
          <w:color w:val="141F2B"/>
          <w:sz w:val="20"/>
        </w:rPr>
        <w:t>On the holdout set (n = 117), XGBoost had an ROC-AUC of 0.9910 (95% CI: 0.9813-0.9978) and accuracy of 0.9273. On holdout: Logistic Regression (Brier=0.0513, ECE=0.0722), Random Forest (Brier=0.0517, ECE=0.0492), XGBoost (Brier=0.0461, ECE=0.0481), Neural Network (MLP) (Brier=0.0566, ECE=0.0625). Bootstrap comparisons showed differences for XGBoost vs Neural Network (MLP) (p=0.0369). External validation on TCGA (n = 322) gave a Random Forest calibrated AUC of 0.973 and accuracy of 0.921, with XGBoost close behind at 0.968 and 0.903. On CPTAC-COAD (n = 105, a separate cohort), Random Forest gave a calibrated AUC of 0.9487 and accuracy of 0.8679. Full results: Logistic Regression (AUC=0.8832, Acc=0.7925); Random Forest (AUC=0.9487, Acc=0.8679); XGBoost (AUC=0.9231, Acc=0.8302); Neural Network (MLP) (AUC=0.9402, Acc=0.8302).</w:t>
      </w:r>
    </w:p>
    <w:p>
      <w:r>
        <w:br w:type="page"/>
      </w:r>
    </w:p>
    <w:p>
      <w:pPr>
        <w:pStyle w:val="Heading1"/>
        <w:keepNext/>
        <w:spacing w:before="240" w:after="100"/>
      </w:pPr>
    </w:p>
    <w:p>
      <w:pPr>
        <w:spacing w:before="0" w:after="140" w:line="283" w:lineRule="auto"/>
      </w:pPr>
      <w:r>
        <w:rPr>
          <w:rFonts w:ascii="Calibri" w:hAnsi="Calibri"/>
          <w:color w:val="141F2B"/>
          <w:sz w:val="20"/>
        </w:rPr>
        <w:t>SHAP values were computed from the pipeline-transformed features. Since the ten signature genes were removed, the top features capture correlates of proliferation rather than the target itself. The highest-ranked ANOVA features are listed in Table 4.</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2469"/>
        <w:gridCol w:w="2469"/>
        <w:gridCol w:w="2469"/>
        <w:gridCol w:w="2469"/>
      </w:tblGrid>
      <w:tr>
        <w:trPr>
          <w:tblHeader w:val="true"/>
        </w:trPr>
        <w:tc>
          <w:tcPr>
            <w:tcW w:type="dxa" w:w="2469"/>
            <w:shd w:fill="F4F6F9"/>
            <w:vAlign w:val="center"/>
          </w:tcPr>
          <w:p>
            <w:pPr>
              <w:spacing w:after="0"/>
            </w:pPr>
            <w:r/>
            <w:r>
              <w:rPr>
                <w:rFonts w:ascii="Calibri" w:hAnsi="Calibri"/>
                <w:b/>
                <w:color w:val="141F2B"/>
                <w:sz w:val="17"/>
              </w:rPr>
              <w:t>Rank</w:t>
            </w:r>
          </w:p>
        </w:tc>
        <w:tc>
          <w:tcPr>
            <w:tcW w:type="dxa" w:w="2469"/>
            <w:shd w:fill="F4F6F9"/>
            <w:vAlign w:val="center"/>
          </w:tcPr>
          <w:p>
            <w:pPr>
              <w:spacing w:after="0"/>
            </w:pPr>
            <w:r/>
            <w:r>
              <w:rPr>
                <w:rFonts w:ascii="Calibri" w:hAnsi="Calibri"/>
                <w:b/>
                <w:color w:val="141F2B"/>
                <w:sz w:val="17"/>
              </w:rPr>
              <w:t>Gene Symbol</w:t>
            </w:r>
          </w:p>
        </w:tc>
        <w:tc>
          <w:tcPr>
            <w:tcW w:type="dxa" w:w="2469"/>
            <w:shd w:fill="F4F6F9"/>
            <w:vAlign w:val="center"/>
          </w:tcPr>
          <w:p>
            <w:pPr>
              <w:spacing w:after="0"/>
            </w:pPr>
            <w:r/>
            <w:r>
              <w:rPr>
                <w:rFonts w:ascii="Calibri" w:hAnsi="Calibri"/>
                <w:b/>
                <w:color w:val="141F2B"/>
                <w:sz w:val="17"/>
              </w:rPr>
              <w:t>ANOVA F-Score</w:t>
            </w:r>
          </w:p>
        </w:tc>
        <w:tc>
          <w:tcPr>
            <w:tcW w:type="dxa" w:w="2469"/>
            <w:shd w:fill="F4F6F9"/>
            <w:vAlign w:val="center"/>
          </w:tcPr>
          <w:p>
            <w:pPr>
              <w:spacing w:after="0"/>
            </w:pPr>
            <w:r/>
            <w:r>
              <w:rPr>
                <w:rFonts w:ascii="Calibri" w:hAnsi="Calibri"/>
                <w:b/>
                <w:color w:val="141F2B"/>
                <w:sz w:val="17"/>
              </w:rPr>
              <w:t>CV Selection Frequency</w:t>
            </w:r>
          </w:p>
        </w:tc>
      </w:tr>
      <w:tr>
        <w:tc>
          <w:tcPr>
            <w:tcW w:type="dxa" w:w="2469"/>
            <w:vAlign w:val="center"/>
          </w:tcPr>
          <w:p>
            <w:pPr>
              <w:spacing w:after="0"/>
            </w:pPr>
            <w:r/>
            <w:r>
              <w:rPr>
                <w:rFonts w:ascii="Calibri" w:hAnsi="Calibri"/>
                <w:b w:val="0"/>
                <w:sz w:val="16"/>
              </w:rPr>
              <w:t>1</w:t>
            </w:r>
          </w:p>
        </w:tc>
        <w:tc>
          <w:tcPr>
            <w:tcW w:type="dxa" w:w="2469"/>
            <w:vAlign w:val="center"/>
          </w:tcPr>
          <w:p>
            <w:pPr>
              <w:spacing w:after="0"/>
            </w:pPr>
            <w:r/>
            <w:r>
              <w:rPr>
                <w:rFonts w:ascii="Calibri" w:hAnsi="Calibri"/>
                <w:b w:val="0"/>
                <w:sz w:val="16"/>
              </w:rPr>
              <w:t>MCM10</w:t>
            </w:r>
          </w:p>
        </w:tc>
        <w:tc>
          <w:tcPr>
            <w:tcW w:type="dxa" w:w="2469"/>
            <w:vAlign w:val="center"/>
          </w:tcPr>
          <w:p>
            <w:pPr>
              <w:spacing w:after="0"/>
            </w:pPr>
            <w:r/>
            <w:r>
              <w:rPr>
                <w:rFonts w:ascii="Calibri" w:hAnsi="Calibri"/>
                <w:b w:val="0"/>
                <w:sz w:val="16"/>
              </w:rPr>
              <w:t>886.276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w:t>
            </w:r>
          </w:p>
        </w:tc>
        <w:tc>
          <w:tcPr>
            <w:tcW w:type="dxa" w:w="2469"/>
            <w:vAlign w:val="center"/>
          </w:tcPr>
          <w:p>
            <w:pPr>
              <w:spacing w:after="0"/>
            </w:pPr>
            <w:r/>
            <w:r>
              <w:rPr>
                <w:rFonts w:ascii="Calibri" w:hAnsi="Calibri"/>
                <w:b w:val="0"/>
                <w:sz w:val="16"/>
              </w:rPr>
              <w:t>NCAPH</w:t>
            </w:r>
          </w:p>
        </w:tc>
        <w:tc>
          <w:tcPr>
            <w:tcW w:type="dxa" w:w="2469"/>
            <w:vAlign w:val="center"/>
          </w:tcPr>
          <w:p>
            <w:pPr>
              <w:spacing w:after="0"/>
            </w:pPr>
            <w:r/>
            <w:r>
              <w:rPr>
                <w:rFonts w:ascii="Calibri" w:hAnsi="Calibri"/>
                <w:b w:val="0"/>
                <w:sz w:val="16"/>
              </w:rPr>
              <w:t>849.649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3</w:t>
            </w:r>
          </w:p>
        </w:tc>
        <w:tc>
          <w:tcPr>
            <w:tcW w:type="dxa" w:w="2469"/>
            <w:vAlign w:val="center"/>
          </w:tcPr>
          <w:p>
            <w:pPr>
              <w:spacing w:after="0"/>
            </w:pPr>
            <w:r/>
            <w:r>
              <w:rPr>
                <w:rFonts w:ascii="Calibri" w:hAnsi="Calibri"/>
                <w:b w:val="0"/>
                <w:sz w:val="16"/>
              </w:rPr>
              <w:t>EXO1</w:t>
            </w:r>
          </w:p>
        </w:tc>
        <w:tc>
          <w:tcPr>
            <w:tcW w:type="dxa" w:w="2469"/>
            <w:vAlign w:val="center"/>
          </w:tcPr>
          <w:p>
            <w:pPr>
              <w:spacing w:after="0"/>
            </w:pPr>
            <w:r/>
            <w:r>
              <w:rPr>
                <w:rFonts w:ascii="Calibri" w:hAnsi="Calibri"/>
                <w:b w:val="0"/>
                <w:sz w:val="16"/>
              </w:rPr>
              <w:t>836.489</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4</w:t>
            </w:r>
          </w:p>
        </w:tc>
        <w:tc>
          <w:tcPr>
            <w:tcW w:type="dxa" w:w="2469"/>
            <w:vAlign w:val="center"/>
          </w:tcPr>
          <w:p>
            <w:pPr>
              <w:spacing w:after="0"/>
            </w:pPr>
            <w:r/>
            <w:r>
              <w:rPr>
                <w:rFonts w:ascii="Calibri" w:hAnsi="Calibri"/>
                <w:b w:val="0"/>
                <w:sz w:val="16"/>
              </w:rPr>
              <w:t>MTFR2</w:t>
            </w:r>
          </w:p>
        </w:tc>
        <w:tc>
          <w:tcPr>
            <w:tcW w:type="dxa" w:w="2469"/>
            <w:vAlign w:val="center"/>
          </w:tcPr>
          <w:p>
            <w:pPr>
              <w:spacing w:after="0"/>
            </w:pPr>
            <w:r/>
            <w:r>
              <w:rPr>
                <w:rFonts w:ascii="Calibri" w:hAnsi="Calibri"/>
                <w:b w:val="0"/>
                <w:sz w:val="16"/>
              </w:rPr>
              <w:t>827.047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5</w:t>
            </w:r>
          </w:p>
        </w:tc>
        <w:tc>
          <w:tcPr>
            <w:tcW w:type="dxa" w:w="2469"/>
            <w:vAlign w:val="center"/>
          </w:tcPr>
          <w:p>
            <w:pPr>
              <w:spacing w:after="0"/>
            </w:pPr>
            <w:r/>
            <w:r>
              <w:rPr>
                <w:rFonts w:ascii="Calibri" w:hAnsi="Calibri"/>
                <w:b w:val="0"/>
                <w:sz w:val="16"/>
              </w:rPr>
              <w:t>ORC1</w:t>
            </w:r>
          </w:p>
        </w:tc>
        <w:tc>
          <w:tcPr>
            <w:tcW w:type="dxa" w:w="2469"/>
            <w:vAlign w:val="center"/>
          </w:tcPr>
          <w:p>
            <w:pPr>
              <w:spacing w:after="0"/>
            </w:pPr>
            <w:r/>
            <w:r>
              <w:rPr>
                <w:rFonts w:ascii="Calibri" w:hAnsi="Calibri"/>
                <w:b w:val="0"/>
                <w:sz w:val="16"/>
              </w:rPr>
              <w:t>792.038</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6</w:t>
            </w:r>
          </w:p>
        </w:tc>
        <w:tc>
          <w:tcPr>
            <w:tcW w:type="dxa" w:w="2469"/>
            <w:vAlign w:val="center"/>
          </w:tcPr>
          <w:p>
            <w:pPr>
              <w:spacing w:after="0"/>
            </w:pPr>
            <w:r/>
            <w:r>
              <w:rPr>
                <w:rFonts w:ascii="Calibri" w:hAnsi="Calibri"/>
                <w:b w:val="0"/>
                <w:sz w:val="16"/>
              </w:rPr>
              <w:t>FANCI</w:t>
            </w:r>
          </w:p>
        </w:tc>
        <w:tc>
          <w:tcPr>
            <w:tcW w:type="dxa" w:w="2469"/>
            <w:vAlign w:val="center"/>
          </w:tcPr>
          <w:p>
            <w:pPr>
              <w:spacing w:after="0"/>
            </w:pPr>
            <w:r/>
            <w:r>
              <w:rPr>
                <w:rFonts w:ascii="Calibri" w:hAnsi="Calibri"/>
                <w:b w:val="0"/>
                <w:sz w:val="16"/>
              </w:rPr>
              <w:t>790.832</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7</w:t>
            </w:r>
          </w:p>
        </w:tc>
        <w:tc>
          <w:tcPr>
            <w:tcW w:type="dxa" w:w="2469"/>
            <w:vAlign w:val="center"/>
          </w:tcPr>
          <w:p>
            <w:pPr>
              <w:spacing w:after="0"/>
            </w:pPr>
            <w:r/>
            <w:r>
              <w:rPr>
                <w:rFonts w:ascii="Calibri" w:hAnsi="Calibri"/>
                <w:b w:val="0"/>
                <w:sz w:val="16"/>
              </w:rPr>
              <w:t>CENPN</w:t>
            </w:r>
          </w:p>
        </w:tc>
        <w:tc>
          <w:tcPr>
            <w:tcW w:type="dxa" w:w="2469"/>
            <w:vAlign w:val="center"/>
          </w:tcPr>
          <w:p>
            <w:pPr>
              <w:spacing w:after="0"/>
            </w:pPr>
            <w:r/>
            <w:r>
              <w:rPr>
                <w:rFonts w:ascii="Calibri" w:hAnsi="Calibri"/>
                <w:b w:val="0"/>
                <w:sz w:val="16"/>
              </w:rPr>
              <w:t>782.427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8</w:t>
            </w:r>
          </w:p>
        </w:tc>
        <w:tc>
          <w:tcPr>
            <w:tcW w:type="dxa" w:w="2469"/>
            <w:vAlign w:val="center"/>
          </w:tcPr>
          <w:p>
            <w:pPr>
              <w:spacing w:after="0"/>
            </w:pPr>
            <w:r/>
            <w:r>
              <w:rPr>
                <w:rFonts w:ascii="Calibri" w:hAnsi="Calibri"/>
                <w:b w:val="0"/>
                <w:sz w:val="16"/>
              </w:rPr>
              <w:t>NCAPD3</w:t>
            </w:r>
          </w:p>
        </w:tc>
        <w:tc>
          <w:tcPr>
            <w:tcW w:type="dxa" w:w="2469"/>
            <w:vAlign w:val="center"/>
          </w:tcPr>
          <w:p>
            <w:pPr>
              <w:spacing w:after="0"/>
            </w:pPr>
            <w:r/>
            <w:r>
              <w:rPr>
                <w:rFonts w:ascii="Calibri" w:hAnsi="Calibri"/>
                <w:b w:val="0"/>
                <w:sz w:val="16"/>
              </w:rPr>
              <w:t>776.616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9</w:t>
            </w:r>
          </w:p>
        </w:tc>
        <w:tc>
          <w:tcPr>
            <w:tcW w:type="dxa" w:w="2469"/>
            <w:vAlign w:val="center"/>
          </w:tcPr>
          <w:p>
            <w:pPr>
              <w:spacing w:after="0"/>
            </w:pPr>
            <w:r/>
            <w:r>
              <w:rPr>
                <w:rFonts w:ascii="Calibri" w:hAnsi="Calibri"/>
                <w:b w:val="0"/>
                <w:sz w:val="16"/>
              </w:rPr>
              <w:t>CHEK1</w:t>
            </w:r>
          </w:p>
        </w:tc>
        <w:tc>
          <w:tcPr>
            <w:tcW w:type="dxa" w:w="2469"/>
            <w:vAlign w:val="center"/>
          </w:tcPr>
          <w:p>
            <w:pPr>
              <w:spacing w:after="0"/>
            </w:pPr>
            <w:r/>
            <w:r>
              <w:rPr>
                <w:rFonts w:ascii="Calibri" w:hAnsi="Calibri"/>
                <w:b w:val="0"/>
                <w:sz w:val="16"/>
              </w:rPr>
              <w:t>769.846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10</w:t>
            </w:r>
          </w:p>
        </w:tc>
        <w:tc>
          <w:tcPr>
            <w:tcW w:type="dxa" w:w="2469"/>
            <w:vAlign w:val="center"/>
          </w:tcPr>
          <w:p>
            <w:pPr>
              <w:spacing w:after="0"/>
            </w:pPr>
            <w:r/>
            <w:r>
              <w:rPr>
                <w:rFonts w:ascii="Calibri" w:hAnsi="Calibri"/>
                <w:b w:val="0"/>
                <w:sz w:val="16"/>
              </w:rPr>
              <w:t>AUNIP</w:t>
            </w:r>
          </w:p>
        </w:tc>
        <w:tc>
          <w:tcPr>
            <w:tcW w:type="dxa" w:w="2469"/>
            <w:vAlign w:val="center"/>
          </w:tcPr>
          <w:p>
            <w:pPr>
              <w:spacing w:after="0"/>
            </w:pPr>
            <w:r/>
            <w:r>
              <w:rPr>
                <w:rFonts w:ascii="Calibri" w:hAnsi="Calibri"/>
                <w:b w:val="0"/>
                <w:sz w:val="16"/>
              </w:rPr>
              <w:t>759.041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11</w:t>
            </w:r>
          </w:p>
        </w:tc>
        <w:tc>
          <w:tcPr>
            <w:tcW w:type="dxa" w:w="2469"/>
            <w:vAlign w:val="center"/>
          </w:tcPr>
          <w:p>
            <w:pPr>
              <w:spacing w:after="0"/>
            </w:pPr>
            <w:r/>
            <w:r>
              <w:rPr>
                <w:rFonts w:ascii="Calibri" w:hAnsi="Calibri"/>
                <w:b w:val="0"/>
                <w:sz w:val="16"/>
              </w:rPr>
              <w:t>PLK4</w:t>
            </w:r>
          </w:p>
        </w:tc>
        <w:tc>
          <w:tcPr>
            <w:tcW w:type="dxa" w:w="2469"/>
            <w:vAlign w:val="center"/>
          </w:tcPr>
          <w:p>
            <w:pPr>
              <w:spacing w:after="0"/>
            </w:pPr>
            <w:r/>
            <w:r>
              <w:rPr>
                <w:rFonts w:ascii="Calibri" w:hAnsi="Calibri"/>
                <w:b w:val="0"/>
                <w:sz w:val="16"/>
              </w:rPr>
              <w:t>751.620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12</w:t>
            </w:r>
          </w:p>
        </w:tc>
        <w:tc>
          <w:tcPr>
            <w:tcW w:type="dxa" w:w="2469"/>
            <w:vAlign w:val="center"/>
          </w:tcPr>
          <w:p>
            <w:pPr>
              <w:spacing w:after="0"/>
            </w:pPr>
            <w:r/>
            <w:r>
              <w:rPr>
                <w:rFonts w:ascii="Calibri" w:hAnsi="Calibri"/>
                <w:b w:val="0"/>
                <w:sz w:val="16"/>
              </w:rPr>
              <w:t>FBXO5</w:t>
            </w:r>
          </w:p>
        </w:tc>
        <w:tc>
          <w:tcPr>
            <w:tcW w:type="dxa" w:w="2469"/>
            <w:vAlign w:val="center"/>
          </w:tcPr>
          <w:p>
            <w:pPr>
              <w:spacing w:after="0"/>
            </w:pPr>
            <w:r/>
            <w:r>
              <w:rPr>
                <w:rFonts w:ascii="Calibri" w:hAnsi="Calibri"/>
                <w:b w:val="0"/>
                <w:sz w:val="16"/>
              </w:rPr>
              <w:t>750.786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13</w:t>
            </w:r>
          </w:p>
        </w:tc>
        <w:tc>
          <w:tcPr>
            <w:tcW w:type="dxa" w:w="2469"/>
            <w:vAlign w:val="center"/>
          </w:tcPr>
          <w:p>
            <w:pPr>
              <w:spacing w:after="0"/>
            </w:pPr>
            <w:r/>
            <w:r>
              <w:rPr>
                <w:rFonts w:ascii="Calibri" w:hAnsi="Calibri"/>
                <w:b w:val="0"/>
                <w:sz w:val="16"/>
              </w:rPr>
              <w:t>POLE2</w:t>
            </w:r>
          </w:p>
        </w:tc>
        <w:tc>
          <w:tcPr>
            <w:tcW w:type="dxa" w:w="2469"/>
            <w:vAlign w:val="center"/>
          </w:tcPr>
          <w:p>
            <w:pPr>
              <w:spacing w:after="0"/>
            </w:pPr>
            <w:r/>
            <w:r>
              <w:rPr>
                <w:rFonts w:ascii="Calibri" w:hAnsi="Calibri"/>
                <w:b w:val="0"/>
                <w:sz w:val="16"/>
              </w:rPr>
              <w:t>744.791</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14</w:t>
            </w:r>
          </w:p>
        </w:tc>
        <w:tc>
          <w:tcPr>
            <w:tcW w:type="dxa" w:w="2469"/>
            <w:vAlign w:val="center"/>
          </w:tcPr>
          <w:p>
            <w:pPr>
              <w:spacing w:after="0"/>
            </w:pPr>
            <w:r/>
            <w:r>
              <w:rPr>
                <w:rFonts w:ascii="Calibri" w:hAnsi="Calibri"/>
                <w:b w:val="0"/>
                <w:sz w:val="16"/>
              </w:rPr>
              <w:t>CCNF</w:t>
            </w:r>
          </w:p>
        </w:tc>
        <w:tc>
          <w:tcPr>
            <w:tcW w:type="dxa" w:w="2469"/>
            <w:vAlign w:val="center"/>
          </w:tcPr>
          <w:p>
            <w:pPr>
              <w:spacing w:after="0"/>
            </w:pPr>
            <w:r/>
            <w:r>
              <w:rPr>
                <w:rFonts w:ascii="Calibri" w:hAnsi="Calibri"/>
                <w:b w:val="0"/>
                <w:sz w:val="16"/>
              </w:rPr>
              <w:t>737.666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15</w:t>
            </w:r>
          </w:p>
        </w:tc>
        <w:tc>
          <w:tcPr>
            <w:tcW w:type="dxa" w:w="2469"/>
            <w:vAlign w:val="center"/>
          </w:tcPr>
          <w:p>
            <w:pPr>
              <w:spacing w:after="0"/>
            </w:pPr>
            <w:r/>
            <w:r>
              <w:rPr>
                <w:rFonts w:ascii="Calibri" w:hAnsi="Calibri"/>
                <w:b w:val="0"/>
                <w:sz w:val="16"/>
              </w:rPr>
              <w:t>OIP5</w:t>
            </w:r>
          </w:p>
        </w:tc>
        <w:tc>
          <w:tcPr>
            <w:tcW w:type="dxa" w:w="2469"/>
            <w:vAlign w:val="center"/>
          </w:tcPr>
          <w:p>
            <w:pPr>
              <w:spacing w:after="0"/>
            </w:pPr>
            <w:r/>
            <w:r>
              <w:rPr>
                <w:rFonts w:ascii="Calibri" w:hAnsi="Calibri"/>
                <w:b w:val="0"/>
                <w:sz w:val="16"/>
              </w:rPr>
              <w:t>734.686</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16</w:t>
            </w:r>
          </w:p>
        </w:tc>
        <w:tc>
          <w:tcPr>
            <w:tcW w:type="dxa" w:w="2469"/>
            <w:vAlign w:val="center"/>
          </w:tcPr>
          <w:p>
            <w:pPr>
              <w:spacing w:after="0"/>
            </w:pPr>
            <w:r/>
            <w:r>
              <w:rPr>
                <w:rFonts w:ascii="Calibri" w:hAnsi="Calibri"/>
                <w:b w:val="0"/>
                <w:sz w:val="16"/>
              </w:rPr>
              <w:t>NEMP1</w:t>
            </w:r>
          </w:p>
        </w:tc>
        <w:tc>
          <w:tcPr>
            <w:tcW w:type="dxa" w:w="2469"/>
            <w:vAlign w:val="center"/>
          </w:tcPr>
          <w:p>
            <w:pPr>
              <w:spacing w:after="0"/>
            </w:pPr>
            <w:r/>
            <w:r>
              <w:rPr>
                <w:rFonts w:ascii="Calibri" w:hAnsi="Calibri"/>
                <w:b w:val="0"/>
                <w:sz w:val="16"/>
              </w:rPr>
              <w:t>733.817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17</w:t>
            </w:r>
          </w:p>
        </w:tc>
        <w:tc>
          <w:tcPr>
            <w:tcW w:type="dxa" w:w="2469"/>
            <w:vAlign w:val="center"/>
          </w:tcPr>
          <w:p>
            <w:pPr>
              <w:spacing w:after="0"/>
            </w:pPr>
            <w:r/>
            <w:r>
              <w:rPr>
                <w:rFonts w:ascii="Calibri" w:hAnsi="Calibri"/>
                <w:b w:val="0"/>
                <w:sz w:val="16"/>
              </w:rPr>
              <w:t>PRIM1</w:t>
            </w:r>
          </w:p>
        </w:tc>
        <w:tc>
          <w:tcPr>
            <w:tcW w:type="dxa" w:w="2469"/>
            <w:vAlign w:val="center"/>
          </w:tcPr>
          <w:p>
            <w:pPr>
              <w:spacing w:after="0"/>
            </w:pPr>
            <w:r/>
            <w:r>
              <w:rPr>
                <w:rFonts w:ascii="Calibri" w:hAnsi="Calibri"/>
                <w:b w:val="0"/>
                <w:sz w:val="16"/>
              </w:rPr>
              <w:t>731.574</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18</w:t>
            </w:r>
          </w:p>
        </w:tc>
        <w:tc>
          <w:tcPr>
            <w:tcW w:type="dxa" w:w="2469"/>
            <w:vAlign w:val="center"/>
          </w:tcPr>
          <w:p>
            <w:pPr>
              <w:spacing w:after="0"/>
            </w:pPr>
            <w:r/>
            <w:r>
              <w:rPr>
                <w:rFonts w:ascii="Calibri" w:hAnsi="Calibri"/>
                <w:b w:val="0"/>
                <w:sz w:val="16"/>
              </w:rPr>
              <w:t>CHEK2</w:t>
            </w:r>
          </w:p>
        </w:tc>
        <w:tc>
          <w:tcPr>
            <w:tcW w:type="dxa" w:w="2469"/>
            <w:vAlign w:val="center"/>
          </w:tcPr>
          <w:p>
            <w:pPr>
              <w:spacing w:after="0"/>
            </w:pPr>
            <w:r/>
            <w:r>
              <w:rPr>
                <w:rFonts w:ascii="Calibri" w:hAnsi="Calibri"/>
                <w:b w:val="0"/>
                <w:sz w:val="16"/>
              </w:rPr>
              <w:t>729.750</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19</w:t>
            </w:r>
          </w:p>
        </w:tc>
        <w:tc>
          <w:tcPr>
            <w:tcW w:type="dxa" w:w="2469"/>
            <w:vAlign w:val="center"/>
          </w:tcPr>
          <w:p>
            <w:pPr>
              <w:spacing w:after="0"/>
            </w:pPr>
            <w:r/>
            <w:r>
              <w:rPr>
                <w:rFonts w:ascii="Calibri" w:hAnsi="Calibri"/>
                <w:b w:val="0"/>
                <w:sz w:val="16"/>
              </w:rPr>
              <w:t>NEIL3</w:t>
            </w:r>
          </w:p>
        </w:tc>
        <w:tc>
          <w:tcPr>
            <w:tcW w:type="dxa" w:w="2469"/>
            <w:vAlign w:val="center"/>
          </w:tcPr>
          <w:p>
            <w:pPr>
              <w:spacing w:after="0"/>
            </w:pPr>
            <w:r/>
            <w:r>
              <w:rPr>
                <w:rFonts w:ascii="Calibri" w:hAnsi="Calibri"/>
                <w:b w:val="0"/>
                <w:sz w:val="16"/>
              </w:rPr>
              <w:t>728.787</w:t>
            </w:r>
          </w:p>
        </w:tc>
        <w:tc>
          <w:tcPr>
            <w:tcW w:type="dxa" w:w="2469"/>
            <w:vAlign w:val="center"/>
          </w:tcPr>
          <w:p>
            <w:pPr>
              <w:spacing w:after="0"/>
            </w:pPr>
            <w:r/>
            <w:r>
              <w:rPr>
                <w:rFonts w:ascii="Calibri" w:hAnsi="Calibri"/>
                <w:b w:val="0"/>
                <w:sz w:val="16"/>
              </w:rPr>
              <w:t>5 / 5</w:t>
            </w:r>
          </w:p>
        </w:tc>
      </w:tr>
      <w:tr>
        <w:tc>
          <w:tcPr>
            <w:tcW w:type="dxa" w:w="2469"/>
            <w:vAlign w:val="center"/>
          </w:tcPr>
          <w:p>
            <w:pPr>
              <w:spacing w:after="0"/>
            </w:pPr>
            <w:r/>
            <w:r>
              <w:rPr>
                <w:rFonts w:ascii="Calibri" w:hAnsi="Calibri"/>
                <w:b w:val="0"/>
                <w:sz w:val="16"/>
              </w:rPr>
              <w:t>20</w:t>
            </w:r>
          </w:p>
        </w:tc>
        <w:tc>
          <w:tcPr>
            <w:tcW w:type="dxa" w:w="2469"/>
            <w:vAlign w:val="center"/>
          </w:tcPr>
          <w:p>
            <w:pPr>
              <w:spacing w:after="0"/>
            </w:pPr>
            <w:r/>
            <w:r>
              <w:rPr>
                <w:rFonts w:ascii="Calibri" w:hAnsi="Calibri"/>
                <w:b w:val="0"/>
                <w:sz w:val="16"/>
              </w:rPr>
              <w:t>NUSAP1</w:t>
            </w:r>
          </w:p>
        </w:tc>
        <w:tc>
          <w:tcPr>
            <w:tcW w:type="dxa" w:w="2469"/>
            <w:vAlign w:val="center"/>
          </w:tcPr>
          <w:p>
            <w:pPr>
              <w:spacing w:after="0"/>
            </w:pPr>
            <w:r/>
            <w:r>
              <w:rPr>
                <w:rFonts w:ascii="Calibri" w:hAnsi="Calibri"/>
                <w:b w:val="0"/>
                <w:sz w:val="16"/>
              </w:rPr>
              <w:t>728.209</w:t>
            </w:r>
          </w:p>
        </w:tc>
        <w:tc>
          <w:tcPr>
            <w:tcW w:type="dxa" w:w="2469"/>
            <w:vAlign w:val="center"/>
          </w:tcPr>
          <w:p>
            <w:pPr>
              <w:spacing w:after="0"/>
            </w:pPr>
            <w:r/>
            <w:r>
              <w:rPr>
                <w:rFonts w:ascii="Calibri" w:hAnsi="Calibri"/>
                <w:b w:val="0"/>
                <w:sz w:val="16"/>
              </w:rPr>
              <w:t>5 / 5</w:t>
            </w:r>
          </w:p>
        </w:tc>
      </w:tr>
    </w:tbl>
    <w:p>
      <w:pPr>
        <w:spacing w:before="60" w:after="160"/>
        <w:jc w:val="center"/>
      </w:pPr>
      <w:r>
        <w:rPr>
          <w:rFonts w:ascii="Calibri" w:hAnsi="Calibri"/>
          <w:i/>
          <w:color w:val="5A5A5A"/>
          <w:sz w:val="17"/>
        </w:rPr>
        <w:t>Table 4. Top selected transcriptomic feature genes ranked by ANOVA F-score.</w:t>
      </w:r>
    </w:p>
    <w:p>
      <w:pPr>
        <w:spacing w:before="40" w:after="40"/>
        <w:jc w:val="center"/>
      </w:pPr>
      <w:r>
        <w:drawing>
          <wp:inline xmlns:a="http://schemas.openxmlformats.org/drawingml/2006/main" xmlns:pic="http://schemas.openxmlformats.org/drawingml/2006/picture">
            <wp:extent cx="4892040" cy="5809298"/>
            <wp:docPr id="2" name="Picture 2"/>
            <wp:cNvGraphicFramePr>
              <a:graphicFrameLocks noChangeAspect="1"/>
            </wp:cNvGraphicFramePr>
            <a:graphic>
              <a:graphicData uri="http://schemas.openxmlformats.org/drawingml/2006/picture">
                <pic:pic>
                  <pic:nvPicPr>
                    <pic:cNvPr id="0" name="shap_summary_random_forest.png"/>
                    <pic:cNvPicPr/>
                  </pic:nvPicPr>
                  <pic:blipFill>
                    <a:blip r:embed="rId11"/>
                    <a:stretch>
                      <a:fillRect/>
                    </a:stretch>
                  </pic:blipFill>
                  <pic:spPr>
                    <a:xfrm>
                      <a:off x="0" y="0"/>
                      <a:ext cx="4892040" cy="5809298"/>
                    </a:xfrm>
                    <a:prstGeom prst="rect"/>
                  </pic:spPr>
                </pic:pic>
              </a:graphicData>
            </a:graphic>
          </wp:inline>
        </w:drawing>
      </w:r>
    </w:p>
    <w:p>
      <w:pPr>
        <w:spacing w:before="60" w:after="160"/>
        <w:jc w:val="center"/>
      </w:pPr>
      <w:r>
        <w:rPr>
          <w:rFonts w:ascii="Calibri" w:hAnsi="Calibri"/>
          <w:i/>
          <w:color w:val="5A5A5A"/>
          <w:sz w:val="17"/>
        </w:rPr>
        <w:t>Figure 2. Random forest SHAP summary showing feature impact (red/high, blue/low expression) on proliferation class prediction.</w:t>
      </w:r>
    </w:p>
    <w:p>
      <w:pPr>
        <w:spacing w:before="0" w:after="140" w:line="283" w:lineRule="auto"/>
      </w:pPr>
      <w:r>
        <w:rPr>
          <w:rFonts w:ascii="Calibri" w:hAnsi="Calibri"/>
          <w:color w:val="141F2B"/>
          <w:sz w:val="20"/>
        </w:rPr>
        <w:t>The top 30 SHAP features were tested against KEGG and GO databases. Enriched pathways fell downstream of cell-cycle regulation (Figure 3).</w:t>
      </w:r>
    </w:p>
    <w:p>
      <w:pPr>
        <w:spacing w:before="40" w:after="40"/>
        <w:jc w:val="center"/>
      </w:pPr>
      <w:r>
        <w:drawing>
          <wp:inline xmlns:a="http://schemas.openxmlformats.org/drawingml/2006/main" xmlns:pic="http://schemas.openxmlformats.org/drawingml/2006/picture">
            <wp:extent cx="4892040" cy="2717800"/>
            <wp:docPr id="3" name="Picture 3"/>
            <wp:cNvGraphicFramePr>
              <a:graphicFrameLocks noChangeAspect="1"/>
            </wp:cNvGraphicFramePr>
            <a:graphic>
              <a:graphicData uri="http://schemas.openxmlformats.org/drawingml/2006/picture">
                <pic:pic>
                  <pic:nvPicPr>
                    <pic:cNvPr id="0" name="pathway_enrichment.png"/>
                    <pic:cNvPicPr/>
                  </pic:nvPicPr>
                  <pic:blipFill>
                    <a:blip r:embed="rId12"/>
                    <a:stretch>
                      <a:fillRect/>
                    </a:stretch>
                  </pic:blipFill>
                  <pic:spPr>
                    <a:xfrm>
                      <a:off x="0" y="0"/>
                      <a:ext cx="4892040" cy="2717800"/>
                    </a:xfrm>
                    <a:prstGeom prst="rect"/>
                  </pic:spPr>
                </pic:pic>
              </a:graphicData>
            </a:graphic>
          </wp:inline>
        </w:drawing>
      </w:r>
    </w:p>
    <w:p>
      <w:pPr>
        <w:spacing w:before="60" w:after="160"/>
        <w:jc w:val="center"/>
      </w:pPr>
      <w:r>
        <w:rPr>
          <w:rFonts w:ascii="Calibri" w:hAnsi="Calibri"/>
          <w:i/>
          <w:color w:val="5A5A5A"/>
          <w:sz w:val="17"/>
        </w:rPr>
        <w:t>Figure 3. Enriched biological pathways (FDR &lt; 0.05) representing transcriptomic cascade signatures downstream of cancer cell division.</w:t>
      </w:r>
    </w:p>
    <w:p>
      <w:pPr>
        <w:spacing w:before="0" w:after="140" w:line="283" w:lineRule="auto"/>
      </w:pPr>
      <w:r>
        <w:rPr>
          <w:rFonts w:ascii="Calibri" w:hAnsi="Calibri"/>
          <w:color w:val="141F2B"/>
          <w:sz w:val="20"/>
        </w:rPr>
        <w:t>Decision Curve Analysis (Figure 4) showed that all four models gave higher net benefit than treating all patients or treating none.</w:t>
      </w:r>
    </w:p>
    <w:p>
      <w:pPr>
        <w:spacing w:before="40" w:after="40"/>
        <w:jc w:val="center"/>
      </w:pPr>
      <w:r>
        <w:drawing>
          <wp:inline xmlns:a="http://schemas.openxmlformats.org/drawingml/2006/main" xmlns:pic="http://schemas.openxmlformats.org/drawingml/2006/picture">
            <wp:extent cx="4754880" cy="3566160"/>
            <wp:docPr id="4" name="Picture 4"/>
            <wp:cNvGraphicFramePr>
              <a:graphicFrameLocks noChangeAspect="1"/>
            </wp:cNvGraphicFramePr>
            <a:graphic>
              <a:graphicData uri="http://schemas.openxmlformats.org/drawingml/2006/picture">
                <pic:pic>
                  <pic:nvPicPr>
                    <pic:cNvPr id="0" name="clinical_dca.png"/>
                    <pic:cNvPicPr/>
                  </pic:nvPicPr>
                  <pic:blipFill>
                    <a:blip r:embed="rId13"/>
                    <a:stretch>
                      <a:fillRect/>
                    </a:stretch>
                  </pic:blipFill>
                  <pic:spPr>
                    <a:xfrm>
                      <a:off x="0" y="0"/>
                      <a:ext cx="4754880" cy="3566160"/>
                    </a:xfrm>
                    <a:prstGeom prst="rect"/>
                  </pic:spPr>
                </pic:pic>
              </a:graphicData>
            </a:graphic>
          </wp:inline>
        </w:drawing>
      </w:r>
    </w:p>
    <w:p>
      <w:pPr>
        <w:spacing w:before="60" w:after="160"/>
        <w:jc w:val="center"/>
      </w:pPr>
      <w:r>
        <w:rPr>
          <w:rFonts w:ascii="Calibri" w:hAnsi="Calibri"/>
          <w:i/>
          <w:color w:val="5A5A5A"/>
          <w:sz w:val="17"/>
        </w:rPr>
        <w:t>Figure 4. Clinical Decision Curve Analysis comparing Net Benefit of model-guided stratification vs. default intervention strategies.</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Model</w:t>
            </w:r>
          </w:p>
        </w:tc>
        <w:tc>
          <w:tcPr>
            <w:tcW w:type="dxa" w:w="1411"/>
            <w:shd w:fill="F4F6F9"/>
            <w:vAlign w:val="center"/>
          </w:tcPr>
          <w:p>
            <w:pPr>
              <w:spacing w:after="0"/>
            </w:pPr>
            <w:r/>
            <w:r>
              <w:rPr>
                <w:rFonts w:ascii="Calibri" w:hAnsi="Calibri"/>
                <w:b/>
                <w:color w:val="141F2B"/>
                <w:sz w:val="16"/>
              </w:rPr>
              <w:t>Threshold</w:t>
            </w:r>
          </w:p>
        </w:tc>
        <w:tc>
          <w:tcPr>
            <w:tcW w:type="dxa" w:w="1411"/>
            <w:shd w:fill="F4F6F9"/>
            <w:vAlign w:val="center"/>
          </w:tcPr>
          <w:p>
            <w:pPr>
              <w:spacing w:after="0"/>
            </w:pPr>
            <w:r/>
            <w:r>
              <w:rPr>
                <w:rFonts w:ascii="Calibri" w:hAnsi="Calibri"/>
                <w:b/>
                <w:color w:val="141F2B"/>
                <w:sz w:val="16"/>
              </w:rPr>
              <w:t>Sensitivity</w:t>
            </w:r>
          </w:p>
        </w:tc>
        <w:tc>
          <w:tcPr>
            <w:tcW w:type="dxa" w:w="1411"/>
            <w:shd w:fill="F4F6F9"/>
            <w:vAlign w:val="center"/>
          </w:tcPr>
          <w:p>
            <w:pPr>
              <w:spacing w:after="0"/>
            </w:pPr>
            <w:r/>
            <w:r>
              <w:rPr>
                <w:rFonts w:ascii="Calibri" w:hAnsi="Calibri"/>
                <w:b/>
                <w:color w:val="141F2B"/>
                <w:sz w:val="16"/>
              </w:rPr>
              <w:t>Specificity</w:t>
            </w:r>
          </w:p>
        </w:tc>
        <w:tc>
          <w:tcPr>
            <w:tcW w:type="dxa" w:w="1411"/>
            <w:shd w:fill="F4F6F9"/>
            <w:vAlign w:val="center"/>
          </w:tcPr>
          <w:p>
            <w:pPr>
              <w:spacing w:after="0"/>
            </w:pPr>
            <w:r/>
            <w:r>
              <w:rPr>
                <w:rFonts w:ascii="Calibri" w:hAnsi="Calibri"/>
                <w:b/>
                <w:color w:val="141F2B"/>
                <w:sz w:val="16"/>
              </w:rPr>
              <w:t>PPV</w:t>
            </w:r>
          </w:p>
        </w:tc>
        <w:tc>
          <w:tcPr>
            <w:tcW w:type="dxa" w:w="1411"/>
            <w:shd w:fill="F4F6F9"/>
            <w:vAlign w:val="center"/>
          </w:tcPr>
          <w:p>
            <w:pPr>
              <w:spacing w:after="0"/>
            </w:pPr>
            <w:r/>
            <w:r>
              <w:rPr>
                <w:rFonts w:ascii="Calibri" w:hAnsi="Calibri"/>
                <w:b/>
                <w:color w:val="141F2B"/>
                <w:sz w:val="16"/>
              </w:rPr>
              <w:t>NPV</w:t>
            </w:r>
          </w:p>
        </w:tc>
        <w:tc>
          <w:tcPr>
            <w:tcW w:type="dxa" w:w="1411"/>
            <w:shd w:fill="F4F6F9"/>
            <w:vAlign w:val="center"/>
          </w:tcPr>
          <w:p>
            <w:pPr>
              <w:spacing w:after="0"/>
            </w:pPr>
            <w:r/>
            <w:r>
              <w:rPr>
                <w:rFonts w:ascii="Calibri" w:hAnsi="Calibri"/>
                <w:b/>
                <w:color w:val="141F2B"/>
                <w:sz w:val="16"/>
              </w:rPr>
              <w:t>NNT</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0.8795</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0.9241</w:t>
            </w:r>
          </w:p>
        </w:tc>
        <w:tc>
          <w:tcPr>
            <w:tcW w:type="dxa" w:w="1411"/>
            <w:vAlign w:val="center"/>
          </w:tcPr>
          <w:p>
            <w:pPr>
              <w:spacing w:after="0"/>
            </w:pPr>
            <w:r/>
            <w:r>
              <w:rPr>
                <w:rFonts w:ascii="Calibri" w:hAnsi="Calibri"/>
                <w:b w:val="0"/>
                <w:sz w:val="16"/>
              </w:rPr>
              <w:t>0.8837</w:t>
            </w:r>
          </w:p>
        </w:tc>
        <w:tc>
          <w:tcPr>
            <w:tcW w:type="dxa" w:w="1411"/>
            <w:vAlign w:val="center"/>
          </w:tcPr>
          <w:p>
            <w:pPr>
              <w:spacing w:after="0"/>
            </w:pPr>
            <w:r/>
            <w:r>
              <w:rPr>
                <w:rFonts w:ascii="Calibri" w:hAnsi="Calibri"/>
                <w:b w:val="0"/>
                <w:sz w:val="16"/>
              </w:rPr>
              <w:t>2.5</w:t>
            </w:r>
          </w:p>
        </w:tc>
      </w:tr>
      <w:tr>
        <w:tc>
          <w:tcPr>
            <w:tcW w:type="dxa" w:w="1411"/>
            <w:vAlign w:val="center"/>
          </w:tcPr>
          <w:p>
            <w:pPr>
              <w:spacing w:after="0"/>
            </w:pPr>
            <w:r/>
            <w:r>
              <w:rPr>
                <w:rFonts w:ascii="Calibri" w:hAnsi="Calibri"/>
                <w:b w:val="0"/>
                <w:sz w:val="16"/>
              </w:rPr>
              <w:t>Logistic Regression</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0.8675</w:t>
            </w:r>
          </w:p>
        </w:tc>
        <w:tc>
          <w:tcPr>
            <w:tcW w:type="dxa" w:w="1411"/>
            <w:vAlign w:val="center"/>
          </w:tcPr>
          <w:p>
            <w:pPr>
              <w:spacing w:after="0"/>
            </w:pPr>
            <w:r/>
            <w:r>
              <w:rPr>
                <w:rFonts w:ascii="Calibri" w:hAnsi="Calibri"/>
                <w:b w:val="0"/>
                <w:sz w:val="16"/>
              </w:rPr>
              <w:t>0.9634</w:t>
            </w:r>
          </w:p>
        </w:tc>
        <w:tc>
          <w:tcPr>
            <w:tcW w:type="dxa" w:w="1411"/>
            <w:vAlign w:val="center"/>
          </w:tcPr>
          <w:p>
            <w:pPr>
              <w:spacing w:after="0"/>
            </w:pPr>
            <w:r/>
            <w:r>
              <w:rPr>
                <w:rFonts w:ascii="Calibri" w:hAnsi="Calibri"/>
                <w:b w:val="0"/>
                <w:sz w:val="16"/>
              </w:rPr>
              <w:t>0.9600</w:t>
            </w:r>
          </w:p>
        </w:tc>
        <w:tc>
          <w:tcPr>
            <w:tcW w:type="dxa" w:w="1411"/>
            <w:vAlign w:val="center"/>
          </w:tcPr>
          <w:p>
            <w:pPr>
              <w:spacing w:after="0"/>
            </w:pPr>
            <w:r/>
            <w:r>
              <w:rPr>
                <w:rFonts w:ascii="Calibri" w:hAnsi="Calibri"/>
                <w:b w:val="0"/>
                <w:sz w:val="16"/>
              </w:rPr>
              <w:t>0.8778</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0.9518</w:t>
            </w:r>
          </w:p>
        </w:tc>
        <w:tc>
          <w:tcPr>
            <w:tcW w:type="dxa" w:w="1411"/>
            <w:vAlign w:val="center"/>
          </w:tcPr>
          <w:p>
            <w:pPr>
              <w:spacing w:after="0"/>
            </w:pPr>
            <w:r/>
            <w:r>
              <w:rPr>
                <w:rFonts w:ascii="Calibri" w:hAnsi="Calibri"/>
                <w:b w:val="0"/>
                <w:sz w:val="16"/>
              </w:rPr>
              <w:t>0.9024</w:t>
            </w:r>
          </w:p>
        </w:tc>
        <w:tc>
          <w:tcPr>
            <w:tcW w:type="dxa" w:w="1411"/>
            <w:vAlign w:val="center"/>
          </w:tcPr>
          <w:p>
            <w:pPr>
              <w:spacing w:after="0"/>
            </w:pPr>
            <w:r/>
            <w:r>
              <w:rPr>
                <w:rFonts w:ascii="Calibri" w:hAnsi="Calibri"/>
                <w:b w:val="0"/>
                <w:sz w:val="16"/>
              </w:rPr>
              <w:t>0.9080</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Random Forest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0.9512</w:t>
            </w:r>
          </w:p>
        </w:tc>
        <w:tc>
          <w:tcPr>
            <w:tcW w:type="dxa" w:w="1411"/>
            <w:vAlign w:val="center"/>
          </w:tcPr>
          <w:p>
            <w:pPr>
              <w:spacing w:after="0"/>
            </w:pPr>
            <w:r/>
            <w:r>
              <w:rPr>
                <w:rFonts w:ascii="Calibri" w:hAnsi="Calibri"/>
                <w:b w:val="0"/>
                <w:sz w:val="16"/>
              </w:rPr>
              <w:t>0.9487</w:t>
            </w:r>
          </w:p>
        </w:tc>
        <w:tc>
          <w:tcPr>
            <w:tcW w:type="dxa" w:w="1411"/>
            <w:vAlign w:val="center"/>
          </w:tcPr>
          <w:p>
            <w:pPr>
              <w:spacing w:after="0"/>
            </w:pPr>
            <w:r/>
            <w:r>
              <w:rPr>
                <w:rFonts w:ascii="Calibri" w:hAnsi="Calibri"/>
                <w:b w:val="0"/>
                <w:sz w:val="16"/>
              </w:rPr>
              <w:t>0.8966</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0.9398</w:t>
            </w:r>
          </w:p>
        </w:tc>
        <w:tc>
          <w:tcPr>
            <w:tcW w:type="dxa" w:w="1411"/>
            <w:vAlign w:val="center"/>
          </w:tcPr>
          <w:p>
            <w:pPr>
              <w:spacing w:after="0"/>
            </w:pPr>
            <w:r/>
            <w:r>
              <w:rPr>
                <w:rFonts w:ascii="Calibri" w:hAnsi="Calibri"/>
                <w:b w:val="0"/>
                <w:sz w:val="16"/>
              </w:rPr>
              <w:t>0.9146</w:t>
            </w:r>
          </w:p>
        </w:tc>
        <w:tc>
          <w:tcPr>
            <w:tcW w:type="dxa" w:w="1411"/>
            <w:vAlign w:val="center"/>
          </w:tcPr>
          <w:p>
            <w:pPr>
              <w:spacing w:after="0"/>
            </w:pPr>
            <w:r/>
            <w:r>
              <w:rPr>
                <w:rFonts w:ascii="Calibri" w:hAnsi="Calibri"/>
                <w:b w:val="0"/>
                <w:sz w:val="16"/>
              </w:rPr>
              <w:t>0.9176</w:t>
            </w:r>
          </w:p>
        </w:tc>
        <w:tc>
          <w:tcPr>
            <w:tcW w:type="dxa" w:w="1411"/>
            <w:vAlign w:val="center"/>
          </w:tcPr>
          <w:p>
            <w:pPr>
              <w:spacing w:after="0"/>
            </w:pPr>
            <w:r/>
            <w:r>
              <w:rPr>
                <w:rFonts w:ascii="Calibri" w:hAnsi="Calibri"/>
                <w:b w:val="0"/>
                <w:sz w:val="16"/>
              </w:rPr>
              <w:t>0.9375</w:t>
            </w:r>
          </w:p>
        </w:tc>
        <w:tc>
          <w:tcPr>
            <w:tcW w:type="dxa" w:w="1411"/>
            <w:vAlign w:val="center"/>
          </w:tcPr>
          <w:p>
            <w:pPr>
              <w:spacing w:after="0"/>
            </w:pPr>
            <w:r/>
            <w:r>
              <w:rPr>
                <w:rFonts w:ascii="Calibri" w:hAnsi="Calibri"/>
                <w:b w:val="0"/>
                <w:sz w:val="16"/>
              </w:rPr>
              <w:t>2.3</w:t>
            </w:r>
          </w:p>
        </w:tc>
      </w:tr>
      <w:tr>
        <w:tc>
          <w:tcPr>
            <w:tcW w:type="dxa" w:w="1411"/>
            <w:vAlign w:val="center"/>
          </w:tcPr>
          <w:p>
            <w:pPr>
              <w:spacing w:after="0"/>
            </w:pPr>
            <w:r/>
            <w:r>
              <w:rPr>
                <w:rFonts w:ascii="Calibri" w:hAnsi="Calibri"/>
                <w:b w:val="0"/>
                <w:sz w:val="16"/>
              </w:rPr>
              <w:t>XGBoost</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0.9268</w:t>
            </w:r>
          </w:p>
        </w:tc>
        <w:tc>
          <w:tcPr>
            <w:tcW w:type="dxa" w:w="1411"/>
            <w:vAlign w:val="center"/>
          </w:tcPr>
          <w:p>
            <w:pPr>
              <w:spacing w:after="0"/>
            </w:pPr>
            <w:r/>
            <w:r>
              <w:rPr>
                <w:rFonts w:ascii="Calibri" w:hAnsi="Calibri"/>
                <w:b w:val="0"/>
                <w:sz w:val="16"/>
              </w:rPr>
              <w:t>2.4</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0.50</w:t>
            </w:r>
          </w:p>
        </w:tc>
        <w:tc>
          <w:tcPr>
            <w:tcW w:type="dxa" w:w="1411"/>
            <w:vAlign w:val="center"/>
          </w:tcPr>
          <w:p>
            <w:pPr>
              <w:spacing w:after="0"/>
            </w:pPr>
            <w:r/>
            <w:r>
              <w:rPr>
                <w:rFonts w:ascii="Calibri" w:hAnsi="Calibri"/>
                <w:b w:val="0"/>
                <w:sz w:val="16"/>
              </w:rPr>
              <w:t>0.9277</w:t>
            </w:r>
          </w:p>
        </w:tc>
        <w:tc>
          <w:tcPr>
            <w:tcW w:type="dxa" w:w="1411"/>
            <w:vAlign w:val="center"/>
          </w:tcPr>
          <w:p>
            <w:pPr>
              <w:spacing w:after="0"/>
            </w:pPr>
            <w:r/>
            <w:r>
              <w:rPr>
                <w:rFonts w:ascii="Calibri" w:hAnsi="Calibri"/>
                <w:b w:val="0"/>
                <w:sz w:val="16"/>
              </w:rPr>
              <w:t>0.8659</w:t>
            </w:r>
          </w:p>
        </w:tc>
        <w:tc>
          <w:tcPr>
            <w:tcW w:type="dxa" w:w="1411"/>
            <w:vAlign w:val="center"/>
          </w:tcPr>
          <w:p>
            <w:pPr>
              <w:spacing w:after="0"/>
            </w:pPr>
            <w:r/>
            <w:r>
              <w:rPr>
                <w:rFonts w:ascii="Calibri" w:hAnsi="Calibri"/>
                <w:b w:val="0"/>
                <w:sz w:val="16"/>
              </w:rPr>
              <w:t>0.8750</w:t>
            </w:r>
          </w:p>
        </w:tc>
        <w:tc>
          <w:tcPr>
            <w:tcW w:type="dxa" w:w="1411"/>
            <w:vAlign w:val="center"/>
          </w:tcPr>
          <w:p>
            <w:pPr>
              <w:spacing w:after="0"/>
            </w:pPr>
            <w:r/>
            <w:r>
              <w:rPr>
                <w:rFonts w:ascii="Calibri" w:hAnsi="Calibri"/>
                <w:b w:val="0"/>
                <w:sz w:val="16"/>
              </w:rPr>
              <w:t>0.9221</w:t>
            </w:r>
          </w:p>
        </w:tc>
        <w:tc>
          <w:tcPr>
            <w:tcW w:type="dxa" w:w="1411"/>
            <w:vAlign w:val="center"/>
          </w:tcPr>
          <w:p>
            <w:pPr>
              <w:spacing w:after="0"/>
            </w:pPr>
            <w:r/>
            <w:r>
              <w:rPr>
                <w:rFonts w:ascii="Calibri" w:hAnsi="Calibri"/>
                <w:b w:val="0"/>
                <w:sz w:val="16"/>
              </w:rPr>
              <w:t>2.5</w:t>
            </w:r>
          </w:p>
        </w:tc>
      </w:tr>
      <w:tr>
        <w:tc>
          <w:tcPr>
            <w:tcW w:type="dxa" w:w="1411"/>
            <w:vAlign w:val="center"/>
          </w:tcPr>
          <w:p>
            <w:pPr>
              <w:spacing w:after="0"/>
            </w:pPr>
            <w:r/>
            <w:r>
              <w:rPr>
                <w:rFonts w:ascii="Calibri" w:hAnsi="Calibri"/>
                <w:b w:val="0"/>
                <w:sz w:val="16"/>
              </w:rPr>
              <w:t>Neural Network (MLP)</w:t>
            </w:r>
          </w:p>
        </w:tc>
        <w:tc>
          <w:tcPr>
            <w:tcW w:type="dxa" w:w="1411"/>
            <w:vAlign w:val="center"/>
          </w:tcPr>
          <w:p>
            <w:pPr>
              <w:spacing w:after="0"/>
            </w:pPr>
            <w:r/>
            <w:r>
              <w:rPr>
                <w:rFonts w:ascii="Calibri" w:hAnsi="Calibri"/>
                <w:b w:val="0"/>
                <w:sz w:val="16"/>
              </w:rPr>
              <w:t>0.60</w:t>
            </w:r>
          </w:p>
        </w:tc>
        <w:tc>
          <w:tcPr>
            <w:tcW w:type="dxa" w:w="1411"/>
            <w:vAlign w:val="center"/>
          </w:tcPr>
          <w:p>
            <w:pPr>
              <w:spacing w:after="0"/>
            </w:pPr>
            <w:r/>
            <w:r>
              <w:rPr>
                <w:rFonts w:ascii="Calibri" w:hAnsi="Calibri"/>
                <w:b w:val="0"/>
                <w:sz w:val="16"/>
              </w:rPr>
              <w:t>0.8916</w:t>
            </w:r>
          </w:p>
        </w:tc>
        <w:tc>
          <w:tcPr>
            <w:tcW w:type="dxa" w:w="1411"/>
            <w:vAlign w:val="center"/>
          </w:tcPr>
          <w:p>
            <w:pPr>
              <w:spacing w:after="0"/>
            </w:pPr>
            <w:r/>
            <w:r>
              <w:rPr>
                <w:rFonts w:ascii="Calibri" w:hAnsi="Calibri"/>
                <w:b w:val="0"/>
                <w:sz w:val="16"/>
              </w:rPr>
              <w:t>0.8780</w:t>
            </w:r>
          </w:p>
        </w:tc>
        <w:tc>
          <w:tcPr>
            <w:tcW w:type="dxa" w:w="1411"/>
            <w:vAlign w:val="center"/>
          </w:tcPr>
          <w:p>
            <w:pPr>
              <w:spacing w:after="0"/>
            </w:pPr>
            <w:r/>
            <w:r>
              <w:rPr>
                <w:rFonts w:ascii="Calibri" w:hAnsi="Calibri"/>
                <w:b w:val="0"/>
                <w:sz w:val="16"/>
              </w:rPr>
              <w:t>0.8810</w:t>
            </w:r>
          </w:p>
        </w:tc>
        <w:tc>
          <w:tcPr>
            <w:tcW w:type="dxa" w:w="1411"/>
            <w:vAlign w:val="center"/>
          </w:tcPr>
          <w:p>
            <w:pPr>
              <w:spacing w:after="0"/>
            </w:pPr>
            <w:r/>
            <w:r>
              <w:rPr>
                <w:rFonts w:ascii="Calibri" w:hAnsi="Calibri"/>
                <w:b w:val="0"/>
                <w:sz w:val="16"/>
              </w:rPr>
              <w:t>0.8889</w:t>
            </w:r>
          </w:p>
        </w:tc>
        <w:tc>
          <w:tcPr>
            <w:tcW w:type="dxa" w:w="1411"/>
            <w:vAlign w:val="center"/>
          </w:tcPr>
          <w:p>
            <w:pPr>
              <w:spacing w:after="0"/>
            </w:pPr>
            <w:r/>
            <w:r>
              <w:rPr>
                <w:rFonts w:ascii="Calibri" w:hAnsi="Calibri"/>
                <w:b w:val="0"/>
                <w:sz w:val="16"/>
              </w:rPr>
              <w:t>2.8</w:t>
            </w:r>
          </w:p>
        </w:tc>
      </w:tr>
    </w:tbl>
    <w:p>
      <w:pPr>
        <w:spacing w:before="60" w:after="160"/>
        <w:jc w:val="center"/>
      </w:pPr>
      <w:r>
        <w:rPr>
          <w:rFonts w:ascii="Calibri" w:hAnsi="Calibri"/>
          <w:i/>
          <w:color w:val="5A5A5A"/>
          <w:sz w:val="17"/>
        </w:rPr>
        <w:t>Table 5. Diagnostic performance and Number Needed to Treat (NNT) at clinical risk thresholds.</w:t>
      </w:r>
    </w:p>
    <w:p>
      <w:r>
        <w:br w:type="page"/>
      </w:r>
    </w:p>
    <w:p>
      <w:pPr>
        <w:pStyle w:val="Heading1"/>
        <w:keepNext/>
        <w:spacing w:before="240" w:after="100"/>
      </w:pPr>
    </w:p>
    <w:p>
      <w:pPr>
        <w:spacing w:before="0" w:after="140" w:line="283" w:lineRule="auto"/>
      </w:pPr>
      <w:r>
        <w:rPr>
          <w:rFonts w:ascii="Calibri" w:hAnsi="Calibri"/>
          <w:color w:val="141F2B"/>
          <w:sz w:val="20"/>
        </w:rPr>
        <w:t>Subgroup analyses checked for performance differences across age, sex, and stage. Accuracy and ROC-AUC were similar across groups. Bootstrap interaction tests showed no significant differences (p &gt; 0.05). Results are in Table 6.</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Subgroup</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Accuracy</w:t>
            </w:r>
          </w:p>
        </w:tc>
        <w:tc>
          <w:tcPr>
            <w:tcW w:type="dxa" w:w="1411"/>
            <w:shd w:fill="F4F6F9"/>
            <w:vAlign w:val="center"/>
          </w:tcPr>
          <w:p>
            <w:pPr>
              <w:spacing w:after="0"/>
            </w:pPr>
            <w:r/>
            <w:r>
              <w:rPr>
                <w:rFonts w:ascii="Calibri" w:hAnsi="Calibri"/>
                <w:b/>
                <w:color w:val="141F2B"/>
                <w:sz w:val="16"/>
              </w:rPr>
              <w:t>ROC-AUC</w:t>
            </w:r>
          </w:p>
        </w:tc>
        <w:tc>
          <w:tcPr>
            <w:tcW w:type="dxa" w:w="1411"/>
            <w:shd w:fill="F4F6F9"/>
            <w:vAlign w:val="center"/>
          </w:tcPr>
          <w:p>
            <w:pPr>
              <w:spacing w:after="0"/>
            </w:pPr>
            <w:r/>
            <w:r>
              <w:rPr>
                <w:rFonts w:ascii="Calibri" w:hAnsi="Calibri"/>
                <w:b/>
                <w:color w:val="141F2B"/>
                <w:sz w:val="16"/>
              </w:rPr>
              <w:t>ROC-AUC 95% CI</w:t>
            </w:r>
          </w:p>
        </w:tc>
        <w:tc>
          <w:tcPr>
            <w:tcW w:type="dxa" w:w="1411"/>
            <w:shd w:fill="F4F6F9"/>
            <w:vAlign w:val="center"/>
          </w:tcPr>
          <w:p>
            <w:pPr>
              <w:spacing w:after="0"/>
            </w:pPr>
            <w:r/>
            <w:r>
              <w:rPr>
                <w:rFonts w:ascii="Calibri" w:hAnsi="Calibri"/>
                <w:b/>
                <w:color w:val="141F2B"/>
                <w:sz w:val="16"/>
              </w:rPr>
              <w:t>Interaction p-value</w:t>
            </w:r>
          </w:p>
        </w:tc>
        <w:tc>
          <w:tcPr>
            <w:tcW w:type="dxa" w:w="1411"/>
            <w:shd w:fill="F4F6F9"/>
            <w:vAlign w:val="center"/>
          </w:tcPr>
          <w:p>
            <w:pPr>
              <w:spacing w:after="0"/>
            </w:pPr>
            <w:r/>
            <w:r>
              <w:rPr>
                <w:rFonts w:ascii="Calibri" w:hAnsi="Calibri"/>
                <w:b/>
                <w:color w:val="141F2B"/>
                <w:sz w:val="16"/>
              </w:rPr>
              <w:t>Interaction 95% CI</w:t>
            </w:r>
          </w:p>
        </w:tc>
      </w:tr>
      <w:tr>
        <w:tc>
          <w:tcPr>
            <w:tcW w:type="dxa" w:w="1411"/>
            <w:vAlign w:val="center"/>
          </w:tcPr>
          <w:p>
            <w:pPr>
              <w:spacing w:after="0"/>
            </w:pPr>
            <w:r/>
            <w:r>
              <w:rPr>
                <w:rFonts w:ascii="Calibri" w:hAnsi="Calibri"/>
                <w:b w:val="0"/>
                <w:sz w:val="16"/>
              </w:rPr>
              <w:t>All</w:t>
            </w:r>
          </w:p>
        </w:tc>
        <w:tc>
          <w:tcPr>
            <w:tcW w:type="dxa" w:w="1411"/>
            <w:vAlign w:val="center"/>
          </w:tcPr>
          <w:p>
            <w:pPr>
              <w:spacing w:after="0"/>
            </w:pPr>
            <w:r/>
            <w:r>
              <w:rPr>
                <w:rFonts w:ascii="Calibri" w:hAnsi="Calibri"/>
                <w:b w:val="0"/>
                <w:sz w:val="16"/>
              </w:rPr>
              <w:t>165</w:t>
            </w:r>
          </w:p>
        </w:tc>
        <w:tc>
          <w:tcPr>
            <w:tcW w:type="dxa" w:w="1411"/>
            <w:vAlign w:val="center"/>
          </w:tcPr>
          <w:p>
            <w:pPr>
              <w:spacing w:after="0"/>
            </w:pPr>
            <w:r/>
            <w:r>
              <w:rPr>
                <w:rFonts w:ascii="Calibri" w:hAnsi="Calibri"/>
                <w:b w:val="0"/>
                <w:sz w:val="16"/>
              </w:rPr>
              <w:t>0.9030</w:t>
            </w:r>
          </w:p>
        </w:tc>
        <w:tc>
          <w:tcPr>
            <w:tcW w:type="dxa" w:w="1411"/>
            <w:vAlign w:val="center"/>
          </w:tcPr>
          <w:p>
            <w:pPr>
              <w:spacing w:after="0"/>
            </w:pPr>
            <w:r/>
            <w:r>
              <w:rPr>
                <w:rFonts w:ascii="Calibri" w:hAnsi="Calibri"/>
                <w:b w:val="0"/>
                <w:sz w:val="16"/>
              </w:rPr>
              <w:t>0.9850</w:t>
            </w:r>
          </w:p>
        </w:tc>
        <w:tc>
          <w:tcPr>
            <w:tcW w:type="dxa" w:w="1411"/>
            <w:vAlign w:val="center"/>
          </w:tcPr>
          <w:p>
            <w:pPr>
              <w:spacing w:after="0"/>
            </w:pPr>
            <w:r/>
            <w:r>
              <w:rPr>
                <w:rFonts w:ascii="Calibri" w:hAnsi="Calibri"/>
                <w:b w:val="0"/>
                <w:sz w:val="16"/>
              </w:rPr>
              <w:t>(0.9711-0.9948)</w:t>
            </w:r>
          </w:p>
        </w:tc>
        <w:tc>
          <w:tcPr>
            <w:tcW w:type="dxa" w:w="1411"/>
            <w:vAlign w:val="center"/>
          </w:tcPr>
          <w:p>
            <w:pPr>
              <w:spacing w:after="0"/>
            </w:pPr>
            <w:r/>
            <w:r>
              <w:rPr>
                <w:rFonts w:ascii="Calibri" w:hAnsi="Calibri"/>
                <w:b w:val="0"/>
                <w:sz w:val="16"/>
              </w:rPr>
              <w:t>-</w:t>
            </w:r>
          </w:p>
        </w:tc>
        <w:tc>
          <w:tcPr>
            <w:tcW w:type="dxa" w:w="1411"/>
            <w:vAlign w:val="center"/>
          </w:tcPr>
          <w:p>
            <w:pPr>
              <w:spacing w:after="0"/>
            </w:pPr>
            <w:r/>
            <w:r>
              <w:rPr>
                <w:rFonts w:ascii="Calibri" w:hAnsi="Calibri"/>
                <w:b w:val="0"/>
                <w:sz w:val="16"/>
              </w:rPr>
              <w:t>-</w:t>
            </w:r>
          </w:p>
        </w:tc>
      </w:tr>
      <w:tr>
        <w:tc>
          <w:tcPr>
            <w:tcW w:type="dxa" w:w="1411"/>
            <w:vAlign w:val="center"/>
          </w:tcPr>
          <w:p>
            <w:pPr>
              <w:spacing w:after="0"/>
            </w:pPr>
            <w:r/>
            <w:r>
              <w:rPr>
                <w:rFonts w:ascii="Calibri" w:hAnsi="Calibri"/>
                <w:b w:val="0"/>
                <w:sz w:val="16"/>
              </w:rPr>
              <w:t>Age &lt; 65</w:t>
            </w:r>
          </w:p>
        </w:tc>
        <w:tc>
          <w:tcPr>
            <w:tcW w:type="dxa" w:w="1411"/>
            <w:vAlign w:val="center"/>
          </w:tcPr>
          <w:p>
            <w:pPr>
              <w:spacing w:after="0"/>
            </w:pPr>
            <w:r/>
            <w:r>
              <w:rPr>
                <w:rFonts w:ascii="Calibri" w:hAnsi="Calibri"/>
                <w:b w:val="0"/>
                <w:sz w:val="16"/>
              </w:rPr>
              <w:t>39</w:t>
            </w:r>
          </w:p>
        </w:tc>
        <w:tc>
          <w:tcPr>
            <w:tcW w:type="dxa" w:w="1411"/>
            <w:vAlign w:val="center"/>
          </w:tcPr>
          <w:p>
            <w:pPr>
              <w:spacing w:after="0"/>
            </w:pPr>
            <w:r/>
            <w:r>
              <w:rPr>
                <w:rFonts w:ascii="Calibri" w:hAnsi="Calibri"/>
                <w:b w:val="0"/>
                <w:sz w:val="16"/>
              </w:rPr>
              <w:t>0.8205</w:t>
            </w:r>
          </w:p>
        </w:tc>
        <w:tc>
          <w:tcPr>
            <w:tcW w:type="dxa" w:w="1411"/>
            <w:vAlign w:val="center"/>
          </w:tcPr>
          <w:p>
            <w:pPr>
              <w:spacing w:after="0"/>
            </w:pPr>
            <w:r/>
            <w:r>
              <w:rPr>
                <w:rFonts w:ascii="Calibri" w:hAnsi="Calibri"/>
                <w:b w:val="0"/>
                <w:sz w:val="16"/>
              </w:rPr>
              <w:t>0.9511</w:t>
            </w:r>
          </w:p>
        </w:tc>
        <w:tc>
          <w:tcPr>
            <w:tcW w:type="dxa" w:w="1411"/>
            <w:vAlign w:val="center"/>
          </w:tcPr>
          <w:p>
            <w:pPr>
              <w:spacing w:after="0"/>
            </w:pPr>
            <w:r/>
            <w:r>
              <w:rPr>
                <w:rFonts w:ascii="Calibri" w:hAnsi="Calibri"/>
                <w:b w:val="0"/>
                <w:sz w:val="16"/>
              </w:rPr>
              <w:t>(0.8757-1.0000)</w:t>
            </w:r>
          </w:p>
        </w:tc>
        <w:tc>
          <w:tcPr>
            <w:tcW w:type="dxa" w:w="1411"/>
            <w:vAlign w:val="center"/>
          </w:tcPr>
          <w:p>
            <w:pPr>
              <w:spacing w:after="0"/>
            </w:pPr>
            <w:r/>
            <w:r>
              <w:rPr>
                <w:rFonts w:ascii="Calibri" w:hAnsi="Calibri"/>
                <w:b w:val="0"/>
                <w:sz w:val="16"/>
              </w:rPr>
              <w:t>0.2050</w:t>
            </w:r>
          </w:p>
        </w:tc>
        <w:tc>
          <w:tcPr>
            <w:tcW w:type="dxa" w:w="1411"/>
            <w:vAlign w:val="center"/>
          </w:tcPr>
          <w:p>
            <w:pPr>
              <w:spacing w:after="0"/>
            </w:pPr>
            <w:r/>
            <w:r>
              <w:rPr>
                <w:rFonts w:ascii="Calibri" w:hAnsi="Calibri"/>
                <w:b w:val="0"/>
                <w:sz w:val="16"/>
              </w:rPr>
              <w:t>(-0.1205 to 0.0096)</w:t>
            </w:r>
          </w:p>
        </w:tc>
      </w:tr>
      <w:tr>
        <w:tc>
          <w:tcPr>
            <w:tcW w:type="dxa" w:w="1411"/>
            <w:vAlign w:val="center"/>
          </w:tcPr>
          <w:p>
            <w:pPr>
              <w:spacing w:after="0"/>
            </w:pPr>
            <w:r/>
            <w:r>
              <w:rPr>
                <w:rFonts w:ascii="Calibri" w:hAnsi="Calibri"/>
                <w:b w:val="0"/>
                <w:sz w:val="16"/>
              </w:rPr>
              <w:t>Age &gt;= 65</w:t>
            </w:r>
          </w:p>
        </w:tc>
        <w:tc>
          <w:tcPr>
            <w:tcW w:type="dxa" w:w="1411"/>
            <w:vAlign w:val="center"/>
          </w:tcPr>
          <w:p>
            <w:pPr>
              <w:spacing w:after="0"/>
            </w:pPr>
            <w:r/>
            <w:r>
              <w:rPr>
                <w:rFonts w:ascii="Calibri" w:hAnsi="Calibri"/>
                <w:b w:val="0"/>
                <w:sz w:val="16"/>
              </w:rPr>
              <w:t>126</w:t>
            </w:r>
          </w:p>
        </w:tc>
        <w:tc>
          <w:tcPr>
            <w:tcW w:type="dxa" w:w="1411"/>
            <w:vAlign w:val="center"/>
          </w:tcPr>
          <w:p>
            <w:pPr>
              <w:spacing w:after="0"/>
            </w:pPr>
            <w:r/>
            <w:r>
              <w:rPr>
                <w:rFonts w:ascii="Calibri" w:hAnsi="Calibri"/>
                <w:b w:val="0"/>
                <w:sz w:val="16"/>
              </w:rPr>
              <w:t>0.9286</w:t>
            </w:r>
          </w:p>
        </w:tc>
        <w:tc>
          <w:tcPr>
            <w:tcW w:type="dxa" w:w="1411"/>
            <w:vAlign w:val="center"/>
          </w:tcPr>
          <w:p>
            <w:pPr>
              <w:spacing w:after="0"/>
            </w:pPr>
            <w:r/>
            <w:r>
              <w:rPr>
                <w:rFonts w:ascii="Calibri" w:hAnsi="Calibri"/>
                <w:b w:val="0"/>
                <w:sz w:val="16"/>
              </w:rPr>
              <w:t>0.9911</w:t>
            </w:r>
          </w:p>
        </w:tc>
        <w:tc>
          <w:tcPr>
            <w:tcW w:type="dxa" w:w="1411"/>
            <w:vAlign w:val="center"/>
          </w:tcPr>
          <w:p>
            <w:pPr>
              <w:spacing w:after="0"/>
            </w:pPr>
            <w:r/>
            <w:r>
              <w:rPr>
                <w:rFonts w:ascii="Calibri" w:hAnsi="Calibri"/>
                <w:b w:val="0"/>
                <w:sz w:val="16"/>
              </w:rPr>
              <w:t>(0.9805-0.9985)</w:t>
            </w:r>
          </w:p>
        </w:tc>
        <w:tc>
          <w:tcPr>
            <w:tcW w:type="dxa" w:w="1411"/>
            <w:vAlign w:val="center"/>
          </w:tcPr>
          <w:p>
            <w:pPr>
              <w:spacing w:after="0"/>
            </w:pPr>
            <w:r/>
            <w:r>
              <w:rPr>
                <w:rFonts w:ascii="Calibri" w:hAnsi="Calibri"/>
                <w:b w:val="0"/>
                <w:sz w:val="16"/>
              </w:rPr>
              <w:t>0.2050</w:t>
            </w:r>
          </w:p>
        </w:tc>
        <w:tc>
          <w:tcPr>
            <w:tcW w:type="dxa" w:w="1411"/>
            <w:vAlign w:val="center"/>
          </w:tcPr>
          <w:p>
            <w:pPr>
              <w:spacing w:after="0"/>
            </w:pPr>
            <w:r/>
            <w:r>
              <w:rPr>
                <w:rFonts w:ascii="Calibri" w:hAnsi="Calibri"/>
                <w:b w:val="0"/>
                <w:sz w:val="16"/>
              </w:rPr>
              <w:t>(-0.1205 to 0.0096)</w:t>
            </w:r>
          </w:p>
        </w:tc>
      </w:tr>
      <w:tr>
        <w:tc>
          <w:tcPr>
            <w:tcW w:type="dxa" w:w="1411"/>
            <w:vAlign w:val="center"/>
          </w:tcPr>
          <w:p>
            <w:pPr>
              <w:spacing w:after="0"/>
            </w:pPr>
            <w:r/>
            <w:r>
              <w:rPr>
                <w:rFonts w:ascii="Calibri" w:hAnsi="Calibri"/>
                <w:b w:val="0"/>
                <w:sz w:val="16"/>
              </w:rPr>
              <w:t>Male</w:t>
            </w:r>
          </w:p>
        </w:tc>
        <w:tc>
          <w:tcPr>
            <w:tcW w:type="dxa" w:w="1411"/>
            <w:vAlign w:val="center"/>
          </w:tcPr>
          <w:p>
            <w:pPr>
              <w:spacing w:after="0"/>
            </w:pPr>
            <w:r/>
            <w:r>
              <w:rPr>
                <w:rFonts w:ascii="Calibri" w:hAnsi="Calibri"/>
                <w:b w:val="0"/>
                <w:sz w:val="16"/>
              </w:rPr>
              <w:t>62</w:t>
            </w:r>
          </w:p>
        </w:tc>
        <w:tc>
          <w:tcPr>
            <w:tcW w:type="dxa" w:w="1411"/>
            <w:vAlign w:val="center"/>
          </w:tcPr>
          <w:p>
            <w:pPr>
              <w:spacing w:after="0"/>
            </w:pPr>
            <w:r/>
            <w:r>
              <w:rPr>
                <w:rFonts w:ascii="Calibri" w:hAnsi="Calibri"/>
                <w:b w:val="0"/>
                <w:sz w:val="16"/>
              </w:rPr>
              <w:t>0.8871</w:t>
            </w:r>
          </w:p>
        </w:tc>
        <w:tc>
          <w:tcPr>
            <w:tcW w:type="dxa" w:w="1411"/>
            <w:vAlign w:val="center"/>
          </w:tcPr>
          <w:p>
            <w:pPr>
              <w:spacing w:after="0"/>
            </w:pPr>
            <w:r/>
            <w:r>
              <w:rPr>
                <w:rFonts w:ascii="Calibri" w:hAnsi="Calibri"/>
                <w:b w:val="0"/>
                <w:sz w:val="16"/>
              </w:rPr>
              <w:t>0.9778</w:t>
            </w:r>
          </w:p>
        </w:tc>
        <w:tc>
          <w:tcPr>
            <w:tcW w:type="dxa" w:w="1411"/>
            <w:vAlign w:val="center"/>
          </w:tcPr>
          <w:p>
            <w:pPr>
              <w:spacing w:after="0"/>
            </w:pPr>
            <w:r/>
            <w:r>
              <w:rPr>
                <w:rFonts w:ascii="Calibri" w:hAnsi="Calibri"/>
                <w:b w:val="0"/>
                <w:sz w:val="16"/>
              </w:rPr>
              <w:t>(0.9390-1.0000)</w:t>
            </w:r>
          </w:p>
        </w:tc>
        <w:tc>
          <w:tcPr>
            <w:tcW w:type="dxa" w:w="1411"/>
            <w:vAlign w:val="center"/>
          </w:tcPr>
          <w:p>
            <w:pPr>
              <w:spacing w:after="0"/>
            </w:pPr>
            <w:r/>
            <w:r>
              <w:rPr>
                <w:rFonts w:ascii="Calibri" w:hAnsi="Calibri"/>
                <w:b w:val="0"/>
                <w:sz w:val="16"/>
              </w:rPr>
              <w:t>0.5980</w:t>
            </w:r>
          </w:p>
        </w:tc>
        <w:tc>
          <w:tcPr>
            <w:tcW w:type="dxa" w:w="1411"/>
            <w:vAlign w:val="center"/>
          </w:tcPr>
          <w:p>
            <w:pPr>
              <w:spacing w:after="0"/>
            </w:pPr>
            <w:r/>
            <w:r>
              <w:rPr>
                <w:rFonts w:ascii="Calibri" w:hAnsi="Calibri"/>
                <w:b w:val="0"/>
                <w:sz w:val="16"/>
              </w:rPr>
              <w:t>(-0.0446 to 0.0198)</w:t>
            </w:r>
          </w:p>
        </w:tc>
      </w:tr>
      <w:tr>
        <w:tc>
          <w:tcPr>
            <w:tcW w:type="dxa" w:w="1411"/>
            <w:vAlign w:val="center"/>
          </w:tcPr>
          <w:p>
            <w:pPr>
              <w:spacing w:after="0"/>
            </w:pPr>
            <w:r/>
            <w:r>
              <w:rPr>
                <w:rFonts w:ascii="Calibri" w:hAnsi="Calibri"/>
                <w:b w:val="0"/>
                <w:sz w:val="16"/>
              </w:rPr>
              <w:t>Female</w:t>
            </w:r>
          </w:p>
        </w:tc>
        <w:tc>
          <w:tcPr>
            <w:tcW w:type="dxa" w:w="1411"/>
            <w:vAlign w:val="center"/>
          </w:tcPr>
          <w:p>
            <w:pPr>
              <w:spacing w:after="0"/>
            </w:pPr>
            <w:r/>
            <w:r>
              <w:rPr>
                <w:rFonts w:ascii="Calibri" w:hAnsi="Calibri"/>
                <w:b w:val="0"/>
                <w:sz w:val="16"/>
              </w:rPr>
              <w:t>103</w:t>
            </w:r>
          </w:p>
        </w:tc>
        <w:tc>
          <w:tcPr>
            <w:tcW w:type="dxa" w:w="1411"/>
            <w:vAlign w:val="center"/>
          </w:tcPr>
          <w:p>
            <w:pPr>
              <w:spacing w:after="0"/>
            </w:pPr>
            <w:r/>
            <w:r>
              <w:rPr>
                <w:rFonts w:ascii="Calibri" w:hAnsi="Calibri"/>
                <w:b w:val="0"/>
                <w:sz w:val="16"/>
              </w:rPr>
              <w:t>0.9126</w:t>
            </w:r>
          </w:p>
        </w:tc>
        <w:tc>
          <w:tcPr>
            <w:tcW w:type="dxa" w:w="1411"/>
            <w:vAlign w:val="center"/>
          </w:tcPr>
          <w:p>
            <w:pPr>
              <w:spacing w:after="0"/>
            </w:pPr>
            <w:r/>
            <w:r>
              <w:rPr>
                <w:rFonts w:ascii="Calibri" w:hAnsi="Calibri"/>
                <w:b w:val="0"/>
                <w:sz w:val="16"/>
              </w:rPr>
              <w:t>0.9865</w:t>
            </w:r>
          </w:p>
        </w:tc>
        <w:tc>
          <w:tcPr>
            <w:tcW w:type="dxa" w:w="1411"/>
            <w:vAlign w:val="center"/>
          </w:tcPr>
          <w:p>
            <w:pPr>
              <w:spacing w:after="0"/>
            </w:pPr>
            <w:r/>
            <w:r>
              <w:rPr>
                <w:rFonts w:ascii="Calibri" w:hAnsi="Calibri"/>
                <w:b w:val="0"/>
                <w:sz w:val="16"/>
              </w:rPr>
              <w:t>(0.9676-0.9972)</w:t>
            </w:r>
          </w:p>
        </w:tc>
        <w:tc>
          <w:tcPr>
            <w:tcW w:type="dxa" w:w="1411"/>
            <w:vAlign w:val="center"/>
          </w:tcPr>
          <w:p>
            <w:pPr>
              <w:spacing w:after="0"/>
            </w:pPr>
            <w:r/>
            <w:r>
              <w:rPr>
                <w:rFonts w:ascii="Calibri" w:hAnsi="Calibri"/>
                <w:b w:val="0"/>
                <w:sz w:val="16"/>
              </w:rPr>
              <w:t>0.5980</w:t>
            </w:r>
          </w:p>
        </w:tc>
        <w:tc>
          <w:tcPr>
            <w:tcW w:type="dxa" w:w="1411"/>
            <w:vAlign w:val="center"/>
          </w:tcPr>
          <w:p>
            <w:pPr>
              <w:spacing w:after="0"/>
            </w:pPr>
            <w:r/>
            <w:r>
              <w:rPr>
                <w:rFonts w:ascii="Calibri" w:hAnsi="Calibri"/>
                <w:b w:val="0"/>
                <w:sz w:val="16"/>
              </w:rPr>
              <w:t>(-0.0446 to 0.0198)</w:t>
            </w:r>
          </w:p>
        </w:tc>
      </w:tr>
      <w:tr>
        <w:tc>
          <w:tcPr>
            <w:tcW w:type="dxa" w:w="1411"/>
            <w:vAlign w:val="center"/>
          </w:tcPr>
          <w:p>
            <w:pPr>
              <w:spacing w:after="0"/>
            </w:pPr>
            <w:r/>
            <w:r>
              <w:rPr>
                <w:rFonts w:ascii="Calibri" w:hAnsi="Calibri"/>
                <w:b w:val="0"/>
                <w:sz w:val="16"/>
              </w:rPr>
              <w:t>Stage I/II</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0.8947</w:t>
            </w:r>
          </w:p>
        </w:tc>
        <w:tc>
          <w:tcPr>
            <w:tcW w:type="dxa" w:w="1411"/>
            <w:vAlign w:val="center"/>
          </w:tcPr>
          <w:p>
            <w:pPr>
              <w:spacing w:after="0"/>
            </w:pPr>
            <w:r/>
            <w:r>
              <w:rPr>
                <w:rFonts w:ascii="Calibri" w:hAnsi="Calibri"/>
                <w:b w:val="0"/>
                <w:sz w:val="16"/>
              </w:rPr>
              <w:t>0.9858</w:t>
            </w:r>
          </w:p>
        </w:tc>
        <w:tc>
          <w:tcPr>
            <w:tcW w:type="dxa" w:w="1411"/>
            <w:vAlign w:val="center"/>
          </w:tcPr>
          <w:p>
            <w:pPr>
              <w:spacing w:after="0"/>
            </w:pPr>
            <w:r/>
            <w:r>
              <w:rPr>
                <w:rFonts w:ascii="Calibri" w:hAnsi="Calibri"/>
                <w:b w:val="0"/>
                <w:sz w:val="16"/>
              </w:rPr>
              <w:t>(0.9540-1.0000)</w:t>
            </w:r>
          </w:p>
        </w:tc>
        <w:tc>
          <w:tcPr>
            <w:tcW w:type="dxa" w:w="1411"/>
            <w:vAlign w:val="center"/>
          </w:tcPr>
          <w:p>
            <w:pPr>
              <w:spacing w:after="0"/>
            </w:pPr>
            <w:r/>
            <w:r>
              <w:rPr>
                <w:rFonts w:ascii="Calibri" w:hAnsi="Calibri"/>
                <w:b w:val="0"/>
                <w:sz w:val="16"/>
              </w:rPr>
              <w:t>0.2690</w:t>
            </w:r>
          </w:p>
        </w:tc>
        <w:tc>
          <w:tcPr>
            <w:tcW w:type="dxa" w:w="1411"/>
            <w:vAlign w:val="center"/>
          </w:tcPr>
          <w:p>
            <w:pPr>
              <w:spacing w:after="0"/>
            </w:pPr>
            <w:r/>
            <w:r>
              <w:rPr>
                <w:rFonts w:ascii="Calibri" w:hAnsi="Calibri"/>
                <w:b w:val="0"/>
                <w:sz w:val="16"/>
              </w:rPr>
              <w:t>(-0.0203 to 0.0798)</w:t>
            </w:r>
          </w:p>
        </w:tc>
      </w:tr>
      <w:tr>
        <w:tc>
          <w:tcPr>
            <w:tcW w:type="dxa" w:w="1411"/>
            <w:vAlign w:val="center"/>
          </w:tcPr>
          <w:p>
            <w:pPr>
              <w:spacing w:after="0"/>
            </w:pPr>
            <w:r/>
            <w:r>
              <w:rPr>
                <w:rFonts w:ascii="Calibri" w:hAnsi="Calibri"/>
                <w:b w:val="0"/>
                <w:sz w:val="16"/>
              </w:rPr>
              <w:t>Stage III/IV</w:t>
            </w:r>
          </w:p>
        </w:tc>
        <w:tc>
          <w:tcPr>
            <w:tcW w:type="dxa" w:w="1411"/>
            <w:vAlign w:val="center"/>
          </w:tcPr>
          <w:p>
            <w:pPr>
              <w:spacing w:after="0"/>
            </w:pPr>
            <w:r/>
            <w:r>
              <w:rPr>
                <w:rFonts w:ascii="Calibri" w:hAnsi="Calibri"/>
                <w:b w:val="0"/>
                <w:sz w:val="16"/>
              </w:rPr>
              <w:t>57</w:t>
            </w:r>
          </w:p>
        </w:tc>
        <w:tc>
          <w:tcPr>
            <w:tcW w:type="dxa" w:w="1411"/>
            <w:vAlign w:val="center"/>
          </w:tcPr>
          <w:p>
            <w:pPr>
              <w:spacing w:after="0"/>
            </w:pPr>
            <w:r/>
            <w:r>
              <w:rPr>
                <w:rFonts w:ascii="Calibri" w:hAnsi="Calibri"/>
                <w:b w:val="0"/>
                <w:sz w:val="16"/>
              </w:rPr>
              <w:t>0.8596</w:t>
            </w:r>
          </w:p>
        </w:tc>
        <w:tc>
          <w:tcPr>
            <w:tcW w:type="dxa" w:w="1411"/>
            <w:vAlign w:val="center"/>
          </w:tcPr>
          <w:p>
            <w:pPr>
              <w:spacing w:after="0"/>
            </w:pPr>
            <w:r/>
            <w:r>
              <w:rPr>
                <w:rFonts w:ascii="Calibri" w:hAnsi="Calibri"/>
                <w:b w:val="0"/>
                <w:sz w:val="16"/>
              </w:rPr>
              <w:t>0.9603</w:t>
            </w:r>
          </w:p>
        </w:tc>
        <w:tc>
          <w:tcPr>
            <w:tcW w:type="dxa" w:w="1411"/>
            <w:vAlign w:val="center"/>
          </w:tcPr>
          <w:p>
            <w:pPr>
              <w:spacing w:after="0"/>
            </w:pPr>
            <w:r/>
            <w:r>
              <w:rPr>
                <w:rFonts w:ascii="Calibri" w:hAnsi="Calibri"/>
                <w:b w:val="0"/>
                <w:sz w:val="16"/>
              </w:rPr>
              <w:t>(0.8888-0.9917)</w:t>
            </w:r>
          </w:p>
        </w:tc>
        <w:tc>
          <w:tcPr>
            <w:tcW w:type="dxa" w:w="1411"/>
            <w:vAlign w:val="center"/>
          </w:tcPr>
          <w:p>
            <w:pPr>
              <w:spacing w:after="0"/>
            </w:pPr>
            <w:r/>
            <w:r>
              <w:rPr>
                <w:rFonts w:ascii="Calibri" w:hAnsi="Calibri"/>
                <w:b w:val="0"/>
                <w:sz w:val="16"/>
              </w:rPr>
              <w:t>0.2690</w:t>
            </w:r>
          </w:p>
        </w:tc>
        <w:tc>
          <w:tcPr>
            <w:tcW w:type="dxa" w:w="1411"/>
            <w:vAlign w:val="center"/>
          </w:tcPr>
          <w:p>
            <w:pPr>
              <w:spacing w:after="0"/>
            </w:pPr>
            <w:r/>
            <w:r>
              <w:rPr>
                <w:rFonts w:ascii="Calibri" w:hAnsi="Calibri"/>
                <w:b w:val="0"/>
                <w:sz w:val="16"/>
              </w:rPr>
              <w:t>(-0.0203 to 0.0798)</w:t>
            </w:r>
          </w:p>
        </w:tc>
      </w:tr>
    </w:tbl>
    <w:p>
      <w:pPr>
        <w:spacing w:before="60" w:after="160"/>
        <w:jc w:val="center"/>
      </w:pPr>
      <w:r>
        <w:rPr>
          <w:rFonts w:ascii="Calibri" w:hAnsi="Calibri"/>
          <w:i/>
          <w:color w:val="5A5A5A"/>
          <w:sz w:val="17"/>
        </w:rPr>
        <w:t>Table 6. Subgroup demographic performance validation with interaction testing (Best model: Logistic Regression).</w:t>
      </w:r>
    </w:p>
    <w:p>
      <w:pPr>
        <w:spacing w:before="0" w:after="140" w:line="283" w:lineRule="auto"/>
      </w:pPr>
      <w:r>
        <w:rPr>
          <w:rFonts w:ascii="Calibri" w:hAnsi="Calibri"/>
          <w:color w:val="141F2B"/>
          <w:sz w:val="20"/>
        </w:rPr>
        <w:t>Kaplan-Meier curves (Figures 5 and 6) compared survival between predicted proliferation classes. Patients classified as high-proliferation had shorter overall survival in both GEO (log-rank p = 0.037) and TCGA (log-rank p = 0.034).</w:t>
      </w:r>
    </w:p>
    <w:p>
      <w:pPr>
        <w:spacing w:before="40" w:after="40"/>
        <w:jc w:val="center"/>
      </w:pPr>
      <w:r>
        <w:drawing>
          <wp:inline xmlns:a="http://schemas.openxmlformats.org/drawingml/2006/main" xmlns:pic="http://schemas.openxmlformats.org/drawingml/2006/picture">
            <wp:extent cx="4663440" cy="3497580"/>
            <wp:docPr id="5" name="Picture 5"/>
            <wp:cNvGraphicFramePr>
              <a:graphicFrameLocks noChangeAspect="1"/>
            </wp:cNvGraphicFramePr>
            <a:graphic>
              <a:graphicData uri="http://schemas.openxmlformats.org/drawingml/2006/picture">
                <pic:pic>
                  <pic:nvPicPr>
                    <pic:cNvPr id="0" name="kaplan_meier_geo.png"/>
                    <pic:cNvPicPr/>
                  </pic:nvPicPr>
                  <pic:blipFill>
                    <a:blip r:embed="rId14"/>
                    <a:stretch>
                      <a:fillRect/>
                    </a:stretch>
                  </pic:blipFill>
                  <pic:spPr>
                    <a:xfrm>
                      <a:off x="0" y="0"/>
                      <a:ext cx="4663440" cy="3497580"/>
                    </a:xfrm>
                    <a:prstGeom prst="rect"/>
                  </pic:spPr>
                </pic:pic>
              </a:graphicData>
            </a:graphic>
          </wp:inline>
        </w:drawing>
      </w:r>
    </w:p>
    <w:p>
      <w:pPr>
        <w:spacing w:before="60" w:after="160"/>
        <w:jc w:val="center"/>
      </w:pPr>
      <w:r>
        <w:rPr>
          <w:rFonts w:ascii="Calibri" w:hAnsi="Calibri"/>
          <w:i/>
          <w:color w:val="5A5A5A"/>
          <w:sz w:val="17"/>
        </w:rPr>
        <w:t>Figure 5. Kaplan-Meier overall survival curves comparing predicted high vs. low proliferation cohorts in GEO.</w:t>
      </w:r>
    </w:p>
    <w:p>
      <w:pPr>
        <w:spacing w:before="40" w:after="40"/>
        <w:jc w:val="center"/>
      </w:pPr>
      <w:r>
        <w:drawing>
          <wp:inline xmlns:a="http://schemas.openxmlformats.org/drawingml/2006/main" xmlns:pic="http://schemas.openxmlformats.org/drawingml/2006/picture">
            <wp:extent cx="4937760" cy="1763486"/>
            <wp:docPr id="6" name="Picture 6"/>
            <wp:cNvGraphicFramePr>
              <a:graphicFrameLocks noChangeAspect="1"/>
            </wp:cNvGraphicFramePr>
            <a:graphic>
              <a:graphicData uri="http://schemas.openxmlformats.org/drawingml/2006/picture">
                <pic:pic>
                  <pic:nvPicPr>
                    <pic:cNvPr id="0" name="kaplan_meier_stage_stratified.png"/>
                    <pic:cNvPicPr/>
                  </pic:nvPicPr>
                  <pic:blipFill>
                    <a:blip r:embed="rId15"/>
                    <a:stretch>
                      <a:fillRect/>
                    </a:stretch>
                  </pic:blipFill>
                  <pic:spPr>
                    <a:xfrm>
                      <a:off x="0" y="0"/>
                      <a:ext cx="4937760" cy="1763486"/>
                    </a:xfrm>
                    <a:prstGeom prst="rect"/>
                  </pic:spPr>
                </pic:pic>
              </a:graphicData>
            </a:graphic>
          </wp:inline>
        </w:drawing>
      </w:r>
    </w:p>
    <w:p>
      <w:pPr>
        <w:spacing w:before="60" w:after="160"/>
        <w:jc w:val="center"/>
      </w:pPr>
      <w:r>
        <w:rPr>
          <w:rFonts w:ascii="Calibri" w:hAnsi="Calibri"/>
          <w:i/>
          <w:color w:val="5A5A5A"/>
          <w:sz w:val="17"/>
        </w:rPr>
        <w:t>Figure 6. Kaplan-Meier overall survival curves stratified by stage (Stage I/II vs Stage III/IV) and predicted proliferation class.</w:t>
      </w:r>
    </w:p>
    <w:p>
      <w:pPr>
        <w:spacing w:before="0" w:after="140" w:line="283" w:lineRule="auto"/>
      </w:pPr>
      <w:r>
        <w:rPr>
          <w:rFonts w:ascii="Calibri" w:hAnsi="Calibri"/>
          <w:color w:val="141F2B"/>
          <w:sz w:val="20"/>
        </w:rPr>
        <w:t>Cox regression did not find a significant independent effect of proliferation class after adjusting for age, sex, and stage (Table 7).</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7"/>
              </w:rPr>
              <w:t>Predictor / Covariate</w:t>
            </w:r>
          </w:p>
        </w:tc>
        <w:tc>
          <w:tcPr>
            <w:tcW w:type="dxa" w:w="1976"/>
            <w:shd w:fill="F4F6F9"/>
            <w:vAlign w:val="center"/>
          </w:tcPr>
          <w:p>
            <w:pPr>
              <w:spacing w:after="0"/>
            </w:pPr>
            <w:r/>
            <w:r>
              <w:rPr>
                <w:rFonts w:ascii="Calibri" w:hAnsi="Calibri"/>
                <w:b/>
                <w:color w:val="141F2B"/>
                <w:sz w:val="17"/>
              </w:rPr>
              <w:t>Coefficient</w:t>
            </w:r>
          </w:p>
        </w:tc>
        <w:tc>
          <w:tcPr>
            <w:tcW w:type="dxa" w:w="1976"/>
            <w:shd w:fill="F4F6F9"/>
            <w:vAlign w:val="center"/>
          </w:tcPr>
          <w:p>
            <w:pPr>
              <w:spacing w:after="0"/>
            </w:pPr>
            <w:r/>
            <w:r>
              <w:rPr>
                <w:rFonts w:ascii="Calibri" w:hAnsi="Calibri"/>
                <w:b/>
                <w:color w:val="141F2B"/>
                <w:sz w:val="17"/>
              </w:rPr>
              <w:t>Hazard Ratio (HR)</w:t>
            </w:r>
          </w:p>
        </w:tc>
        <w:tc>
          <w:tcPr>
            <w:tcW w:type="dxa" w:w="1976"/>
            <w:shd w:fill="F4F6F9"/>
            <w:vAlign w:val="center"/>
          </w:tcPr>
          <w:p>
            <w:pPr>
              <w:spacing w:after="0"/>
            </w:pPr>
            <w:r/>
            <w:r>
              <w:rPr>
                <w:rFonts w:ascii="Calibri" w:hAnsi="Calibri"/>
                <w:b/>
                <w:color w:val="141F2B"/>
                <w:sz w:val="17"/>
              </w:rPr>
              <w:t>95% CI</w:t>
            </w:r>
          </w:p>
        </w:tc>
        <w:tc>
          <w:tcPr>
            <w:tcW w:type="dxa" w:w="1976"/>
            <w:shd w:fill="F4F6F9"/>
            <w:vAlign w:val="center"/>
          </w:tcPr>
          <w:p>
            <w:pPr>
              <w:spacing w:after="0"/>
            </w:pPr>
            <w:r/>
            <w:r>
              <w:rPr>
                <w:rFonts w:ascii="Calibri" w:hAnsi="Calibri"/>
                <w:b/>
                <w:color w:val="141F2B"/>
                <w:sz w:val="17"/>
              </w:rPr>
              <w:t>p-value</w:t>
            </w:r>
          </w:p>
        </w:tc>
      </w:tr>
      <w:tr>
        <w:tc>
          <w:tcPr>
            <w:tcW w:type="dxa" w:w="1976"/>
            <w:vAlign w:val="center"/>
          </w:tcPr>
          <w:p>
            <w:pPr>
              <w:spacing w:after="0"/>
            </w:pPr>
            <w:r/>
            <w:r>
              <w:rPr>
                <w:rFonts w:ascii="Calibri" w:hAnsi="Calibri"/>
                <w:b w:val="0"/>
                <w:sz w:val="16"/>
              </w:rPr>
              <w:t>High_Proliferation</w:t>
            </w:r>
          </w:p>
        </w:tc>
        <w:tc>
          <w:tcPr>
            <w:tcW w:type="dxa" w:w="1976"/>
            <w:vAlign w:val="center"/>
          </w:tcPr>
          <w:p>
            <w:pPr>
              <w:spacing w:after="0"/>
            </w:pPr>
            <w:r/>
            <w:r>
              <w:rPr>
                <w:rFonts w:ascii="Calibri" w:hAnsi="Calibri"/>
                <w:b w:val="0"/>
                <w:sz w:val="16"/>
              </w:rPr>
              <w:t>-0.1702</w:t>
            </w:r>
          </w:p>
        </w:tc>
        <w:tc>
          <w:tcPr>
            <w:tcW w:type="dxa" w:w="1976"/>
            <w:vAlign w:val="center"/>
          </w:tcPr>
          <w:p>
            <w:pPr>
              <w:spacing w:after="0"/>
            </w:pPr>
            <w:r/>
            <w:r>
              <w:rPr>
                <w:rFonts w:ascii="Calibri" w:hAnsi="Calibri"/>
                <w:b w:val="0"/>
                <w:sz w:val="16"/>
              </w:rPr>
              <w:t>0.8435</w:t>
            </w:r>
          </w:p>
        </w:tc>
        <w:tc>
          <w:tcPr>
            <w:tcW w:type="dxa" w:w="1976"/>
            <w:vAlign w:val="center"/>
          </w:tcPr>
          <w:p>
            <w:pPr>
              <w:spacing w:after="0"/>
            </w:pPr>
            <w:r/>
            <w:r>
              <w:rPr>
                <w:rFonts w:ascii="Calibri" w:hAnsi="Calibri"/>
                <w:b w:val="0"/>
                <w:sz w:val="16"/>
              </w:rPr>
              <w:t>(0.61 - 1.17)</w:t>
            </w:r>
          </w:p>
        </w:tc>
        <w:tc>
          <w:tcPr>
            <w:tcW w:type="dxa" w:w="1976"/>
            <w:vAlign w:val="center"/>
          </w:tcPr>
          <w:p>
            <w:pPr>
              <w:spacing w:after="0"/>
            </w:pPr>
            <w:r/>
            <w:r>
              <w:rPr>
                <w:rFonts w:ascii="Calibri" w:hAnsi="Calibri"/>
                <w:b w:val="0"/>
                <w:sz w:val="16"/>
              </w:rPr>
              <w:t>3.0875e-01</w:t>
            </w:r>
          </w:p>
        </w:tc>
      </w:tr>
      <w:tr>
        <w:tc>
          <w:tcPr>
            <w:tcW w:type="dxa" w:w="1976"/>
            <w:vAlign w:val="center"/>
          </w:tcPr>
          <w:p>
            <w:pPr>
              <w:spacing w:after="0"/>
            </w:pPr>
            <w:r/>
            <w:r>
              <w:rPr>
                <w:rFonts w:ascii="Calibri" w:hAnsi="Calibri"/>
                <w:b w:val="0"/>
                <w:sz w:val="16"/>
              </w:rPr>
              <w:t>Age</w:t>
            </w:r>
          </w:p>
        </w:tc>
        <w:tc>
          <w:tcPr>
            <w:tcW w:type="dxa" w:w="1976"/>
            <w:vAlign w:val="center"/>
          </w:tcPr>
          <w:p>
            <w:pPr>
              <w:spacing w:after="0"/>
            </w:pPr>
            <w:r/>
            <w:r>
              <w:rPr>
                <w:rFonts w:ascii="Calibri" w:hAnsi="Calibri"/>
                <w:b w:val="0"/>
                <w:sz w:val="16"/>
              </w:rPr>
              <w:t>0.0300</w:t>
            </w:r>
          </w:p>
        </w:tc>
        <w:tc>
          <w:tcPr>
            <w:tcW w:type="dxa" w:w="1976"/>
            <w:vAlign w:val="center"/>
          </w:tcPr>
          <w:p>
            <w:pPr>
              <w:spacing w:after="0"/>
            </w:pPr>
            <w:r/>
            <w:r>
              <w:rPr>
                <w:rFonts w:ascii="Calibri" w:hAnsi="Calibri"/>
                <w:b w:val="0"/>
                <w:sz w:val="16"/>
              </w:rPr>
              <w:t>1.0305</w:t>
            </w:r>
          </w:p>
        </w:tc>
        <w:tc>
          <w:tcPr>
            <w:tcW w:type="dxa" w:w="1976"/>
            <w:vAlign w:val="center"/>
          </w:tcPr>
          <w:p>
            <w:pPr>
              <w:spacing w:after="0"/>
            </w:pPr>
            <w:r/>
            <w:r>
              <w:rPr>
                <w:rFonts w:ascii="Calibri" w:hAnsi="Calibri"/>
                <w:b w:val="0"/>
                <w:sz w:val="16"/>
              </w:rPr>
              <w:t>(1.02 - 1.04)</w:t>
            </w:r>
          </w:p>
        </w:tc>
        <w:tc>
          <w:tcPr>
            <w:tcW w:type="dxa" w:w="1976"/>
            <w:vAlign w:val="center"/>
          </w:tcPr>
          <w:p>
            <w:pPr>
              <w:spacing w:after="0"/>
            </w:pPr>
            <w:r/>
            <w:r>
              <w:rPr>
                <w:rFonts w:ascii="Calibri" w:hAnsi="Calibri"/>
                <w:b w:val="0"/>
                <w:sz w:val="16"/>
              </w:rPr>
              <w:t>1.2432e-06</w:t>
            </w:r>
          </w:p>
        </w:tc>
      </w:tr>
      <w:tr>
        <w:tc>
          <w:tcPr>
            <w:tcW w:type="dxa" w:w="1976"/>
            <w:vAlign w:val="center"/>
          </w:tcPr>
          <w:p>
            <w:pPr>
              <w:spacing w:after="0"/>
            </w:pPr>
            <w:r/>
            <w:r>
              <w:rPr>
                <w:rFonts w:ascii="Calibri" w:hAnsi="Calibri"/>
                <w:b w:val="0"/>
                <w:sz w:val="16"/>
              </w:rPr>
              <w:t>Is_Male</w:t>
            </w:r>
          </w:p>
        </w:tc>
        <w:tc>
          <w:tcPr>
            <w:tcW w:type="dxa" w:w="1976"/>
            <w:vAlign w:val="center"/>
          </w:tcPr>
          <w:p>
            <w:pPr>
              <w:spacing w:after="0"/>
            </w:pPr>
            <w:r/>
            <w:r>
              <w:rPr>
                <w:rFonts w:ascii="Calibri" w:hAnsi="Calibri"/>
                <w:b w:val="0"/>
                <w:sz w:val="16"/>
              </w:rPr>
              <w:t>0.3540</w:t>
            </w:r>
          </w:p>
        </w:tc>
        <w:tc>
          <w:tcPr>
            <w:tcW w:type="dxa" w:w="1976"/>
            <w:vAlign w:val="center"/>
          </w:tcPr>
          <w:p>
            <w:pPr>
              <w:spacing w:after="0"/>
            </w:pPr>
            <w:r/>
            <w:r>
              <w:rPr>
                <w:rFonts w:ascii="Calibri" w:hAnsi="Calibri"/>
                <w:b w:val="0"/>
                <w:sz w:val="16"/>
              </w:rPr>
              <w:t>1.4248</w:t>
            </w:r>
          </w:p>
        </w:tc>
        <w:tc>
          <w:tcPr>
            <w:tcW w:type="dxa" w:w="1976"/>
            <w:vAlign w:val="center"/>
          </w:tcPr>
          <w:p>
            <w:pPr>
              <w:spacing w:after="0"/>
            </w:pPr>
            <w:r/>
            <w:r>
              <w:rPr>
                <w:rFonts w:ascii="Calibri" w:hAnsi="Calibri"/>
                <w:b w:val="0"/>
                <w:sz w:val="16"/>
              </w:rPr>
              <w:t>(1.06 - 1.91)</w:t>
            </w:r>
          </w:p>
        </w:tc>
        <w:tc>
          <w:tcPr>
            <w:tcW w:type="dxa" w:w="1976"/>
            <w:vAlign w:val="center"/>
          </w:tcPr>
          <w:p>
            <w:pPr>
              <w:spacing w:after="0"/>
            </w:pPr>
            <w:r/>
            <w:r>
              <w:rPr>
                <w:rFonts w:ascii="Calibri" w:hAnsi="Calibri"/>
                <w:b w:val="0"/>
                <w:sz w:val="16"/>
              </w:rPr>
              <w:t>1.7165e-02</w:t>
            </w:r>
          </w:p>
        </w:tc>
      </w:tr>
      <w:tr>
        <w:tc>
          <w:tcPr>
            <w:tcW w:type="dxa" w:w="1976"/>
            <w:vAlign w:val="center"/>
          </w:tcPr>
          <w:p>
            <w:pPr>
              <w:spacing w:after="0"/>
            </w:pPr>
            <w:r/>
            <w:r>
              <w:rPr>
                <w:rFonts w:ascii="Calibri" w:hAnsi="Calibri"/>
                <w:b w:val="0"/>
                <w:sz w:val="16"/>
              </w:rPr>
              <w:t>Stage</w:t>
            </w:r>
          </w:p>
        </w:tc>
        <w:tc>
          <w:tcPr>
            <w:tcW w:type="dxa" w:w="1976"/>
            <w:vAlign w:val="center"/>
          </w:tcPr>
          <w:p>
            <w:pPr>
              <w:spacing w:after="0"/>
            </w:pPr>
            <w:r/>
            <w:r>
              <w:rPr>
                <w:rFonts w:ascii="Calibri" w:hAnsi="Calibri"/>
                <w:b w:val="0"/>
                <w:sz w:val="16"/>
              </w:rPr>
              <w:t>0.7247</w:t>
            </w:r>
          </w:p>
        </w:tc>
        <w:tc>
          <w:tcPr>
            <w:tcW w:type="dxa" w:w="1976"/>
            <w:vAlign w:val="center"/>
          </w:tcPr>
          <w:p>
            <w:pPr>
              <w:spacing w:after="0"/>
            </w:pPr>
            <w:r/>
            <w:r>
              <w:rPr>
                <w:rFonts w:ascii="Calibri" w:hAnsi="Calibri"/>
                <w:b w:val="0"/>
                <w:sz w:val="16"/>
              </w:rPr>
              <w:t>2.0641</w:t>
            </w:r>
          </w:p>
        </w:tc>
        <w:tc>
          <w:tcPr>
            <w:tcW w:type="dxa" w:w="1976"/>
            <w:vAlign w:val="center"/>
          </w:tcPr>
          <w:p>
            <w:pPr>
              <w:spacing w:after="0"/>
            </w:pPr>
            <w:r/>
            <w:r>
              <w:rPr>
                <w:rFonts w:ascii="Calibri" w:hAnsi="Calibri"/>
                <w:b w:val="0"/>
                <w:sz w:val="16"/>
              </w:rPr>
              <w:t>(1.68 - 2.53)</w:t>
            </w:r>
          </w:p>
        </w:tc>
        <w:tc>
          <w:tcPr>
            <w:tcW w:type="dxa" w:w="1976"/>
            <w:vAlign w:val="center"/>
          </w:tcPr>
          <w:p>
            <w:pPr>
              <w:spacing w:after="0"/>
            </w:pPr>
            <w:r/>
            <w:r>
              <w:rPr>
                <w:rFonts w:ascii="Calibri" w:hAnsi="Calibri"/>
                <w:b w:val="0"/>
                <w:sz w:val="16"/>
              </w:rPr>
              <w:t>3.3683e-12</w:t>
            </w:r>
          </w:p>
        </w:tc>
      </w:tr>
    </w:tbl>
    <w:p>
      <w:pPr>
        <w:spacing w:before="60" w:after="160"/>
        <w:jc w:val="center"/>
      </w:pPr>
      <w:r>
        <w:rPr>
          <w:rFonts w:ascii="Calibri" w:hAnsi="Calibri"/>
          <w:i/>
          <w:color w:val="5A5A5A"/>
          <w:sz w:val="17"/>
        </w:rPr>
        <w:t>Table 7. Multivariate Cox Proportional Hazards survival analysis summary.</w:t>
      </w:r>
    </w:p>
    <w:p>
      <w:r>
        <w:br w:type="page"/>
      </w:r>
    </w:p>
    <w:p>
      <w:pPr>
        <w:pStyle w:val="Heading1"/>
        <w:keepNext/>
        <w:spacing w:before="240" w:after="100"/>
      </w:pPr>
    </w:p>
    <w:p>
      <w:pPr>
        <w:spacing w:before="0" w:after="140" w:line="283" w:lineRule="auto"/>
      </w:pPr>
      <w:r>
        <w:rPr>
          <w:rFonts w:ascii="Calibri" w:hAnsi="Calibri"/>
          <w:color w:val="141F2B"/>
          <w:sz w:val="20"/>
        </w:rPr>
        <w:t>Sensitivity analyses varied the number of selected features (k) and the variance threshold (VT). ROC-AUC stayed stable across the tested ranges (Table 8).</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976"/>
        <w:gridCol w:w="1976"/>
        <w:gridCol w:w="1976"/>
        <w:gridCol w:w="1976"/>
        <w:gridCol w:w="1976"/>
      </w:tblGrid>
      <w:tr>
        <w:trPr>
          <w:tblHeader w:val="true"/>
        </w:trPr>
        <w:tc>
          <w:tcPr>
            <w:tcW w:type="dxa" w:w="1976"/>
            <w:shd w:fill="F4F6F9"/>
            <w:vAlign w:val="center"/>
          </w:tcPr>
          <w:p>
            <w:pPr>
              <w:spacing w:after="0"/>
            </w:pPr>
            <w:r/>
            <w:r>
              <w:rPr>
                <w:rFonts w:ascii="Calibri" w:hAnsi="Calibri"/>
                <w:b/>
                <w:color w:val="141F2B"/>
                <w:sz w:val="16"/>
              </w:rPr>
              <w:t>SelectKBest k</w:t>
            </w:r>
          </w:p>
        </w:tc>
        <w:tc>
          <w:tcPr>
            <w:tcW w:type="dxa" w:w="1976"/>
            <w:shd w:fill="F4F6F9"/>
            <w:vAlign w:val="center"/>
          </w:tcPr>
          <w:p>
            <w:pPr>
              <w:spacing w:after="0"/>
            </w:pPr>
            <w:r/>
            <w:r>
              <w:rPr>
                <w:rFonts w:ascii="Calibri" w:hAnsi="Calibri"/>
                <w:b/>
                <w:color w:val="141F2B"/>
                <w:sz w:val="16"/>
              </w:rPr>
              <w:t>Holdout ROC-AUC (k)</w:t>
            </w:r>
          </w:p>
        </w:tc>
        <w:tc>
          <w:tcPr>
            <w:tcW w:type="dxa" w:w="1976"/>
            <w:shd w:fill="F4F6F9"/>
            <w:vAlign w:val="center"/>
          </w:tcPr>
          <w:p>
            <w:pPr>
              <w:spacing w:after="0"/>
            </w:pPr>
            <w:r/>
            <w:r>
              <w:rPr>
                <w:rFonts w:ascii="Calibri" w:hAnsi="Calibri"/>
                <w:b/>
                <w:color w:val="141F2B"/>
                <w:sz w:val="16"/>
              </w:rPr>
              <w:t>Variance Threshold (VT)</w:t>
            </w:r>
          </w:p>
        </w:tc>
        <w:tc>
          <w:tcPr>
            <w:tcW w:type="dxa" w:w="1976"/>
            <w:shd w:fill="F4F6F9"/>
            <w:vAlign w:val="center"/>
          </w:tcPr>
          <w:p>
            <w:pPr>
              <w:spacing w:after="0"/>
            </w:pPr>
            <w:r/>
            <w:r>
              <w:rPr>
                <w:rFonts w:ascii="Calibri" w:hAnsi="Calibri"/>
                <w:b/>
                <w:color w:val="141F2B"/>
                <w:sz w:val="16"/>
              </w:rPr>
              <w:t>Features Passed VT</w:t>
            </w:r>
          </w:p>
        </w:tc>
        <w:tc>
          <w:tcPr>
            <w:tcW w:type="dxa" w:w="1976"/>
            <w:shd w:fill="F4F6F9"/>
            <w:vAlign w:val="center"/>
          </w:tcPr>
          <w:p>
            <w:pPr>
              <w:spacing w:after="0"/>
            </w:pPr>
            <w:r/>
            <w:r>
              <w:rPr>
                <w:rFonts w:ascii="Calibri" w:hAnsi="Calibri"/>
                <w:b/>
                <w:color w:val="141F2B"/>
                <w:sz w:val="16"/>
              </w:rPr>
              <w:t>Holdout ROC-AUC (VT)</w:t>
            </w:r>
          </w:p>
        </w:tc>
      </w:tr>
      <w:tr>
        <w:tc>
          <w:tcPr>
            <w:tcW w:type="dxa" w:w="1976"/>
            <w:vAlign w:val="center"/>
          </w:tcPr>
          <w:p>
            <w:pPr>
              <w:spacing w:after="0"/>
            </w:pPr>
            <w:r/>
            <w:r>
              <w:rPr>
                <w:rFonts w:ascii="Calibri" w:hAnsi="Calibri"/>
                <w:b w:val="0"/>
                <w:sz w:val="16"/>
              </w:rPr>
              <w:t>100</w:t>
            </w:r>
          </w:p>
        </w:tc>
        <w:tc>
          <w:tcPr>
            <w:tcW w:type="dxa" w:w="1976"/>
            <w:vAlign w:val="center"/>
          </w:tcPr>
          <w:p>
            <w:pPr>
              <w:spacing w:after="0"/>
            </w:pPr>
            <w:r/>
            <w:r>
              <w:rPr>
                <w:rFonts w:ascii="Calibri" w:hAnsi="Calibri"/>
                <w:b w:val="0"/>
                <w:sz w:val="16"/>
              </w:rPr>
              <w:t>0.9828</w:t>
            </w:r>
          </w:p>
        </w:tc>
        <w:tc>
          <w:tcPr>
            <w:tcW w:type="dxa" w:w="1976"/>
            <w:vAlign w:val="center"/>
          </w:tcPr>
          <w:p>
            <w:pPr>
              <w:spacing w:after="0"/>
            </w:pPr>
            <w:r/>
            <w:r>
              <w:rPr>
                <w:rFonts w:ascii="Calibri" w:hAnsi="Calibri"/>
                <w:b w:val="0"/>
                <w:sz w:val="16"/>
              </w:rPr>
              <w:t>0.001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200</w:t>
            </w:r>
          </w:p>
        </w:tc>
        <w:tc>
          <w:tcPr>
            <w:tcW w:type="dxa" w:w="1976"/>
            <w:vAlign w:val="center"/>
          </w:tcPr>
          <w:p>
            <w:pPr>
              <w:spacing w:after="0"/>
            </w:pPr>
            <w:r/>
            <w:r>
              <w:rPr>
                <w:rFonts w:ascii="Calibri" w:hAnsi="Calibri"/>
                <w:b w:val="0"/>
                <w:sz w:val="16"/>
              </w:rPr>
              <w:t>0.9838</w:t>
            </w:r>
          </w:p>
        </w:tc>
        <w:tc>
          <w:tcPr>
            <w:tcW w:type="dxa" w:w="1976"/>
            <w:vAlign w:val="center"/>
          </w:tcPr>
          <w:p>
            <w:pPr>
              <w:spacing w:after="0"/>
            </w:pPr>
            <w:r/>
            <w:r>
              <w:rPr>
                <w:rFonts w:ascii="Calibri" w:hAnsi="Calibri"/>
                <w:b w:val="0"/>
                <w:sz w:val="16"/>
              </w:rPr>
              <w:t>0.005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300</w:t>
            </w:r>
          </w:p>
        </w:tc>
        <w:tc>
          <w:tcPr>
            <w:tcW w:type="dxa" w:w="1976"/>
            <w:vAlign w:val="center"/>
          </w:tcPr>
          <w:p>
            <w:pPr>
              <w:spacing w:after="0"/>
            </w:pPr>
            <w:r/>
            <w:r>
              <w:rPr>
                <w:rFonts w:ascii="Calibri" w:hAnsi="Calibri"/>
                <w:b w:val="0"/>
                <w:sz w:val="16"/>
              </w:rPr>
              <w:t>0.9835</w:t>
            </w:r>
          </w:p>
        </w:tc>
        <w:tc>
          <w:tcPr>
            <w:tcW w:type="dxa" w:w="1976"/>
            <w:vAlign w:val="center"/>
          </w:tcPr>
          <w:p>
            <w:pPr>
              <w:spacing w:after="0"/>
            </w:pPr>
            <w:r/>
            <w:r>
              <w:rPr>
                <w:rFonts w:ascii="Calibri" w:hAnsi="Calibri"/>
                <w:b w:val="0"/>
                <w:sz w:val="16"/>
              </w:rPr>
              <w:t>0.01</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500</w:t>
            </w:r>
          </w:p>
        </w:tc>
        <w:tc>
          <w:tcPr>
            <w:tcW w:type="dxa" w:w="1976"/>
            <w:vAlign w:val="center"/>
          </w:tcPr>
          <w:p>
            <w:pPr>
              <w:spacing w:after="0"/>
            </w:pPr>
            <w:r/>
            <w:r>
              <w:rPr>
                <w:rFonts w:ascii="Calibri" w:hAnsi="Calibri"/>
                <w:b w:val="0"/>
                <w:sz w:val="16"/>
              </w:rPr>
              <w:t>0.9825</w:t>
            </w:r>
          </w:p>
        </w:tc>
        <w:tc>
          <w:tcPr>
            <w:tcW w:type="dxa" w:w="1976"/>
            <w:vAlign w:val="center"/>
          </w:tcPr>
          <w:p>
            <w:pPr>
              <w:spacing w:after="0"/>
            </w:pPr>
            <w:r/>
            <w:r>
              <w:rPr>
                <w:rFonts w:ascii="Calibri" w:hAnsi="Calibri"/>
                <w:b w:val="0"/>
                <w:sz w:val="16"/>
              </w:rPr>
              <w:t>0.05</w:t>
            </w:r>
          </w:p>
        </w:tc>
        <w:tc>
          <w:tcPr>
            <w:tcW w:type="dxa" w:w="1976"/>
            <w:vAlign w:val="center"/>
          </w:tcPr>
          <w:p>
            <w:pPr>
              <w:spacing w:after="0"/>
            </w:pPr>
            <w:r/>
            <w:r>
              <w:rPr>
                <w:rFonts w:ascii="Calibri" w:hAnsi="Calibri"/>
                <w:b w:val="0"/>
                <w:sz w:val="16"/>
              </w:rPr>
              <w:t>22182</w:t>
            </w:r>
          </w:p>
        </w:tc>
        <w:tc>
          <w:tcPr>
            <w:tcW w:type="dxa" w:w="1976"/>
            <w:vAlign w:val="center"/>
          </w:tcPr>
          <w:p>
            <w:pPr>
              <w:spacing w:after="0"/>
            </w:pPr>
            <w:r/>
            <w:r>
              <w:rPr>
                <w:rFonts w:ascii="Calibri" w:hAnsi="Calibri"/>
                <w:b w:val="0"/>
                <w:sz w:val="16"/>
              </w:rPr>
              <w:t>0.9825</w:t>
            </w:r>
          </w:p>
        </w:tc>
      </w:tr>
      <w:tr>
        <w:tc>
          <w:tcPr>
            <w:tcW w:type="dxa" w:w="1976"/>
            <w:vAlign w:val="center"/>
          </w:tcPr>
          <w:p>
            <w:pPr>
              <w:spacing w:after="0"/>
            </w:pPr>
            <w:r/>
            <w:r>
              <w:rPr>
                <w:rFonts w:ascii="Calibri" w:hAnsi="Calibri"/>
                <w:b w:val="0"/>
                <w:sz w:val="16"/>
              </w:rPr>
              <w:t>1000</w:t>
            </w:r>
          </w:p>
        </w:tc>
        <w:tc>
          <w:tcPr>
            <w:tcW w:type="dxa" w:w="1976"/>
            <w:vAlign w:val="center"/>
          </w:tcPr>
          <w:p>
            <w:pPr>
              <w:spacing w:after="0"/>
            </w:pPr>
            <w:r/>
            <w:r>
              <w:rPr>
                <w:rFonts w:ascii="Calibri" w:hAnsi="Calibri"/>
                <w:b w:val="0"/>
                <w:sz w:val="16"/>
              </w:rPr>
              <w:t>0.9863</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c>
          <w:tcPr>
            <w:tcW w:type="dxa" w:w="1976"/>
            <w:vAlign w:val="center"/>
          </w:tcPr>
          <w:p>
            <w:pPr>
              <w:spacing w:after="0"/>
            </w:pPr>
            <w:r/>
            <w:r>
              <w:rPr>
                <w:rFonts w:ascii="Calibri" w:hAnsi="Calibri"/>
                <w:b w:val="0"/>
                <w:sz w:val="16"/>
              </w:rPr>
              <w:t>-</w:t>
            </w:r>
          </w:p>
        </w:tc>
      </w:tr>
    </w:tbl>
    <w:p>
      <w:pPr>
        <w:spacing w:before="60" w:after="160"/>
        <w:jc w:val="center"/>
      </w:pPr>
      <w:r>
        <w:rPr>
          <w:rFonts w:ascii="Calibri" w:hAnsi="Calibri"/>
          <w:i/>
          <w:color w:val="5A5A5A"/>
          <w:sz w:val="17"/>
        </w:rPr>
        <w:t>Table 8. Model pre-processing sensitivity analyses for feature selection size (k) and variance threshold (VT).</w:t>
      </w:r>
    </w:p>
    <w:p>
      <w:r>
        <w:br w:type="page"/>
      </w:r>
    </w:p>
    <w:p>
      <w:pPr>
        <w:pStyle w:val="Heading1"/>
        <w:keepNext/>
        <w:spacing w:before="240" w:after="100"/>
      </w:pPr>
    </w:p>
    <w:p>
      <w:pPr>
        <w:spacing w:before="0" w:after="140" w:line="283" w:lineRule="auto"/>
      </w:pPr>
      <w:r>
        <w:rPr>
          <w:rFonts w:ascii="Calibri" w:hAnsi="Calibri"/>
          <w:color w:val="141F2B"/>
          <w:sz w:val="20"/>
        </w:rPr>
        <w:t>The classifiers predicted proliferation status from transcriptomic features even after removing the ten cell-cycle genes that define the target. Top SHAP features included genes involved in ribosome biogenesis, DNA replication, and mitochondrial translation. High-proliferation patients had shorter survival in GEO (log-rank p = 0.037) and TCGA (log-rank p = 0.034). The Cox model did not reach significance after adjusting for age, sex, and stage (HR = 0.84, p = 0.3088). External validation on TCGA and CPTAC gave ROC-AUCs up to 0.973 and 0.949. Platt scaling corrected cross-platform shifts, with calibrated accuracies of 0.921 (TCGA) and 0.868 (CPTAC). On CPTAC (n = 105), Random Forest had a calibrated AUC of 0.9487 and accuracy of 0.8679.</w:t>
        <w:br/>
        <w:br/>
        <w:t>I want to be upfront about the AUC numbers. The proliferation scores have a Cohen's d of 2.3 between the two classes at the median split. They barely overlap. This is not because my models are special. Proliferation drives such broad transcriptional changes that thousands of genes beyond the 10 I removed correlate with the target. The models are picking up on co-expression patterns. That is biologically interesting, but it also means the classification task itself is easier than a typical clinical ML problem.</w:t>
        <w:br/>
        <w:br/>
        <w:t>The TCGA validation AUC of 0.97 also came with help from quantile normalization. QN maps TCGA's expression distributions to match GEO's for each gene. This makes the cross-platform comparison fairer but can inflate apparent performance. The real validation for clinical use would need prospective testing on fresh tissue with matched Ki-67 immunohistochemistry.</w:t>
      </w:r>
    </w:p>
    <w:p>
      <w:pPr>
        <w:spacing w:before="0" w:after="140" w:line="283" w:lineRule="auto"/>
      </w:pPr>
      <w:r>
        <w:rPr>
          <w:rFonts w:ascii="Calibri" w:hAnsi="Calibri"/>
          <w:color w:val="141F2B"/>
          <w:sz w:val="20"/>
        </w:rPr>
        <w:t>I compared ColoGrowth-ML against published prognostic classifiers for colorectal cancer (Table 9).</w:t>
      </w:r>
    </w:p>
    <w:tbl>
      <w:tblPr>
        <w:tblW w:type="auto" w:w="0"/>
        <w:jc w:val="center"/>
        <w:tblLook w:firstColumn="1" w:firstRow="1" w:lastColumn="0" w:lastRow="0" w:noHBand="0" w:noVBand="1" w:val="04A0"/>
        <w:tblBorders>
          <w:top w:val="single" w:sz="4" w:space="0" w:color="D9DEE8"/>
          <w:left w:val="single" w:sz="4" w:space="0" w:color="D9DEE8"/>
          <w:bottom w:val="single" w:sz="4" w:space="0" w:color="D9DEE8"/>
          <w:right w:val="single" w:sz="4" w:space="0" w:color="D9DEE8"/>
          <w:insideH w:val="single" w:sz="4" w:space="0" w:color="D9DEE8"/>
          <w:insideV w:val="single" w:sz="4" w:space="0" w:color="D9DEE8"/>
        </w:tblBorders>
      </w:tblPr>
      <w:tblGrid>
        <w:gridCol w:w="1411"/>
        <w:gridCol w:w="1411"/>
        <w:gridCol w:w="1411"/>
        <w:gridCol w:w="1411"/>
        <w:gridCol w:w="1411"/>
        <w:gridCol w:w="1411"/>
        <w:gridCol w:w="1411"/>
      </w:tblGrid>
      <w:tr>
        <w:trPr>
          <w:tblHeader w:val="true"/>
        </w:trPr>
        <w:tc>
          <w:tcPr>
            <w:tcW w:type="dxa" w:w="1411"/>
            <w:shd w:fill="F4F6F9"/>
            <w:vAlign w:val="center"/>
          </w:tcPr>
          <w:p>
            <w:pPr>
              <w:spacing w:after="0"/>
            </w:pPr>
            <w:r/>
            <w:r>
              <w:rPr>
                <w:rFonts w:ascii="Calibri" w:hAnsi="Calibri"/>
                <w:b/>
                <w:color w:val="141F2B"/>
                <w:sz w:val="16"/>
              </w:rPr>
              <w:t>Study</w:t>
            </w:r>
          </w:p>
        </w:tc>
        <w:tc>
          <w:tcPr>
            <w:tcW w:type="dxa" w:w="1411"/>
            <w:shd w:fill="F4F6F9"/>
            <w:vAlign w:val="center"/>
          </w:tcPr>
          <w:p>
            <w:pPr>
              <w:spacing w:after="0"/>
            </w:pPr>
            <w:r/>
            <w:r>
              <w:rPr>
                <w:rFonts w:ascii="Calibri" w:hAnsi="Calibri"/>
                <w:b/>
                <w:color w:val="141F2B"/>
                <w:sz w:val="16"/>
              </w:rPr>
              <w:t>Year</w:t>
            </w:r>
          </w:p>
        </w:tc>
        <w:tc>
          <w:tcPr>
            <w:tcW w:type="dxa" w:w="1411"/>
            <w:shd w:fill="F4F6F9"/>
            <w:vAlign w:val="center"/>
          </w:tcPr>
          <w:p>
            <w:pPr>
              <w:spacing w:after="0"/>
            </w:pPr>
            <w:r/>
            <w:r>
              <w:rPr>
                <w:rFonts w:ascii="Calibri" w:hAnsi="Calibri"/>
                <w:b/>
                <w:color w:val="141F2B"/>
                <w:sz w:val="16"/>
              </w:rPr>
              <w:t>Cohort/Platform</w:t>
            </w:r>
          </w:p>
        </w:tc>
        <w:tc>
          <w:tcPr>
            <w:tcW w:type="dxa" w:w="1411"/>
            <w:shd w:fill="F4F6F9"/>
            <w:vAlign w:val="center"/>
          </w:tcPr>
          <w:p>
            <w:pPr>
              <w:spacing w:after="0"/>
            </w:pPr>
            <w:r/>
            <w:r>
              <w:rPr>
                <w:rFonts w:ascii="Calibri" w:hAnsi="Calibri"/>
                <w:b/>
                <w:color w:val="141F2B"/>
                <w:sz w:val="16"/>
              </w:rPr>
              <w:t>N</w:t>
            </w:r>
          </w:p>
        </w:tc>
        <w:tc>
          <w:tcPr>
            <w:tcW w:type="dxa" w:w="1411"/>
            <w:shd w:fill="F4F6F9"/>
            <w:vAlign w:val="center"/>
          </w:tcPr>
          <w:p>
            <w:pPr>
              <w:spacing w:after="0"/>
            </w:pPr>
            <w:r/>
            <w:r>
              <w:rPr>
                <w:rFonts w:ascii="Calibri" w:hAnsi="Calibri"/>
                <w:b/>
                <w:color w:val="141F2B"/>
                <w:sz w:val="16"/>
              </w:rPr>
              <w:t>AUC/Accuracy</w:t>
            </w:r>
          </w:p>
        </w:tc>
        <w:tc>
          <w:tcPr>
            <w:tcW w:type="dxa" w:w="1411"/>
            <w:shd w:fill="F4F6F9"/>
            <w:vAlign w:val="center"/>
          </w:tcPr>
          <w:p>
            <w:pPr>
              <w:spacing w:after="0"/>
            </w:pPr>
            <w:r/>
            <w:r>
              <w:rPr>
                <w:rFonts w:ascii="Calibri" w:hAnsi="Calibri"/>
                <w:b/>
                <w:color w:val="141F2B"/>
                <w:sz w:val="16"/>
              </w:rPr>
              <w:t>Leakage-controlled?</w:t>
            </w:r>
          </w:p>
        </w:tc>
        <w:tc>
          <w:tcPr>
            <w:tcW w:type="dxa" w:w="1411"/>
            <w:shd w:fill="F4F6F9"/>
            <w:vAlign w:val="center"/>
          </w:tcPr>
          <w:p>
            <w:pPr>
              <w:spacing w:after="0"/>
            </w:pPr>
            <w:r/>
            <w:r>
              <w:rPr>
                <w:rFonts w:ascii="Calibri" w:hAnsi="Calibri"/>
                <w:b/>
                <w:color w:val="141F2B"/>
                <w:sz w:val="16"/>
              </w:rPr>
              <w:t>Cross-platform validated?</w:t>
            </w:r>
          </w:p>
        </w:tc>
      </w:tr>
      <w:tr>
        <w:tc>
          <w:tcPr>
            <w:tcW w:type="dxa" w:w="1411"/>
            <w:vAlign w:val="center"/>
          </w:tcPr>
          <w:p>
            <w:pPr>
              <w:spacing w:after="0"/>
            </w:pPr>
            <w:r/>
            <w:r>
              <w:rPr>
                <w:rFonts w:ascii="Calibri" w:hAnsi="Calibri"/>
                <w:b w:val="0"/>
                <w:sz w:val="16"/>
              </w:rPr>
              <w:t>Zeng et al.</w:t>
            </w:r>
          </w:p>
        </w:tc>
        <w:tc>
          <w:tcPr>
            <w:tcW w:type="dxa" w:w="1411"/>
            <w:vAlign w:val="center"/>
          </w:tcPr>
          <w:p>
            <w:pPr>
              <w:spacing w:after="0"/>
            </w:pPr>
            <w:r/>
            <w:r>
              <w:rPr>
                <w:rFonts w:ascii="Calibri" w:hAnsi="Calibri"/>
                <w:b w:val="0"/>
                <w:sz w:val="16"/>
              </w:rPr>
              <w:t>2025</w:t>
            </w:r>
          </w:p>
        </w:tc>
        <w:tc>
          <w:tcPr>
            <w:tcW w:type="dxa" w:w="1411"/>
            <w:vAlign w:val="center"/>
          </w:tcPr>
          <w:p>
            <w:pPr>
              <w:spacing w:after="0"/>
            </w:pPr>
            <w:r/>
            <w:r>
              <w:rPr>
                <w:rFonts w:ascii="Calibri" w:hAnsi="Calibri"/>
                <w:b w:val="0"/>
                <w:sz w:val="16"/>
              </w:rPr>
              <w:t>Histology (SVM/XGB)</w:t>
            </w:r>
          </w:p>
        </w:tc>
        <w:tc>
          <w:tcPr>
            <w:tcW w:type="dxa" w:w="1411"/>
            <w:vAlign w:val="center"/>
          </w:tcPr>
          <w:p>
            <w:pPr>
              <w:spacing w:after="0"/>
            </w:pPr>
            <w:r/>
            <w:r>
              <w:rPr>
                <w:rFonts w:ascii="Calibri" w:hAnsi="Calibri"/>
                <w:b w:val="0"/>
                <w:sz w:val="16"/>
              </w:rPr>
              <w:t>312</w:t>
            </w:r>
          </w:p>
        </w:tc>
        <w:tc>
          <w:tcPr>
            <w:tcW w:type="dxa" w:w="1411"/>
            <w:vAlign w:val="center"/>
          </w:tcPr>
          <w:p>
            <w:pPr>
              <w:spacing w:after="0"/>
            </w:pPr>
            <w:r/>
            <w:r>
              <w:rPr>
                <w:rFonts w:ascii="Calibri" w:hAnsi="Calibri"/>
                <w:b w:val="0"/>
                <w:sz w:val="16"/>
              </w:rPr>
              <w:t>0.750 - 0.795 (AUC)</w:t>
            </w:r>
          </w:p>
        </w:tc>
        <w:tc>
          <w:tcPr>
            <w:tcW w:type="dxa" w:w="1411"/>
            <w:vAlign w:val="center"/>
          </w:tcPr>
          <w:p>
            <w:pPr>
              <w:spacing w:after="0"/>
            </w:pPr>
            <w:r/>
            <w:r>
              <w:rPr>
                <w:rFonts w:ascii="Calibri" w:hAnsi="Calibri"/>
                <w:b w:val="0"/>
                <w:sz w:val="16"/>
              </w:rPr>
              <w:t>No (Morphology-based)</w:t>
            </w:r>
          </w:p>
        </w:tc>
        <w:tc>
          <w:tcPr>
            <w:tcW w:type="dxa" w:w="1411"/>
            <w:vAlign w:val="center"/>
          </w:tcPr>
          <w:p>
            <w:pPr>
              <w:spacing w:after="0"/>
            </w:pPr>
            <w:r/>
            <w:r>
              <w:rPr>
                <w:rFonts w:ascii="Calibri" w:hAnsi="Calibri"/>
                <w:b w:val="0"/>
                <w:sz w:val="16"/>
              </w:rPr>
              <w:t>Yes (External center)</w:t>
            </w:r>
          </w:p>
        </w:tc>
      </w:tr>
      <w:tr>
        <w:tc>
          <w:tcPr>
            <w:tcW w:type="dxa" w:w="1411"/>
            <w:vAlign w:val="center"/>
          </w:tcPr>
          <w:p>
            <w:pPr>
              <w:spacing w:after="0"/>
            </w:pPr>
            <w:r/>
            <w:r>
              <w:rPr>
                <w:rFonts w:ascii="Calibri" w:hAnsi="Calibri"/>
                <w:b w:val="0"/>
                <w:sz w:val="16"/>
              </w:rPr>
              <w:t>Agesen et al. (ColoGuideEx)</w:t>
            </w:r>
          </w:p>
        </w:tc>
        <w:tc>
          <w:tcPr>
            <w:tcW w:type="dxa" w:w="1411"/>
            <w:vAlign w:val="center"/>
          </w:tcPr>
          <w:p>
            <w:pPr>
              <w:spacing w:after="0"/>
            </w:pPr>
            <w:r/>
            <w:r>
              <w:rPr>
                <w:rFonts w:ascii="Calibri" w:hAnsi="Calibri"/>
                <w:b w:val="0"/>
                <w:sz w:val="16"/>
              </w:rPr>
              <w:t>2012</w:t>
            </w:r>
          </w:p>
        </w:tc>
        <w:tc>
          <w:tcPr>
            <w:tcW w:type="dxa" w:w="1411"/>
            <w:vAlign w:val="center"/>
          </w:tcPr>
          <w:p>
            <w:pPr>
              <w:spacing w:after="0"/>
            </w:pPr>
            <w:r/>
            <w:r>
              <w:rPr>
                <w:rFonts w:ascii="Calibri" w:hAnsi="Calibri"/>
                <w:b w:val="0"/>
                <w:sz w:val="16"/>
              </w:rPr>
              <w:t>Microarray (13-gene)</w:t>
            </w:r>
          </w:p>
        </w:tc>
        <w:tc>
          <w:tcPr>
            <w:tcW w:type="dxa" w:w="1411"/>
            <w:vAlign w:val="center"/>
          </w:tcPr>
          <w:p>
            <w:pPr>
              <w:spacing w:after="0"/>
            </w:pPr>
            <w:r/>
            <w:r>
              <w:rPr>
                <w:rFonts w:ascii="Calibri" w:hAnsi="Calibri"/>
                <w:b w:val="0"/>
                <w:sz w:val="16"/>
              </w:rPr>
              <w:t>153</w:t>
            </w:r>
          </w:p>
        </w:tc>
        <w:tc>
          <w:tcPr>
            <w:tcW w:type="dxa" w:w="1411"/>
            <w:vAlign w:val="center"/>
          </w:tcPr>
          <w:p>
            <w:pPr>
              <w:spacing w:after="0"/>
            </w:pPr>
            <w:r/>
            <w:r>
              <w:rPr>
                <w:rFonts w:ascii="Calibri" w:hAnsi="Calibri"/>
                <w:b w:val="0"/>
                <w:sz w:val="16"/>
              </w:rPr>
              <w:t>~0.710 (AUC)</w:t>
            </w:r>
          </w:p>
        </w:tc>
        <w:tc>
          <w:tcPr>
            <w:tcW w:type="dxa" w:w="1411"/>
            <w:vAlign w:val="center"/>
          </w:tcPr>
          <w:p>
            <w:pPr>
              <w:spacing w:after="0"/>
            </w:pPr>
            <w:r/>
            <w:r>
              <w:rPr>
                <w:rFonts w:ascii="Calibri" w:hAnsi="Calibri"/>
                <w:b w:val="0"/>
                <w:sz w:val="16"/>
              </w:rPr>
              <w:t>No (Uncontrolled signatures)</w:t>
            </w:r>
          </w:p>
        </w:tc>
        <w:tc>
          <w:tcPr>
            <w:tcW w:type="dxa" w:w="1411"/>
            <w:vAlign w:val="center"/>
          </w:tcPr>
          <w:p>
            <w:pPr>
              <w:spacing w:after="0"/>
            </w:pPr>
            <w:r/>
            <w:r>
              <w:rPr>
                <w:rFonts w:ascii="Calibri" w:hAnsi="Calibri"/>
                <w:b w:val="0"/>
                <w:sz w:val="16"/>
              </w:rPr>
              <w:t>No</w:t>
            </w:r>
          </w:p>
        </w:tc>
      </w:tr>
      <w:tr>
        <w:tc>
          <w:tcPr>
            <w:tcW w:type="dxa" w:w="1411"/>
            <w:vAlign w:val="center"/>
          </w:tcPr>
          <w:p>
            <w:pPr>
              <w:spacing w:after="0"/>
            </w:pPr>
            <w:r/>
            <w:r>
              <w:rPr>
                <w:rFonts w:ascii="Calibri" w:hAnsi="Calibri"/>
                <w:b w:val="0"/>
                <w:sz w:val="16"/>
              </w:rPr>
              <w:t>O'Connell et al. (OncoType DX)</w:t>
            </w:r>
          </w:p>
        </w:tc>
        <w:tc>
          <w:tcPr>
            <w:tcW w:type="dxa" w:w="1411"/>
            <w:vAlign w:val="center"/>
          </w:tcPr>
          <w:p>
            <w:pPr>
              <w:spacing w:after="0"/>
            </w:pPr>
            <w:r/>
            <w:r>
              <w:rPr>
                <w:rFonts w:ascii="Calibri" w:hAnsi="Calibri"/>
                <w:b w:val="0"/>
                <w:sz w:val="16"/>
              </w:rPr>
              <w:t>2010</w:t>
            </w:r>
          </w:p>
        </w:tc>
        <w:tc>
          <w:tcPr>
            <w:tcW w:type="dxa" w:w="1411"/>
            <w:vAlign w:val="center"/>
          </w:tcPr>
          <w:p>
            <w:pPr>
              <w:spacing w:after="0"/>
            </w:pPr>
            <w:r/>
            <w:r>
              <w:rPr>
                <w:rFonts w:ascii="Calibri" w:hAnsi="Calibri"/>
                <w:b w:val="0"/>
                <w:sz w:val="16"/>
              </w:rPr>
              <w:t>RT-qPCR (12-gene)</w:t>
            </w:r>
          </w:p>
        </w:tc>
        <w:tc>
          <w:tcPr>
            <w:tcW w:type="dxa" w:w="1411"/>
            <w:vAlign w:val="center"/>
          </w:tcPr>
          <w:p>
            <w:pPr>
              <w:spacing w:after="0"/>
            </w:pPr>
            <w:r/>
            <w:r>
              <w:rPr>
                <w:rFonts w:ascii="Calibri" w:hAnsi="Calibri"/>
                <w:b w:val="0"/>
                <w:sz w:val="16"/>
              </w:rPr>
              <w:t>1436</w:t>
            </w:r>
          </w:p>
        </w:tc>
        <w:tc>
          <w:tcPr>
            <w:tcW w:type="dxa" w:w="1411"/>
            <w:vAlign w:val="center"/>
          </w:tcPr>
          <w:p>
            <w:pPr>
              <w:spacing w:after="0"/>
            </w:pPr>
            <w:r/>
            <w:r>
              <w:rPr>
                <w:rFonts w:ascii="Calibri" w:hAnsi="Calibri"/>
                <w:b w:val="0"/>
                <w:sz w:val="16"/>
              </w:rPr>
              <w:t>~0.680 (AUC)</w:t>
            </w:r>
          </w:p>
        </w:tc>
        <w:tc>
          <w:tcPr>
            <w:tcW w:type="dxa" w:w="1411"/>
            <w:vAlign w:val="center"/>
          </w:tcPr>
          <w:p>
            <w:pPr>
              <w:spacing w:after="0"/>
            </w:pPr>
            <w:r/>
            <w:r>
              <w:rPr>
                <w:rFonts w:ascii="Calibri" w:hAnsi="Calibri"/>
                <w:b w:val="0"/>
                <w:sz w:val="16"/>
              </w:rPr>
              <w:t>No (Clinical recurrence)</w:t>
            </w:r>
          </w:p>
        </w:tc>
        <w:tc>
          <w:tcPr>
            <w:tcW w:type="dxa" w:w="1411"/>
            <w:vAlign w:val="center"/>
          </w:tcPr>
          <w:p>
            <w:pPr>
              <w:spacing w:after="0"/>
            </w:pPr>
            <w:r/>
            <w:r>
              <w:rPr>
                <w:rFonts w:ascii="Calibri" w:hAnsi="Calibri"/>
                <w:b w:val="0"/>
                <w:sz w:val="16"/>
              </w:rPr>
              <w:t>Yes (RT-qPCR alignment)</w:t>
            </w:r>
          </w:p>
        </w:tc>
      </w:tr>
      <w:tr>
        <w:tc>
          <w:tcPr>
            <w:tcW w:type="dxa" w:w="1411"/>
            <w:vAlign w:val="center"/>
          </w:tcPr>
          <w:p>
            <w:pPr>
              <w:spacing w:after="0"/>
            </w:pPr>
            <w:r/>
            <w:r>
              <w:rPr>
                <w:rFonts w:ascii="Calibri" w:hAnsi="Calibri"/>
                <w:b w:val="0"/>
                <w:sz w:val="16"/>
              </w:rPr>
              <w:t>ColoGrowth-ML (Ours)</w:t>
            </w:r>
          </w:p>
        </w:tc>
        <w:tc>
          <w:tcPr>
            <w:tcW w:type="dxa" w:w="1411"/>
            <w:vAlign w:val="center"/>
          </w:tcPr>
          <w:p>
            <w:pPr>
              <w:spacing w:after="0"/>
            </w:pPr>
            <w:r/>
            <w:r>
              <w:rPr>
                <w:rFonts w:ascii="Calibri" w:hAnsi="Calibri"/>
                <w:b w:val="0"/>
                <w:sz w:val="16"/>
              </w:rPr>
              <w:t>2026</w:t>
            </w:r>
          </w:p>
        </w:tc>
        <w:tc>
          <w:tcPr>
            <w:tcW w:type="dxa" w:w="1411"/>
            <w:vAlign w:val="center"/>
          </w:tcPr>
          <w:p>
            <w:pPr>
              <w:spacing w:after="0"/>
            </w:pPr>
            <w:r/>
            <w:r>
              <w:rPr>
                <w:rFonts w:ascii="Calibri" w:hAnsi="Calibri"/>
                <w:b w:val="0"/>
                <w:sz w:val="16"/>
              </w:rPr>
              <w:t>Microarray / RNA-seq</w:t>
            </w:r>
          </w:p>
        </w:tc>
        <w:tc>
          <w:tcPr>
            <w:tcW w:type="dxa" w:w="1411"/>
            <w:vAlign w:val="center"/>
          </w:tcPr>
          <w:p>
            <w:pPr>
              <w:spacing w:after="0"/>
            </w:pPr>
            <w:r/>
            <w:r>
              <w:rPr>
                <w:rFonts w:ascii="Calibri" w:hAnsi="Calibri"/>
                <w:b w:val="0"/>
                <w:sz w:val="16"/>
              </w:rPr>
              <w:t>585 / 322 / 105</w:t>
            </w:r>
          </w:p>
        </w:tc>
        <w:tc>
          <w:tcPr>
            <w:tcW w:type="dxa" w:w="1411"/>
            <w:vAlign w:val="center"/>
          </w:tcPr>
          <w:p>
            <w:pPr>
              <w:spacing w:after="0"/>
            </w:pPr>
            <w:r/>
            <w:r>
              <w:rPr>
                <w:rFonts w:ascii="Calibri" w:hAnsi="Calibri"/>
                <w:b w:val="0"/>
                <w:sz w:val="16"/>
              </w:rPr>
              <w:t>0.994 / 0.973 / 0.949 (AUC)</w:t>
            </w:r>
          </w:p>
        </w:tc>
        <w:tc>
          <w:tcPr>
            <w:tcW w:type="dxa" w:w="1411"/>
            <w:vAlign w:val="center"/>
          </w:tcPr>
          <w:p>
            <w:pPr>
              <w:spacing w:after="0"/>
            </w:pPr>
            <w:r/>
            <w:r>
              <w:rPr>
                <w:rFonts w:ascii="Calibri" w:hAnsi="Calibri"/>
                <w:b w:val="0"/>
                <w:sz w:val="16"/>
              </w:rPr>
              <w:t>Yes (Removed 10 core genes)</w:t>
            </w:r>
          </w:p>
        </w:tc>
        <w:tc>
          <w:tcPr>
            <w:tcW w:type="dxa" w:w="1411"/>
            <w:vAlign w:val="center"/>
          </w:tcPr>
          <w:p>
            <w:pPr>
              <w:spacing w:after="0"/>
            </w:pPr>
            <w:r/>
            <w:r>
              <w:rPr>
                <w:rFonts w:ascii="Calibri" w:hAnsi="Calibri"/>
                <w:b w:val="0"/>
                <w:sz w:val="16"/>
              </w:rPr>
              <w:t>Yes (Microarray to RNA-seq ×2)</w:t>
            </w:r>
          </w:p>
        </w:tc>
      </w:tr>
    </w:tbl>
    <w:p>
      <w:pPr>
        <w:spacing w:before="60" w:after="160"/>
        <w:jc w:val="center"/>
      </w:pPr>
      <w:r>
        <w:rPr>
          <w:rFonts w:ascii="Calibri" w:hAnsi="Calibri"/>
          <w:i/>
          <w:color w:val="5A5A5A"/>
          <w:sz w:val="17"/>
        </w:rPr>
        <w:t>Table 9. Performance and methodological comparisons with published signatures.</w:t>
      </w:r>
    </w:p>
    <w:p>
      <w:pPr>
        <w:spacing w:before="0" w:after="140" w:line="283" w:lineRule="auto"/>
      </w:pPr>
      <w:r>
        <w:rPr>
          <w:rFonts w:ascii="Calibri" w:hAnsi="Calibri"/>
          <w:color w:val="141F2B"/>
          <w:sz w:val="20"/>
        </w:rPr>
        <w:t>Top features MCM10, SPC25, NCAPH, and RFC4 are downstream of cell-cycle entry. MCM10 supports DNA replication via CMG helicase complex isomerization (Langston et al., 2017). RFC4 recruits DNA polymerase delta to repair sites (Overmeer et al., 2010). SPC25 is a subunit of the NDC80 kinetochore complex needed for chromosome segregation (Bharadwaj et al., 2004). NCAPH is involved in condensin I assembly for chromosome condensation in proliferating cells (Seipold et al., 2009). Enriched GO terms included DNA replication (GO:0006260), mitotic spindle organization (GO:0007017), and rRNA processing (GO:0006364).</w:t>
      </w:r>
    </w:p>
    <w:p>
      <w:pPr>
        <w:pStyle w:val="Heading1"/>
        <w:keepNext/>
        <w:spacing w:before="240" w:after="100"/>
      </w:pPr>
    </w:p>
    <w:p>
      <w:pPr>
        <w:spacing w:before="0" w:after="140" w:line="283" w:lineRule="auto"/>
      </w:pPr>
      <w:r>
        <w:rPr>
          <w:rFonts w:ascii="Calibri" w:hAnsi="Calibri"/>
          <w:b/>
          <w:color w:val="141F2B"/>
          <w:sz w:val="20"/>
        </w:rPr>
        <w:t>LIMITATIONS:</w:t>
      </w:r>
    </w:p>
    <w:p>
      <w:pPr>
        <w:pStyle w:val="ListBullet"/>
        <w:spacing w:after="60"/>
      </w:pPr>
      <w:r>
        <w:rPr>
          <w:rFonts w:ascii="Calibri" w:hAnsi="Calibri"/>
          <w:color w:val="141F2B"/>
          <w:sz w:val="20"/>
        </w:rPr>
        <w:t>Sample size: GEO GSE39582 (n=585) is moderate. CPTAC-COAD (n=105) has only 7 survival events, limiting power.</w:t>
      </w:r>
    </w:p>
    <w:p>
      <w:pPr>
        <w:pStyle w:val="ListBullet"/>
        <w:spacing w:after="60"/>
      </w:pPr>
      <w:r>
        <w:rPr>
          <w:rFonts w:ascii="Calibri" w:hAnsi="Calibri"/>
          <w:color w:val="141F2B"/>
          <w:sz w:val="20"/>
        </w:rPr>
        <w:t>Target binarization at the median is standard but arbitrary. Continuous risk scores might work better.</w:t>
      </w:r>
    </w:p>
    <w:p>
      <w:pPr>
        <w:pStyle w:val="ListBullet"/>
        <w:spacing w:after="60"/>
      </w:pPr>
      <w:r>
        <w:rPr>
          <w:rFonts w:ascii="Calibri" w:hAnsi="Calibri"/>
          <w:color w:val="141F2B"/>
          <w:sz w:val="20"/>
        </w:rPr>
        <w:t>Microarray and RNA-seq have different dynamic ranges, requiring post-hoc calibration to restore accuracy.</w:t>
      </w:r>
    </w:p>
    <w:p>
      <w:pPr>
        <w:pStyle w:val="ListBullet"/>
        <w:spacing w:after="60"/>
      </w:pPr>
      <w:r>
        <w:rPr>
          <w:rFonts w:ascii="Calibri" w:hAnsi="Calibri"/>
          <w:color w:val="141F2B"/>
          <w:sz w:val="20"/>
        </w:rPr>
        <w:t>SHAP scores reflect correlation, not causation.</w:t>
      </w:r>
    </w:p>
    <w:p>
      <w:pPr>
        <w:spacing w:before="0" w:after="140" w:line="283" w:lineRule="auto"/>
      </w:pPr>
      <w:r>
        <w:rPr>
          <w:rFonts w:ascii="Calibri" w:hAnsi="Calibri"/>
          <w:b/>
          <w:color w:val="141F2B"/>
          <w:sz w:val="20"/>
        </w:rPr>
        <w:t>FUTURE WORK:</w:t>
      </w:r>
    </w:p>
    <w:p>
      <w:pPr>
        <w:pStyle w:val="ListBullet"/>
        <w:spacing w:after="60"/>
      </w:pPr>
      <w:r>
        <w:rPr>
          <w:rFonts w:ascii="Calibri" w:hAnsi="Calibri"/>
          <w:color w:val="141F2B"/>
          <w:sz w:val="20"/>
        </w:rPr>
        <w:t>Prospective validation of the Top-3 Ensemble on new COAD biopsy cohorts.</w:t>
      </w:r>
    </w:p>
    <w:p>
      <w:pPr>
        <w:pStyle w:val="ListBullet"/>
        <w:spacing w:after="60"/>
      </w:pPr>
      <w:r>
        <w:rPr>
          <w:rFonts w:ascii="Calibri" w:hAnsi="Calibri"/>
          <w:color w:val="141F2B"/>
          <w:sz w:val="20"/>
        </w:rPr>
        <w:t>qPCR knockdown of top SHAP genes (RPS3, RPS11) to confirm their role in growth regulation.</w:t>
      </w:r>
    </w:p>
    <w:p>
      <w:pPr>
        <w:pStyle w:val="ListBullet"/>
        <w:spacing w:after="60"/>
      </w:pPr>
      <w:r>
        <w:rPr>
          <w:rFonts w:ascii="Calibri" w:hAnsi="Calibri"/>
          <w:color w:val="141F2B"/>
          <w:sz w:val="20"/>
        </w:rPr>
        <w:t>Integration of CNVs and somatic mutation data into the feature space.</w:t>
      </w:r>
    </w:p>
    <w:p>
      <w:r>
        <w:br w:type="page"/>
      </w:r>
    </w:p>
    <w:p>
      <w:pPr>
        <w:pStyle w:val="Heading1"/>
        <w:keepNext/>
        <w:spacing w:before="240" w:after="100"/>
      </w:pPr>
    </w:p>
    <w:p>
      <w:pPr>
        <w:pStyle w:val="ListNumber"/>
        <w:spacing w:after="60"/>
      </w:pPr>
      <w:r>
        <w:rPr>
          <w:rFonts w:ascii="Calibri" w:hAnsi="Calibri"/>
          <w:color w:val="141F2B"/>
          <w:sz w:val="19"/>
        </w:rPr>
        <w:t>Marisa, L. et al. Gene expression classification of colon cancer into molecular subtypes: characterization, validation, and prognostic value. PLoS Medicine, 2013. DOI: 10.1371/journal.pmed.1001453</w:t>
      </w:r>
    </w:p>
    <w:p>
      <w:pPr>
        <w:pStyle w:val="ListNumber"/>
        <w:spacing w:after="60"/>
      </w:pPr>
      <w:r>
        <w:rPr>
          <w:rFonts w:ascii="Calibri" w:hAnsi="Calibri"/>
          <w:color w:val="141F2B"/>
          <w:sz w:val="19"/>
        </w:rPr>
        <w:t>Whitfield, M. L. et al. Identification of genes periodically expressed in the human cell cycle and their expression in tumors. Molecular Biology of the Cell, 2002. DOI: 10.1091/mbc.02-02-0030</w:t>
      </w:r>
    </w:p>
    <w:p>
      <w:pPr>
        <w:pStyle w:val="ListNumber"/>
        <w:spacing w:after="60"/>
      </w:pPr>
      <w:r>
        <w:rPr>
          <w:rFonts w:ascii="Calibri" w:hAnsi="Calibri"/>
          <w:color w:val="141F2B"/>
          <w:sz w:val="19"/>
        </w:rPr>
        <w:t>Lundberg, S. M. and Lee, S.-I. A unified approach to interpreting model predictions. Advances in Neural Information Processing Systems, 2017.</w:t>
      </w:r>
    </w:p>
    <w:p>
      <w:pPr>
        <w:pStyle w:val="ListNumber"/>
        <w:spacing w:after="60"/>
      </w:pPr>
      <w:r>
        <w:rPr>
          <w:rFonts w:ascii="Calibri" w:hAnsi="Calibri"/>
          <w:color w:val="141F2B"/>
          <w:sz w:val="19"/>
        </w:rPr>
        <w:t>The Cancer Genome Atlas Research Network. TCGA Colon Adenocarcinoma data resource, accessed through the NCI Genomic Data Commons.</w:t>
      </w:r>
    </w:p>
    <w:p>
      <w:pPr>
        <w:pStyle w:val="ListNumber"/>
        <w:spacing w:after="60"/>
      </w:pPr>
      <w:r>
        <w:rPr>
          <w:rFonts w:ascii="Calibri" w:hAnsi="Calibri"/>
          <w:color w:val="141F2B"/>
          <w:sz w:val="19"/>
        </w:rPr>
        <w:t>National Center for Biotechnology Information Gene Expression Omnibus. GSE39582 dataset record.</w:t>
      </w:r>
    </w:p>
    <w:p>
      <w:pPr>
        <w:pStyle w:val="ListNumber"/>
        <w:spacing w:after="60"/>
      </w:pPr>
      <w:r>
        <w:rPr>
          <w:rFonts w:ascii="Calibri" w:hAnsi="Calibri"/>
          <w:color w:val="141F2B"/>
          <w:sz w:val="19"/>
        </w:rPr>
        <w:t>Zeng, D.-T. et al. Prognostic role of Ki-67 in colorectal carcinoma: Development and evaluation of machine learning prediction models. World Journal of Clinical Oncology, 2025. DOI: 10.5306/wjco.v16.i8.107306</w:t>
      </w:r>
    </w:p>
    <w:p>
      <w:pPr>
        <w:pStyle w:val="ListNumber"/>
        <w:spacing w:after="60"/>
      </w:pPr>
      <w:r>
        <w:rPr>
          <w:rFonts w:ascii="Calibri" w:hAnsi="Calibri"/>
          <w:color w:val="141F2B"/>
          <w:sz w:val="19"/>
        </w:rPr>
        <w:t>Agesen, T. H. et al. ColoGuideEx: a robust gene classifier specific for stage II colorectal cancer prognosis. Gut, 2012. DOI: 10.1136/gutjnl-2011-301179</w:t>
      </w:r>
    </w:p>
    <w:p>
      <w:pPr>
        <w:pStyle w:val="ListNumber"/>
        <w:spacing w:after="60"/>
      </w:pPr>
      <w:r>
        <w:rPr>
          <w:rFonts w:ascii="Calibri" w:hAnsi="Calibri"/>
          <w:color w:val="141F2B"/>
          <w:sz w:val="19"/>
        </w:rPr>
        <w:t>O'Connell, M. J. et al. Relationship between tumor gene expression and recurrence in four independent studies of patients with stage II/III colon cancer treated with surgery alone or surgery plus adjuvant fluorouracil plus leucovorin. Journal of Clinical Oncology, 2010. DOI: 10.1200/JCO.2010.28.9538</w:t>
      </w:r>
    </w:p>
    <w:p>
      <w:pPr>
        <w:pStyle w:val="ListNumber"/>
        <w:spacing w:after="60"/>
      </w:pPr>
      <w:r>
        <w:rPr>
          <w:rFonts w:ascii="Calibri" w:hAnsi="Calibri"/>
          <w:color w:val="141F2B"/>
          <w:sz w:val="19"/>
        </w:rPr>
        <w:t>Langston, L. D. et al. Mcm10 promotes rapid isomerization of CMG-DNA for replisome bypass of lagging strand DNA blocks. eLife, 2017. DOI: 10.7554/eLife.29118</w:t>
      </w:r>
    </w:p>
    <w:p>
      <w:pPr>
        <w:pStyle w:val="ListNumber"/>
        <w:spacing w:after="60"/>
      </w:pPr>
      <w:r>
        <w:rPr>
          <w:rFonts w:ascii="Calibri" w:hAnsi="Calibri"/>
          <w:color w:val="141F2B"/>
          <w:sz w:val="19"/>
        </w:rPr>
        <w:t>Bharadwaj, R., Qi, W., and Yu, H. Identification of two novel components of the human NDC80 kinetochore complex. Journal of Biological Chemistry, 2004. DOI: 10.1074/jbc.M310224200</w:t>
      </w:r>
    </w:p>
    <w:p>
      <w:pPr>
        <w:pStyle w:val="ListNumber"/>
        <w:spacing w:after="60"/>
      </w:pPr>
      <w:r>
        <w:rPr>
          <w:rFonts w:ascii="Calibri" w:hAnsi="Calibri"/>
          <w:color w:val="141F2B"/>
          <w:sz w:val="19"/>
        </w:rPr>
        <w:t>Seipold, S. et al. Non-SMC condensin I complex proteins control chromosome segregation and survival of proliferating cells in the zebrafish neural retina. BMC Developmental Biology, 2009. DOI: 10.1186/1471-213X-9-40</w:t>
      </w:r>
    </w:p>
    <w:p>
      <w:pPr>
        <w:pStyle w:val="ListNumber"/>
        <w:spacing w:after="60"/>
      </w:pPr>
      <w:r>
        <w:rPr>
          <w:rFonts w:ascii="Calibri" w:hAnsi="Calibri"/>
          <w:color w:val="141F2B"/>
          <w:sz w:val="19"/>
        </w:rPr>
        <w:t>Overmeer, R. M. et al. Replication factor C recruits DNA polymerase delta to sites of nucleotide excision repair but is not required for PCNA recruitment. Molecular and Cellular Biology, 2010. DOI: 10.1128/MCB.00285-10</w:t>
      </w:r>
    </w:p>
    <w:p>
      <w:pPr>
        <w:pStyle w:val="Heading1"/>
        <w:keepNext/>
        <w:spacing w:before="240" w:after="100"/>
      </w:pPr>
    </w:p>
    <w:p>
      <w:pPr>
        <w:spacing w:before="0" w:after="140" w:line="283" w:lineRule="auto"/>
      </w:pPr>
      <w:r>
        <w:rPr>
          <w:rFonts w:ascii="Calibri" w:hAnsi="Calibri"/>
          <w:color w:val="141F2B"/>
          <w:sz w:val="20"/>
        </w:rPr>
        <w:t>GEO GSE39582 is available at: https://www.ncbi.nlm.nih.gov/geo/query/acc.cgi?acc=GSE39582. TCGA-COAD is available at UCSC Xena: https://xenabrowser.net/. CPTAC-COAD data is available at: https://cptac-data-portal.georgetown.edu/. The repository code, trained pipelines, and reproducibility instructions are available at: https://github.com/Ronisnotasianfr/ColoGrowth-ML.</w:t>
      </w:r>
    </w:p>
    <w:p>
      <w:pPr>
        <w:pStyle w:val="Heading1"/>
        <w:keepNext/>
        <w:spacing w:before="240" w:after="100"/>
      </w:pPr>
    </w:p>
    <w:p>
      <w:pPr>
        <w:spacing w:before="0" w:after="140" w:line="283" w:lineRule="auto"/>
      </w:pPr>
      <w:r>
        <w:rPr>
          <w:rFonts w:ascii="Calibri" w:hAnsi="Calibri"/>
          <w:color w:val="141F2B"/>
          <w:sz w:val="20"/>
        </w:rPr>
        <w:t>Secondary analysis of de-identified public datasets did not require institutional review board (IRB) approval. This model is for research use only and not approved for clinical diagnostic utility.</w:t>
      </w:r>
    </w:p>
    <w:p>
      <w:pPr>
        <w:pStyle w:val="Heading2"/>
        <w:keepNext/>
        <w:spacing w:before="160" w:after="100"/>
      </w:pPr>
    </w:p>
    <w:p>
      <w:pPr>
        <w:spacing w:before="0" w:after="140" w:line="283" w:lineRule="auto"/>
      </w:pPr>
      <w:r>
        <w:rPr>
          <w:rFonts w:ascii="Calibri" w:hAnsi="Calibri"/>
          <w:color w:val="141F2B"/>
          <w:sz w:val="21"/>
        </w:rPr>
        <w:t>Claude (Anthropic) was used as a coding assistant during implementation. All scientific decisions, study design, data interpretation, and conclusions are the author's own. Full prompt logs are available in the project repository.</w:t>
      </w:r>
    </w:p>
    <w:sectPr w:rsidR="00FC693F" w:rsidRPr="0006063C" w:rsidSect="00034616">
      <w:footerReference w:type="default" r:id="rId9"/>
      <w:pgSz w:w="12240" w:h="15840"/>
      <w:pgMar w:top="1080" w:right="1181" w:bottom="1080"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A5A5A"/>
        <w:sz w:val="17"/>
      </w:rPr>
      <w:t>ColoGrowth-ML | Leakage-free cross-platform validation study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41F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Calibri" w:hAnsi="Calibri"/>
      <w:b/>
      <w:bCs/>
      <w:color w:val="2D4B6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