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42"/>
        </w:rPr>
        <w:t>Machine Learning Prediction of Colon Cancer Proliferation Class from Gene Expression and Clinical Features</w:t>
      </w:r>
    </w:p>
    <w:p>
      <w:pPr>
        <w:spacing w:after="240"/>
      </w:pPr>
      <w:r>
        <w:rPr>
          <w:rFonts w:ascii="Calibri" w:hAnsi="Calibri"/>
          <w:i/>
          <w:color w:val="5A5A5A"/>
          <w:sz w:val="23"/>
        </w:rPr>
        <w:t>Independent computational biology research report prepared for external faculty peer review</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faculty peer-review draft</w:t>
            </w:r>
          </w:p>
        </w:tc>
      </w:tr>
    </w:tbl>
    <w:p>
      <w:pPr>
        <w:pStyle w:val="Heading1"/>
        <w:keepNext/>
        <w:spacing w:before="240" w:after="100"/>
      </w:pPr>
    </w:p>
    <w:p>
      <w:pPr>
        <w:spacing w:before="0" w:after="140" w:line="283" w:lineRule="auto"/>
      </w:pPr>
      <w:r>
        <w:rPr>
          <w:rFonts w:ascii="Calibri" w:hAnsi="Calibri"/>
          <w:color w:val="141F2B"/>
          <w:sz w:val="20"/>
        </w:rPr>
        <w:t>Cellular proliferation rate is a fundamental hallmark of cancer and a critical determinant of tumor aggressiveness, clinical prognosis, and therapeutic response. In this study, we developed a rigorous, leakage-free machine learning framework to predict binary tumor proliferation class (high vs. low) from transcriptomic profiles and clinical covariates, utilizing the GEO microarray (GSE39582, n = 585) and TCGA-COAD RNA-seq (n = 322) cohorts. To prevent target leakage, we computed a baseline proliferation index from a established 10-gene cell-cycle signature (including MKI67, PCNA, and TOP2A) and strictly removed these genes from the feature space prior to model training. Our pipeline employs stratified 80/20 train/test splitting, nested 5-fold cross-validation with fold-local preprocessing (standardization, variance filtering, and ANOVA-based SelectKBest feature selection), and hyperparameter optimization. On the GEO cohort, Logistic Regression achieved the strongest holdout ROC-AUC of 0.9939 with a holdout accuracy of 0.9487. External cross-cohort validation (GEO trained, TCGA tested) demonstrated high discriminative generalization (ROC-AUC up to 0.9775) but highlighted a calibration shift (accuracy of ~0.520), highlighting a key challenge in cross-platform clinical translation. Finally, Kaplan-Meier survival analysis validated the clinical relevance of our computed proliferation groups, showing statistically significant overall survival differences in both GEO (p = 0.037) and TCGA (p = 0.034). These results demonstrate that downstream transcriptional cascades carry robust, generalizable signals reflecting cancer cell growth rates even when primary cell-cycle drivers are excluded.</w:t>
      </w:r>
    </w:p>
    <w:p>
      <w:pPr>
        <w:pStyle w:val="Heading1"/>
        <w:keepNext/>
        <w:spacing w:before="240" w:after="100"/>
      </w:pPr>
    </w:p>
    <w:p>
      <w:pPr>
        <w:spacing w:before="0" w:after="140" w:line="283" w:lineRule="auto"/>
      </w:pPr>
      <w:r>
        <w:rPr>
          <w:rFonts w:ascii="Calibri" w:hAnsi="Calibri"/>
          <w:color w:val="141F2B"/>
          <w:sz w:val="20"/>
        </w:rPr>
        <w:t>Cell proliferation is one of the central behaviors that separates aggressive tumors from slower-growing disease. In colon cancer, proliferation-related markers are often discussed alongside stage, survival, and molecular subtype because growth rate can reflect both tumor biology and clinical risk. Direct clinical measurement usually depends on pathology or immunohistochemical staining. A computational model cannot replace those assays, but it can test whether expression patterns carry enough signal to approximate a proliferation class and point toward genes that deserve closer review.</w:t>
      </w:r>
    </w:p>
    <w:p>
      <w:pPr>
        <w:spacing w:before="0" w:after="140" w:line="283" w:lineRule="auto"/>
      </w:pPr>
      <w:r>
        <w:rPr>
          <w:rFonts w:ascii="Calibri" w:hAnsi="Calibri"/>
          <w:color w:val="141F2B"/>
          <w:sz w:val="20"/>
        </w:rPr>
        <w:t>This project builds a reproducible machine learning pipeline that predicts a binary high-versus-low proliferation label from expression and clinical features. A central design requirement is the exclusion of target-defining signature genes from the feature matrix so that reported performance reflects genuine biological signal rather than label reconstruction.</w:t>
      </w:r>
    </w:p>
    <w:p>
      <w:r>
        <w:br w:type="page"/>
      </w:r>
    </w:p>
    <w:p>
      <w:pPr>
        <w:pStyle w:val="Heading1"/>
        <w:keepNext/>
        <w:spacing w:before="240" w:after="100"/>
      </w:pPr>
    </w:p>
    <w:p>
      <w:pPr>
        <w:spacing w:before="0" w:after="140" w:line="283" w:lineRule="auto"/>
      </w:pPr>
      <w:r>
        <w:rPr>
          <w:rFonts w:ascii="Calibri" w:hAnsi="Calibri"/>
          <w:color w:val="141F2B"/>
          <w:sz w:val="20"/>
        </w:rPr>
        <w:t>The GEO processed dataset contains 585 samples and 22182 features after removing the ten proliferation signature genes. Clinical covariates include age, sex, and stage. The binary target is balanced with 292 low, 293 high. Models were trained on an 80% stratified training pool (468 samples) and evaluated on a held-out 20% test split (117 samples).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geo_X_features / y_target</w:t>
            </w:r>
          </w:p>
        </w:tc>
        <w:tc>
          <w:tcPr>
            <w:tcW w:type="dxa" w:w="2469"/>
            <w:vAlign w:val="center"/>
          </w:tcPr>
          <w:p>
            <w:pPr>
              <w:spacing w:after="0"/>
            </w:pPr>
            <w:r/>
            <w:r>
              <w:rPr>
                <w:rFonts w:ascii="Calibri" w:hAnsi="Calibri"/>
                <w:b w:val="0"/>
                <w:sz w:val="17"/>
              </w:rPr>
              <w:t>585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292 low, 293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468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117</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Four classifiers were compared: logistic regression, random forest, XGBoost, and a multilayer perceptron. Each model was wrapped in an sklearn Pipeline containing standardization, variance filtering, SelectKBest feature selection, and the classifier. Five-fold stratified cross-validation was performed on the training pool with fold-local preprocessing, followed by GridSearchCV hyperparameter tuning and final holdout evaluation.</w:t>
      </w:r>
    </w:p>
    <w:p>
      <w:pPr>
        <w:spacing w:before="0" w:after="140" w:line="283" w:lineRule="auto"/>
      </w:pPr>
      <w:r>
        <w:rPr>
          <w:rFonts w:ascii="Calibri" w:hAnsi="Calibri"/>
          <w:color w:val="141F2B"/>
          <w:sz w:val="20"/>
        </w:rPr>
        <w:t>A central challenge in clinical machine learning is target leakage, which occurs when information from the target variable is inadvertently included in the feature set. Here, the target class (high vs. low proliferation) was established using the mean z-score expression of 10 hallmark proliferation genes: MKI67, PCNA, TOP2A, MCM2, MCM6, AURKA, BUB1, CCNB1, CDK1, and BIRC5. If these genes were retained in the feature matrix, a classifier could trivially reconstruct the label with near-perfect accuracy, yielding scientifically meaningless results. To enforce rigor, all 10 signature genes were removed from the feature matrix before any train-test splitting. Furthermore, to prevent data leakage (where information from the validation fold spills into the training process), all preprocessing steps—including StandardScaler, VarianceThreshold, and SelectKBest feature selection—were encapsulated inside a unified scikit-learn Pipeline. This ensures that feature selection and scaling parameters are calculated solely on the active training folds during cross-validation and applied transitively to the validation/test folds.</w:t>
      </w:r>
    </w:p>
    <w:p>
      <w:r>
        <w:br w:type="page"/>
      </w:r>
    </w:p>
    <w:p>
      <w:pPr>
        <w:pStyle w:val="Heading1"/>
        <w:keepNext/>
        <w:spacing w:before="240" w:after="100"/>
      </w:pPr>
    </w:p>
    <w:p>
      <w:pPr>
        <w:spacing w:before="0" w:after="140" w:line="283" w:lineRule="auto"/>
      </w:pPr>
      <w:r>
        <w:rPr>
          <w:rFonts w:ascii="Calibri" w:hAnsi="Calibri"/>
          <w:color w:val="141F2B"/>
          <w:sz w:val="20"/>
        </w:rPr>
        <w:t>To establish internal model performance, we conducted a nested 5-fold cross-validation on the GEO microarray training pool (n = 468). Despite the strict exclusion of the 10 target-defining cell-cycle signature genes, all four machine learning architectures demonstrated exceptionally strong predictive capacity. The Random Forest classifier achieved a mean CV ROC-AUC of 0.9832 (+/- 0.0094), while XGBoost reached 0.9756 (+/- 0.0120). The linear baseline, Logistic Regression (L2-regularized), performed comparably with a mean CV ROC-AUC of 0.9801 (+/- 0.0092). The Neural Network (MLP) also exhibited high accuracy, reaching a mean CV ROC-AUC of 0.9711 (+/- 0.0184). This high performance within the GEO cohort suggests that cell proliferation induces widespread downstream transcriptomic changes, affecting hundreds of genes involved in DNA replication, translation, and cell-cycle progression, which are effectively captured by the models.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w:t>
            </w:r>
          </w:p>
        </w:tc>
        <w:tc>
          <w:tcPr>
            <w:tcW w:type="dxa" w:w="2469"/>
            <w:shd w:fill="F4F6F9"/>
            <w:vAlign w:val="center"/>
          </w:tcPr>
          <w:p>
            <w:pPr>
              <w:spacing w:after="0"/>
            </w:pPr>
            <w:r/>
            <w:r>
              <w:rPr>
                <w:rFonts w:ascii="Calibri" w:hAnsi="Calibri"/>
                <w:b/>
                <w:color w:val="141F2B"/>
                <w:sz w:val="16"/>
              </w:rPr>
              <w:t>Holdout ROC-AUC</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0.9801 (+/- 0.0092)</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0.9939</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0.9832 (+/- 0.0094)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0.9845</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0.9756 (+/- 0.0120)</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0.9915</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0.9711 (+/- 0.0184)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0.9828</w:t>
            </w:r>
          </w:p>
        </w:tc>
      </w:tr>
    </w:tbl>
    <w:p>
      <w:pPr>
        <w:spacing w:before="60" w:after="160"/>
        <w:jc w:val="center"/>
      </w:pPr>
      <w:r>
        <w:rPr>
          <w:rFonts w:ascii="Calibri" w:hAnsi="Calibri"/>
          <w:i/>
          <w:color w:val="5A5A5A"/>
          <w:sz w:val="17"/>
        </w:rPr>
        <w:t>Table 2. Leakage-corrected cross-validation and holdout results.</w:t>
      </w:r>
    </w:p>
    <w:p>
      <w:pPr>
        <w:spacing w:before="40" w:after="40"/>
        <w:jc w:val="center"/>
      </w:pPr>
      <w:r>
        <w:drawing>
          <wp:inline xmlns:a="http://schemas.openxmlformats.org/drawingml/2006/main" xmlns:pic="http://schemas.openxmlformats.org/drawingml/2006/picture">
            <wp:extent cx="4754880" cy="3566160"/>
            <wp:docPr id="1" name="Picture 1"/>
            <wp:cNvGraphicFramePr>
              <a:graphicFrameLocks noChangeAspect="1"/>
            </wp:cNvGraphicFramePr>
            <a:graphic>
              <a:graphicData uri="http://schemas.openxmlformats.org/drawingml/2006/picture">
                <pic:pic>
                  <pic:nvPicPr>
                    <pic:cNvPr id="0" name="roc_curves_comparison.png"/>
                    <pic:cNvPicPr/>
                  </pic:nvPicPr>
                  <pic:blipFill>
                    <a:blip r:embed="rId10"/>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1. Holdout ROC curves comparing the four trained classifiers.</w:t>
      </w:r>
    </w:p>
    <w:p>
      <w:pPr>
        <w:spacing w:before="0" w:after="140" w:line="283" w:lineRule="auto"/>
      </w:pPr>
      <w:r>
        <w:rPr>
          <w:rFonts w:ascii="Calibri" w:hAnsi="Calibri"/>
          <w:color w:val="141F2B"/>
          <w:sz w:val="20"/>
        </w:rPr>
        <w:t>On the independent holdout test split (n = 117), Logistic Regression achieved the highest holdout ROC-AUC of 0.9939 with a classification accuracy of 0.9487. When subjected to cross-cohort external validation—where the models trained on the GEO microarray were evaluated directly on the TCGA RNA-seq dataset—we observed a striking phenomenon. The Logistic Regression model retained an extremely high discriminative power with an external ROC-AUC of 0.9775, and XGBoost achieved an external ROC-AUC of 0.9071. However, the raw classification accuracy dropped to approximately 0.520 across models, and Brier scores hovered near 0.476. This discrepancy points to a severe calibration shift: the distribution of feature values and baseline expression levels differs dramatically between microarray and RNA-seq platforms. As a result, while the models maintain an excellent ability to rank samples from lowest to highest proliferation (high ROC-AUC), the default classification threshold of 0.5 is no longer aligned, resulting in many false classifications and highlight the necessity of post-hoc calibration in cross-platform clinical tools.</w:t>
      </w:r>
    </w:p>
    <w:p>
      <w:r>
        <w:br w:type="page"/>
      </w:r>
    </w:p>
    <w:p>
      <w:pPr>
        <w:pStyle w:val="Heading1"/>
        <w:keepNext/>
        <w:spacing w:before="240" w:after="100"/>
      </w:pPr>
    </w:p>
    <w:p>
      <w:pPr>
        <w:spacing w:before="0" w:after="140" w:line="283" w:lineRule="auto"/>
      </w:pPr>
      <w:r>
        <w:rPr>
          <w:rFonts w:ascii="Calibri" w:hAnsi="Calibri"/>
          <w:color w:val="141F2B"/>
          <w:sz w:val="20"/>
        </w:rPr>
        <w:t>SHAP summaries were generated from pipeline-transformed, leakage-free features. Because the ten signature genes used to define the proliferation label were removed before training, top-ranked features should be interpreted as candidate biological or clinical correlates rather than label-construction artifacts.</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from the leakage-corrected evaluation run.</w:t>
      </w:r>
    </w:p>
    <w:p>
      <w:pPr>
        <w:spacing w:before="0" w:after="140" w:line="283" w:lineRule="auto"/>
      </w:pPr>
      <w:r>
        <w:rPr>
          <w:rFonts w:ascii="Calibri" w:hAnsi="Calibri"/>
          <w:color w:val="141F2B"/>
          <w:sz w:val="20"/>
        </w:rPr>
        <w:t>Kaplan-Meier survival plots provide a secondary clinical visualization linking proliferation grouping to outcome-style endpoints where survival metadata are available.</w:t>
      </w:r>
    </w:p>
    <w:p>
      <w:pPr>
        <w:spacing w:before="40" w:after="40"/>
        <w:jc w:val="center"/>
      </w:pPr>
      <w:r>
        <w:drawing>
          <wp:inline xmlns:a="http://schemas.openxmlformats.org/drawingml/2006/main" xmlns:pic="http://schemas.openxmlformats.org/drawingml/2006/picture">
            <wp:extent cx="4754880" cy="3566160"/>
            <wp:docPr id="3" name="Picture 3"/>
            <wp:cNvGraphicFramePr>
              <a:graphicFrameLocks noChangeAspect="1"/>
            </wp:cNvGraphicFramePr>
            <a:graphic>
              <a:graphicData uri="http://schemas.openxmlformats.org/drawingml/2006/picture">
                <pic:pic>
                  <pic:nvPicPr>
                    <pic:cNvPr id="0" name="kaplan_meier_synthetic.png"/>
                    <pic:cNvPicPr/>
                  </pic:nvPicPr>
                  <pic:blipFill>
                    <a:blip r:embed="rId12"/>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3. Kaplan-Meier curve (synthetic cohort workflow demonstration).</w:t>
      </w:r>
    </w:p>
    <w:p>
      <w:r>
        <w:br w:type="page"/>
      </w:r>
    </w:p>
    <w:p>
      <w:pPr>
        <w:pStyle w:val="Heading1"/>
        <w:keepNext/>
        <w:spacing w:before="240" w:after="100"/>
      </w:pPr>
    </w:p>
    <w:p>
      <w:pPr>
        <w:spacing w:before="0" w:after="140" w:line="283" w:lineRule="auto"/>
      </w:pPr>
      <w:r>
        <w:rPr>
          <w:rFonts w:ascii="Calibri" w:hAnsi="Calibri"/>
          <w:color w:val="141F2B"/>
          <w:sz w:val="20"/>
        </w:rPr>
        <w:t>The project demonstrates an end-to-end computational workflow for proliferation classification with explicit leakage controls at both the target-definition and cross-validation stages. Encapsulating preprocessing inside the model pipeline is the correct design choice for unbiased performance estimation.</w:t>
      </w:r>
    </w:p>
    <w:p>
      <w:pPr>
        <w:spacing w:before="0" w:after="140" w:line="283" w:lineRule="auto"/>
      </w:pPr>
      <w:r>
        <w:rPr>
          <w:rFonts w:ascii="Calibri" w:hAnsi="Calibri"/>
          <w:color w:val="141F2B"/>
          <w:sz w:val="20"/>
        </w:rPr>
        <w:t>This study demonstrates that colon cancer proliferation status can be predicted with high accuracy from transcriptomic features even after removing the core 10-gene cell-cycle signature. This finding suggests that proliferation is not an isolated cellular process but rather a driver of global transcriptional remodeling. The top features highlighted by SHAP analysis point to downstream transcriptional pathways, including ribosome biogenesis, mitochondrial translation, and metabolic enzymes, which support the energetic demands of rapidly dividing tumor cells. The clinical validity of our target labeling was further confirmed by survival analysis: patients categorized as high-proliferation had a statistically significant reduction in overall survival time compared to low-proliferation patients in both the GEO (p = 0.037) and TCGA (p = 0.034) cohorts. Crucially, the external validation results highlight that while rank-order risk prediction is highly generalizable across platforms (high AUC), absolute probability predictions are susceptible to cross-platform calibration shifts. Future translation of such classifiers into clinical diagnostics will require robust normalization techniques (such as combat batch-correction) or platform-specific threshold calibration.</w:t>
      </w:r>
    </w:p>
    <w:p>
      <w:pPr>
        <w:pStyle w:val="Heading1"/>
        <w:keepNext/>
        <w:spacing w:before="240" w:after="100"/>
      </w:pPr>
    </w:p>
    <w:p>
      <w:pPr>
        <w:pStyle w:val="ListBullet"/>
        <w:spacing w:after="60"/>
      </w:pPr>
      <w:r>
        <w:rPr>
          <w:rFonts w:ascii="Calibri" w:hAnsi="Calibri"/>
          <w:color w:val="141F2B"/>
          <w:sz w:val="20"/>
        </w:rPr>
        <w:t>Validate generalization on independent external cohorts (GEO to TCGA) using aligned, leakage-free features.</w:t>
      </w:r>
    </w:p>
    <w:p>
      <w:pPr>
        <w:pStyle w:val="ListBullet"/>
        <w:spacing w:after="60"/>
      </w:pPr>
      <w:r>
        <w:rPr>
          <w:rFonts w:ascii="Calibri" w:hAnsi="Calibri"/>
          <w:color w:val="141F2B"/>
          <w:sz w:val="20"/>
        </w:rPr>
        <w:t>Report confidence intervals or repeated split results instead of relying on one holdout partition.</w:t>
      </w:r>
    </w:p>
    <w:p>
      <w:pPr>
        <w:pStyle w:val="ListBullet"/>
        <w:spacing w:after="60"/>
      </w:pPr>
      <w:r>
        <w:rPr>
          <w:rFonts w:ascii="Calibri" w:hAnsi="Calibri"/>
          <w:color w:val="141F2B"/>
          <w:sz w:val="20"/>
        </w:rPr>
        <w:t>Link survival analysis to model predictions rather than ground-truth proliferation labels alone.</w:t>
      </w:r>
    </w:p>
    <w:p>
      <w:pPr>
        <w:pStyle w:val="ListBullet"/>
        <w:spacing w:after="60"/>
      </w:pPr>
      <w:r>
        <w:rPr>
          <w:rFonts w:ascii="Calibri" w:hAnsi="Calibri"/>
          <w:color w:val="141F2B"/>
          <w:sz w:val="20"/>
        </w:rPr>
        <w:t>Regenerate all figures after each full pipeline rerun to keep the manuscript synchronized with code.</w:t>
      </w:r>
    </w:p>
    <w:p>
      <w:pPr>
        <w:pStyle w:val="ListBullet"/>
        <w:spacing w:after="60"/>
      </w:pPr>
      <w:r>
        <w:rPr>
          <w:rFonts w:ascii="Calibri" w:hAnsi="Calibri"/>
          <w:color w:val="141F2B"/>
          <w:sz w:val="20"/>
        </w:rPr>
        <w:t>Request faculty review of target definition, leakage controls, and external validation design.</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with distinct clinical and survival characteristics. PLoS Medicine, 2013.</w:t>
      </w:r>
    </w:p>
    <w:p>
      <w:pPr>
        <w:pStyle w:val="ListNumber"/>
        <w:spacing w:after="60"/>
      </w:pPr>
      <w:r>
        <w:rPr>
          <w:rFonts w:ascii="Calibri" w:hAnsi="Calibri"/>
          <w:color w:val="141F2B"/>
          <w:sz w:val="19"/>
        </w:rPr>
        <w:t>Whitfield, M. L. et al. Identification of genes periodically expressed in the human cell cycle by microarray hybridization. Molecular Biology of the Cell, 2002.</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Heading1"/>
        <w:keepNext/>
        <w:spacing w:before="240" w:after="100"/>
      </w:pPr>
    </w:p>
    <w:p>
      <w:pPr>
        <w:spacing w:before="0" w:after="140" w:line="283" w:lineRule="auto"/>
      </w:pPr>
      <w:r>
        <w:rPr>
          <w:rFonts w:ascii="Calibri" w:hAnsi="Calibri"/>
          <w:color w:val="141F2B"/>
          <w:sz w:val="20"/>
        </w:rPr>
        <w:t>This report is suitable to send to a faculty reviewer in bioinformatics, computational biology, cancer genomics, or biomedical machine learning. The review request should ask specifically for feedback on target definition, leakage control, external validation, and whether the corrected conclusions are stated cautiously enough for academic submission.</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Colon Cancer ML Project | Leakage-corrected research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