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Leakage-Free Machine Learning Classification of Colon Cancer Proliferation from Downstream Transcriptional Signatures: A Cross-Platform Validation Study</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Tumor cell proliferation rates determine clinical prognosis and therapeutic response in colon cancer. We developed a machine learning pipeline to classify high versus low proliferation states from transcriptomic profiles and clinical covariates, validating models on the GEO microarray (GSE39582, n = 585), TCGA-COAD RNA-seq (n = 322), and CPTAC-COAD proteogenomic (n = 105) cohorts. To prevent target leakage, we excluded the ten hallmark cell-cycle genes (including MKI67, PCNA, and TOP2A) used to define the target metric from the feature space before training. The models were evaluated using nested five-fold cross-validation and an 80/20 train/test split. In the GEO cohort, Logistic Regression achieved a holdout ROC-AUC of 0.9939 (95% CI: 0.9824-0.9997) and an accuracy of 0.9487. Direct external validation on the TCGA-COAD cohort maintained discriminative performance (ROC-AUC 0.978), but cross-platform distribution shifts reduced raw classification accuracy. Sigmoid probability calibration (Platt scaling) resolved this shift, raising calibrated accuracy to 0.921 (Random Forest) and 0.903 (XGBoost). External validation on the independent CPTAC-COAD cohort (n = 105) further confirmed generalizability, with Random Forest achieving a calibrated AUC of 0.9487 and accuracy of 0.8679. Predicted high-proliferation status correlated with reduced overall survival in both GEO (log-rank p = 0.037) and TCGA (log-rank p = 0.034) cohorts. Downstream transcriptomic features contain robust signals for tumor growth classification even when primary cell-cycle drivers are omitted. The code is available at https://github.com/Ronisnotasianfr/colon-cancer-predictor.</w:t>
      </w:r>
    </w:p>
    <w:p>
      <w:pPr>
        <w:pStyle w:val="Heading1"/>
        <w:keepNext/>
        <w:spacing w:before="240" w:after="100"/>
      </w:pPr>
    </w:p>
    <w:p>
      <w:pPr>
        <w:spacing w:before="0" w:after="140" w:line="283" w:lineRule="auto"/>
      </w:pPr>
      <w:r>
        <w:rPr>
          <w:rFonts w:ascii="Calibri" w:hAnsi="Calibri"/>
          <w:color w:val="141F2B"/>
          <w:sz w:val="20"/>
        </w:rPr>
        <w:t>Tumor cell proliferation rates correlate with overall survival, recurrence risk, and chemotherapy response in colon adenocarcinoma (COAD). In clinical practice, pathologists estimate proliferation using histological stains like Ki-67 or staging systems. These manual assessments are subject to inter-observer variability and do not capture global transcriptomic changes associated with cell-cycle deregulation. Machine learning models trained on high-throughput gene expression datasets offer an objective alternative that captures these global deregulation patterns.</w:t>
      </w:r>
    </w:p>
    <w:p>
      <w:pPr>
        <w:spacing w:before="0" w:after="140" w:line="283" w:lineRule="auto"/>
      </w:pPr>
      <w:r>
        <w:rPr>
          <w:rFonts w:ascii="Calibri" w:hAnsi="Calibri"/>
          <w:color w:val="141F2B"/>
          <w:sz w:val="20"/>
        </w:rPr>
        <w:t>We present a machine learning framework to classify colon cancer samples into high versus low proliferation states using microarray and RNA-seq profiles alongside clinical covariates. To prevent target leakage, we removed the ten hallmark cell-cycle genes used to define the target label from the feature space before training. We evaluate Logistic Regression, Random Forest, XGBoost, and Multilayer Perceptron models using nested cross-validation on a microarray dataset and external validation on an RNA-seq cohort. This provides a leakage-free, cross-platform evaluation of proliferation prediction in COAD.</w:t>
      </w:r>
    </w:p>
    <w:p>
      <w:r>
        <w:br w:type="page"/>
      </w:r>
    </w:p>
    <w:p>
      <w:pPr>
        <w:pStyle w:val="Heading1"/>
        <w:keepNext/>
        <w:spacing w:before="240" w:after="100"/>
      </w:pPr>
    </w:p>
    <w:p>
      <w:pPr>
        <w:spacing w:before="0" w:after="140" w:line="283" w:lineRule="auto"/>
      </w:pPr>
      <w:r>
        <w:rPr>
          <w:rFonts w:ascii="Calibri" w:hAnsi="Calibri"/>
          <w:color w:val="141F2B"/>
          <w:sz w:val="20"/>
        </w:rPr>
        <w:t>The processed GEO dataset contains 585 samples and 22182 features. The feature space excludes the ten cell-cycle signature genes used to define the target label. Clinical covariates include age, sex, and pathological stage. The target class is balanced (292 low, 293 high). We split the dataset into an 80% stratified training pool (468 samples) and a 20% holdout test set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To evaluate model generalizability across microarray and RNA-seq platforms while preventing target and data leakage, we used a multi-cohort validation design: GEO-train/GEO-holdout, TCGA-calibration/TCGA-evaluation, and CPTAC-evaluation. Direct cross-cohort testing often fails because platform-dependent distribution shifts degrade classification accuracy. We split the external TCGA-COAD cohort (n = 322) into equal calibration and evaluation sets (each n = 161) and used the calibration set to fit a post-hoc Platt scaling sigmoid probability calibrator. The CPTAC-COAD cohort (n = 105) was similarly split (n = 52 calibration, n = 53 evaluation) for an additional independent validation without any additional training. We performed feature selection, scaling, and model training solely on the GEO training set. No TCGA or CPTAC samples were used during these stages. This structure ensures that evaluation metrics reflect true generalization without target leakage.</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 xml:space="preserve">                     [ GEO Cohort (n=585) ]</w:t>
        <w:br/>
        <w:t xml:space="preserve">                               |</w:t>
        <w:br/>
        <w:t xml:space="preserve">                 +-------------+-------------+</w:t>
        <w:br/>
        <w:t xml:space="preserve">                 v                           v</w:t>
        <w:br/>
        <w:t xml:space="preserve">        GEO-Train (80%, n=468)      GEO-Holdout (20%, n=117)</w:t>
        <w:br/>
        <w:t xml:space="preserve">                 |                           |</w:t>
        <w:br/>
        <w:t xml:space="preserve">                 +-&gt; [Feature Selection]     +-&gt; [Evaluate Model]</w:t>
        <w:br/>
        <w:t xml:space="preserve">                 +-&gt; [GridSearchCV Tuning]   |</w:t>
        <w:br/>
        <w:t xml:space="preserve">                 +-&gt; [Fit Model Coefficients]|</w:t>
        <w:br/>
        <w:t xml:space="preserve">                                             |</w:t>
        <w:br/>
        <w:t xml:space="preserve">          +----------------------------------+</w:t>
        <w:br/>
        <w:t xml:space="preserve">          v                                   v</w:t>
        <w:br/>
        <w:t xml:space="preserve">  [TCGA Cohort (n=322)]            [CPTAC Cohort (n=105)]</w:t>
        <w:br/>
        <w:t xml:space="preserve">          |                                   |</w:t>
        <w:br/>
        <w:t xml:space="preserve">    +-----+-----+                       +----+------+</w:t>
        <w:br/>
        <w:t xml:space="preserve">    v           v                       v           v</w:t>
        <w:br/>
        <w:t xml:space="preserve">  Calib (50%)  Eval (50%)           Calib (50%)  Eval (50%)</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We compared four classifiers: Logistic Regression, Random Forest, XGBoost, and a Multilayer Perceptron. Each model was integrated into a pipeline containing standardization, variance filtering (threshold = 0.01), and SelectKBest feature selection based on ANOVA F-values. We optimized hyperparameters using GridSearchCV and evaluated performance with nested five-fold cross-validation on the training pool, ensuring preprocessing parameters were fit only on training folds. The final feature space had no missing values, and multiple probe IDs mapping to the same gene symbol were averaged.</w:t>
      </w:r>
    </w:p>
    <w:p>
      <w:pPr>
        <w:spacing w:before="0" w:after="140" w:line="283" w:lineRule="auto"/>
      </w:pPr>
      <w:r>
        <w:rPr>
          <w:rFonts w:ascii="Calibri" w:hAnsi="Calibri"/>
          <w:color w:val="141F2B"/>
          <w:sz w:val="20"/>
        </w:rPr>
        <w:t>Target leakage occurs when information from the target variable is included in the features. We defined the target class (high versus low proliferation) using the mean z-score expression of ten cell-cycle genes: MKI67, PCNA, TOP2A, MCM2, MCM6, AURKA, BUB1, CCNB1, CDK1, and BIRC5. Retaining these genes in the feature matrix would allow the classifier to reconstruct the label trivially, producing scientifically meaningless results. We removed all ten genes from the feature matrix before splitting the data. To prevent data leakage during validation, we encapsulated all preprocessing steps (scaling, variance filtering, and feature selection) in a scikit-learn Pipeline. Preprocessing parameters were calculated solely on the active training folds and applied to the validation and test folds.</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We evaluated internal performance using nested five-fold cross-validation on the GEO training pool (n = 468). Excluding the ten cell-cycle signature genes, all four machine learning models maintained strong predictive performance. Random Forest achieved a mean cross-validation ROC-AUC of 0.9832 (+/- 0.0094), and XGBoost reached 0.9756 (+/- 0.0120). L2-regularized Logistic Regression achieved a mean ROC-AUC of 0.9801 (+/- 0.0092), and the Multilayer Perceptron reached 0.9711 (+/- 0.0184). This performance suggests that cellular proliferation drives global transcriptomic changes, affecting downstream genes in DNA replication and translation pathways. A Logistic Regression baseline without SelectKBest achieved a holdout accuracy of 0.9402, and a majority-class baseline achieved a holdout accuracy of 0.4957. All models performed above chance.</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 (95% CI: 0.9060-0.9829)</w:t>
            </w:r>
          </w:p>
        </w:tc>
        <w:tc>
          <w:tcPr>
            <w:tcW w:type="dxa" w:w="2469"/>
            <w:vAlign w:val="center"/>
          </w:tcPr>
          <w:p>
            <w:pPr>
              <w:spacing w:after="0"/>
            </w:pPr>
            <w:r/>
            <w:r>
              <w:rPr>
                <w:rFonts w:ascii="Calibri" w:hAnsi="Calibri"/>
                <w:b w:val="0"/>
                <w:sz w:val="16"/>
              </w:rPr>
              <w:t>0.9939 (95% CI: 0.9824-0.9997)</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 (95% CI: 0.8803-0.9744)</w:t>
            </w:r>
          </w:p>
        </w:tc>
        <w:tc>
          <w:tcPr>
            <w:tcW w:type="dxa" w:w="2469"/>
            <w:vAlign w:val="center"/>
          </w:tcPr>
          <w:p>
            <w:pPr>
              <w:spacing w:after="0"/>
            </w:pPr>
            <w:r/>
            <w:r>
              <w:rPr>
                <w:rFonts w:ascii="Calibri" w:hAnsi="Calibri"/>
                <w:b w:val="0"/>
                <w:sz w:val="16"/>
              </w:rPr>
              <w:t>0.9845 (95% CI: 0.9608-0.9973)</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 (95% CI: 0.9060-0.9829)</w:t>
            </w:r>
          </w:p>
        </w:tc>
        <w:tc>
          <w:tcPr>
            <w:tcW w:type="dxa" w:w="2469"/>
            <w:vAlign w:val="center"/>
          </w:tcPr>
          <w:p>
            <w:pPr>
              <w:spacing w:after="0"/>
            </w:pPr>
            <w:r/>
            <w:r>
              <w:rPr>
                <w:rFonts w:ascii="Calibri" w:hAnsi="Calibri"/>
                <w:b w:val="0"/>
                <w:sz w:val="16"/>
              </w:rPr>
              <w:t>0.9915 (95% CI: 0.9774-0.9988)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 (95% CI: 0.8803-0.9744)</w:t>
            </w:r>
          </w:p>
        </w:tc>
        <w:tc>
          <w:tcPr>
            <w:tcW w:type="dxa" w:w="2469"/>
            <w:vAlign w:val="center"/>
          </w:tcPr>
          <w:p>
            <w:pPr>
              <w:spacing w:after="0"/>
            </w:pPr>
            <w:r/>
            <w:r>
              <w:rPr>
                <w:rFonts w:ascii="Calibri" w:hAnsi="Calibri"/>
                <w:b w:val="0"/>
                <w:sz w:val="16"/>
              </w:rPr>
              <w:t>0.9828 (95% CI: 0.9621-0.9956)</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test set (n = 117), Logistic Regression achieved an ROC-AUC of 0.9939 (95% CI: 0.9824-0.9997) and an accuracy of 0.9487. Internal calibration metrics on holdout test were: Logistic Regression (Brier=0.0322, ECE=0.0353), Random Forest (Brier=0.0558, ECE=0.1052), XGBoost (Brier=0.0414, ECE=0.0324), Neural Network (MLP) (Brier=0.0570, ECE=0.0679). Pairwise bootstrap ROC comparisons showed that performance differences between the models on the holdout split were not statistically significant (all p &gt; 0.05). Direct external validation on the TCGA RNA-seq dataset (n = 322) showed strong rank-ordering across platforms. Random Forest achieved a calibrated AUC of 0.973 and accuracy of 0.921; XGBoost reached a calibrated AUC of 0.968 and accuracy of 0.903. The superior cross-platform performance compared to prior results reflects the fix of a VarianceThreshold pipeline ordering bug that had previously rendered feature filtering a no-op. We further validated on a third independent cohort, CPTAC-COAD (n = 105), an RNA-seq dataset from an independent sample collection. Random Forest achieved a calibrated AUC of 0.9487 and accuracy of 0.8679 on the CPTAC evaluation split (n = 53). Full CPTAC results were: Logistic Regression (AUC=0.8832, Acc=0.7925, Brier=0.1429); Random Forest (AUC=0.9487, Acc=0.8679, Brier=0.0958); XGBoost (AUC=0.9231, Acc=0.8302, Brier=0.1247); Neural Network (MLP) (AUC=0.9402, Acc=0.8302, Brier=0.1112). These results across two independent RNA-seq cohorts demonstrate that the proliferation signal generalizes beyond the microarray platform used for model training.</w:t>
      </w:r>
    </w:p>
    <w:p>
      <w:r>
        <w:br w:type="page"/>
      </w:r>
    </w:p>
    <w:p>
      <w:pPr>
        <w:pStyle w:val="Heading1"/>
        <w:keepNext/>
        <w:spacing w:before="240" w:after="100"/>
      </w:pPr>
    </w:p>
    <w:p>
      <w:pPr>
        <w:spacing w:before="0" w:after="140" w:line="283" w:lineRule="auto"/>
      </w:pPr>
      <w:r>
        <w:rPr>
          <w:rFonts w:ascii="Calibri" w:hAnsi="Calibri"/>
          <w:color w:val="141F2B"/>
          <w:sz w:val="20"/>
        </w:rPr>
        <w:t>We calculated SHAP values from the pipeline-transformed features. Since the feature space excludes the ten signature genes used to define the target label, the top features represent potential transcriptomic correlates rather than artifacts of target construction. Top selected features ranked by ANOVA F-score are listed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456.737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SPC25</w:t>
            </w:r>
          </w:p>
        </w:tc>
        <w:tc>
          <w:tcPr>
            <w:tcW w:type="dxa" w:w="2469"/>
            <w:vAlign w:val="center"/>
          </w:tcPr>
          <w:p>
            <w:pPr>
              <w:spacing w:after="0"/>
            </w:pPr>
            <w:r/>
            <w:r>
              <w:rPr>
                <w:rFonts w:ascii="Calibri" w:hAnsi="Calibri"/>
                <w:b w:val="0"/>
                <w:sz w:val="16"/>
              </w:rPr>
              <w:t>455.939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418.887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RFC4</w:t>
            </w:r>
          </w:p>
        </w:tc>
        <w:tc>
          <w:tcPr>
            <w:tcW w:type="dxa" w:w="2469"/>
            <w:vAlign w:val="center"/>
          </w:tcPr>
          <w:p>
            <w:pPr>
              <w:spacing w:after="0"/>
            </w:pPr>
            <w:r/>
            <w:r>
              <w:rPr>
                <w:rFonts w:ascii="Calibri" w:hAnsi="Calibri"/>
                <w:b w:val="0"/>
                <w:sz w:val="16"/>
              </w:rPr>
              <w:t>406.862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395.717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384.840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SLC35F6///CENPA</w:t>
            </w:r>
          </w:p>
        </w:tc>
        <w:tc>
          <w:tcPr>
            <w:tcW w:type="dxa" w:w="2469"/>
            <w:vAlign w:val="center"/>
          </w:tcPr>
          <w:p>
            <w:pPr>
              <w:spacing w:after="0"/>
            </w:pPr>
            <w:r/>
            <w:r>
              <w:rPr>
                <w:rFonts w:ascii="Calibri" w:hAnsi="Calibri"/>
                <w:b w:val="0"/>
                <w:sz w:val="16"/>
              </w:rPr>
              <w:t>369.936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KPNA2</w:t>
            </w:r>
          </w:p>
        </w:tc>
        <w:tc>
          <w:tcPr>
            <w:tcW w:type="dxa" w:w="2469"/>
            <w:vAlign w:val="center"/>
          </w:tcPr>
          <w:p>
            <w:pPr>
              <w:spacing w:after="0"/>
            </w:pPr>
            <w:r/>
            <w:r>
              <w:rPr>
                <w:rFonts w:ascii="Calibri" w:hAnsi="Calibri"/>
                <w:b w:val="0"/>
                <w:sz w:val="16"/>
              </w:rPr>
              <w:t>367.497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DEPDC1B</w:t>
            </w:r>
          </w:p>
        </w:tc>
        <w:tc>
          <w:tcPr>
            <w:tcW w:type="dxa" w:w="2469"/>
            <w:vAlign w:val="center"/>
          </w:tcPr>
          <w:p>
            <w:pPr>
              <w:spacing w:after="0"/>
            </w:pPr>
            <w:r/>
            <w:r>
              <w:rPr>
                <w:rFonts w:ascii="Calibri" w:hAnsi="Calibri"/>
                <w:b w:val="0"/>
                <w:sz w:val="16"/>
              </w:rPr>
              <w:t>362.054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CCNA2</w:t>
            </w:r>
          </w:p>
        </w:tc>
        <w:tc>
          <w:tcPr>
            <w:tcW w:type="dxa" w:w="2469"/>
            <w:vAlign w:val="center"/>
          </w:tcPr>
          <w:p>
            <w:pPr>
              <w:spacing w:after="0"/>
            </w:pPr>
            <w:r/>
            <w:r>
              <w:rPr>
                <w:rFonts w:ascii="Calibri" w:hAnsi="Calibri"/>
                <w:b w:val="0"/>
                <w:sz w:val="16"/>
              </w:rPr>
              <w:t>359.945</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355.594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KIF4A</w:t>
            </w:r>
          </w:p>
        </w:tc>
        <w:tc>
          <w:tcPr>
            <w:tcW w:type="dxa" w:w="2469"/>
            <w:vAlign w:val="center"/>
          </w:tcPr>
          <w:p>
            <w:pPr>
              <w:spacing w:after="0"/>
            </w:pPr>
            <w:r/>
            <w:r>
              <w:rPr>
                <w:rFonts w:ascii="Calibri" w:hAnsi="Calibri"/>
                <w:b w:val="0"/>
                <w:sz w:val="16"/>
              </w:rPr>
              <w:t>353.914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MELK</w:t>
            </w:r>
          </w:p>
        </w:tc>
        <w:tc>
          <w:tcPr>
            <w:tcW w:type="dxa" w:w="2469"/>
            <w:vAlign w:val="center"/>
          </w:tcPr>
          <w:p>
            <w:pPr>
              <w:spacing w:after="0"/>
            </w:pPr>
            <w:r/>
            <w:r>
              <w:rPr>
                <w:rFonts w:ascii="Calibri" w:hAnsi="Calibri"/>
                <w:b w:val="0"/>
                <w:sz w:val="16"/>
              </w:rPr>
              <w:t>352.216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ZWINT</w:t>
            </w:r>
          </w:p>
        </w:tc>
        <w:tc>
          <w:tcPr>
            <w:tcW w:type="dxa" w:w="2469"/>
            <w:vAlign w:val="center"/>
          </w:tcPr>
          <w:p>
            <w:pPr>
              <w:spacing w:after="0"/>
            </w:pPr>
            <w:r/>
            <w:r>
              <w:rPr>
                <w:rFonts w:ascii="Calibri" w:hAnsi="Calibri"/>
                <w:b w:val="0"/>
                <w:sz w:val="16"/>
              </w:rPr>
              <w:t>350.864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GINS3</w:t>
            </w:r>
          </w:p>
        </w:tc>
        <w:tc>
          <w:tcPr>
            <w:tcW w:type="dxa" w:w="2469"/>
            <w:vAlign w:val="center"/>
          </w:tcPr>
          <w:p>
            <w:pPr>
              <w:spacing w:after="0"/>
            </w:pPr>
            <w:r/>
            <w:r>
              <w:rPr>
                <w:rFonts w:ascii="Calibri" w:hAnsi="Calibri"/>
                <w:b w:val="0"/>
                <w:sz w:val="16"/>
              </w:rPr>
              <w:t>350.310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347.861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344.708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344.375</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RRM1</w:t>
            </w:r>
          </w:p>
        </w:tc>
        <w:tc>
          <w:tcPr>
            <w:tcW w:type="dxa" w:w="2469"/>
            <w:vAlign w:val="center"/>
          </w:tcPr>
          <w:p>
            <w:pPr>
              <w:spacing w:after="0"/>
            </w:pPr>
            <w:r/>
            <w:r>
              <w:rPr>
                <w:rFonts w:ascii="Calibri" w:hAnsi="Calibri"/>
                <w:b w:val="0"/>
                <w:sz w:val="16"/>
              </w:rPr>
              <w:t>343.932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342.264</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Enrichment analysis of the top 30 SHAP features against KEGG and GO databases showed significant enrichment in pathways downstream of cell-cycle regulation, as shown in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To assess clinical utility, we performed Decision Curve Analysis (DCA) as shown in Figure 4. All four models yielded higher net benefit than default strategies of treating all patients or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0.9661</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0.9344</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0.9661</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0.9344</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0.9153</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0.9180</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0.9649</w:t>
            </w:r>
          </w:p>
        </w:tc>
        <w:tc>
          <w:tcPr>
            <w:tcW w:type="dxa" w:w="1411"/>
            <w:vAlign w:val="center"/>
          </w:tcPr>
          <w:p>
            <w:pPr>
              <w:spacing w:after="0"/>
            </w:pPr>
            <w:r/>
            <w:r>
              <w:rPr>
                <w:rFonts w:ascii="Calibri" w:hAnsi="Calibri"/>
                <w:b w:val="0"/>
                <w:sz w:val="16"/>
              </w:rPr>
              <w:t>0.9333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0.9649</w:t>
            </w:r>
          </w:p>
        </w:tc>
        <w:tc>
          <w:tcPr>
            <w:tcW w:type="dxa" w:w="1411"/>
            <w:vAlign w:val="center"/>
          </w:tcPr>
          <w:p>
            <w:pPr>
              <w:spacing w:after="0"/>
            </w:pPr>
            <w:r/>
            <w:r>
              <w:rPr>
                <w:rFonts w:ascii="Calibri" w:hAnsi="Calibri"/>
                <w:b w:val="0"/>
                <w:sz w:val="16"/>
              </w:rPr>
              <w:t>0.9333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0.9492</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0.9180</w:t>
            </w:r>
          </w:p>
        </w:tc>
        <w:tc>
          <w:tcPr>
            <w:tcW w:type="dxa" w:w="1411"/>
            <w:vAlign w:val="center"/>
          </w:tcPr>
          <w:p>
            <w:pPr>
              <w:spacing w:after="0"/>
            </w:pPr>
            <w:r/>
            <w:r>
              <w:rPr>
                <w:rFonts w:ascii="Calibri" w:hAnsi="Calibri"/>
                <w:b w:val="0"/>
                <w:sz w:val="16"/>
              </w:rPr>
              <w:t>0.9464</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0.8983</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0.8983</w:t>
            </w:r>
          </w:p>
        </w:tc>
        <w:tc>
          <w:tcPr>
            <w:tcW w:type="dxa" w:w="1411"/>
            <w:vAlign w:val="center"/>
          </w:tcPr>
          <w:p>
            <w:pPr>
              <w:spacing w:after="0"/>
            </w:pPr>
            <w:r/>
            <w:r>
              <w:rPr>
                <w:rFonts w:ascii="Calibri" w:hAnsi="Calibri"/>
                <w:b w:val="0"/>
                <w:sz w:val="16"/>
              </w:rPr>
              <w:t>2.6</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We conducted subgroup analyses to verify that model predictions remain stable across demographic and clinical variables (age, sex, and tumor stage). Table 6 reports consistent accuracy and ROC-AUC across all patient sub-cohorts. Bootstrap interaction testing confirmed no significant performance differences across strata (p &gt; 0.05).</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117</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0.9939</w:t>
            </w:r>
          </w:p>
        </w:tc>
        <w:tc>
          <w:tcPr>
            <w:tcW w:type="dxa" w:w="1411"/>
            <w:vAlign w:val="center"/>
          </w:tcPr>
          <w:p>
            <w:pPr>
              <w:spacing w:after="0"/>
            </w:pPr>
            <w:r/>
            <w:r>
              <w:rPr>
                <w:rFonts w:ascii="Calibri" w:hAnsi="Calibri"/>
                <w:b w:val="0"/>
                <w:sz w:val="16"/>
              </w:rPr>
              <w:t>(0.9827-0.9994)</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45</w:t>
            </w:r>
          </w:p>
        </w:tc>
        <w:tc>
          <w:tcPr>
            <w:tcW w:type="dxa" w:w="1411"/>
            <w:vAlign w:val="center"/>
          </w:tcPr>
          <w:p>
            <w:pPr>
              <w:spacing w:after="0"/>
            </w:pPr>
            <w:r/>
            <w:r>
              <w:rPr>
                <w:rFonts w:ascii="Calibri" w:hAnsi="Calibri"/>
                <w:b w:val="0"/>
                <w:sz w:val="16"/>
              </w:rPr>
              <w:t>0.9778</w:t>
            </w:r>
          </w:p>
        </w:tc>
        <w:tc>
          <w:tcPr>
            <w:tcW w:type="dxa" w:w="1411"/>
            <w:vAlign w:val="center"/>
          </w:tcPr>
          <w:p>
            <w:pPr>
              <w:spacing w:after="0"/>
            </w:pPr>
            <w:r/>
            <w:r>
              <w:rPr>
                <w:rFonts w:ascii="Calibri" w:hAnsi="Calibri"/>
                <w:b w:val="0"/>
                <w:sz w:val="16"/>
              </w:rPr>
              <w:t>0.9960</w:t>
            </w:r>
          </w:p>
        </w:tc>
        <w:tc>
          <w:tcPr>
            <w:tcW w:type="dxa" w:w="1411"/>
            <w:vAlign w:val="center"/>
          </w:tcPr>
          <w:p>
            <w:pPr>
              <w:spacing w:after="0"/>
            </w:pPr>
            <w:r/>
            <w:r>
              <w:rPr>
                <w:rFonts w:ascii="Calibri" w:hAnsi="Calibri"/>
                <w:b w:val="0"/>
                <w:sz w:val="16"/>
              </w:rPr>
              <w:t>(0.9820-1.0000)</w:t>
            </w:r>
          </w:p>
        </w:tc>
        <w:tc>
          <w:tcPr>
            <w:tcW w:type="dxa" w:w="1411"/>
            <w:vAlign w:val="center"/>
          </w:tcPr>
          <w:p>
            <w:pPr>
              <w:spacing w:after="0"/>
            </w:pPr>
            <w:r/>
            <w:r>
              <w:rPr>
                <w:rFonts w:ascii="Calibri" w:hAnsi="Calibri"/>
                <w:b w:val="0"/>
                <w:sz w:val="16"/>
              </w:rPr>
              <w:t>0.5000</w:t>
            </w:r>
          </w:p>
        </w:tc>
        <w:tc>
          <w:tcPr>
            <w:tcW w:type="dxa" w:w="1411"/>
            <w:vAlign w:val="center"/>
          </w:tcPr>
          <w:p>
            <w:pPr>
              <w:spacing w:after="0"/>
            </w:pPr>
            <w:r/>
            <w:r>
              <w:rPr>
                <w:rFonts w:ascii="Calibri" w:hAnsi="Calibri"/>
                <w:b w:val="0"/>
                <w:sz w:val="16"/>
              </w:rPr>
              <w:t>(-0.0125 to 0.0301)</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72</w:t>
            </w:r>
          </w:p>
        </w:tc>
        <w:tc>
          <w:tcPr>
            <w:tcW w:type="dxa" w:w="1411"/>
            <w:vAlign w:val="center"/>
          </w:tcPr>
          <w:p>
            <w:pPr>
              <w:spacing w:after="0"/>
            </w:pPr>
            <w:r/>
            <w:r>
              <w:rPr>
                <w:rFonts w:ascii="Calibri" w:hAnsi="Calibri"/>
                <w:b w:val="0"/>
                <w:sz w:val="16"/>
              </w:rPr>
              <w:t>0.9306</w:t>
            </w:r>
          </w:p>
        </w:tc>
        <w:tc>
          <w:tcPr>
            <w:tcW w:type="dxa" w:w="1411"/>
            <w:vAlign w:val="center"/>
          </w:tcPr>
          <w:p>
            <w:pPr>
              <w:spacing w:after="0"/>
            </w:pPr>
            <w:r/>
            <w:r>
              <w:rPr>
                <w:rFonts w:ascii="Calibri" w:hAnsi="Calibri"/>
                <w:b w:val="0"/>
                <w:sz w:val="16"/>
              </w:rPr>
              <w:t>0.9899</w:t>
            </w:r>
          </w:p>
        </w:tc>
        <w:tc>
          <w:tcPr>
            <w:tcW w:type="dxa" w:w="1411"/>
            <w:vAlign w:val="center"/>
          </w:tcPr>
          <w:p>
            <w:pPr>
              <w:spacing w:after="0"/>
            </w:pPr>
            <w:r/>
            <w:r>
              <w:rPr>
                <w:rFonts w:ascii="Calibri" w:hAnsi="Calibri"/>
                <w:b w:val="0"/>
                <w:sz w:val="16"/>
              </w:rPr>
              <w:t>(0.9703-1.0000)</w:t>
            </w:r>
          </w:p>
        </w:tc>
        <w:tc>
          <w:tcPr>
            <w:tcW w:type="dxa" w:w="1411"/>
            <w:vAlign w:val="center"/>
          </w:tcPr>
          <w:p>
            <w:pPr>
              <w:spacing w:after="0"/>
            </w:pPr>
            <w:r/>
            <w:r>
              <w:rPr>
                <w:rFonts w:ascii="Calibri" w:hAnsi="Calibri"/>
                <w:b w:val="0"/>
                <w:sz w:val="16"/>
              </w:rPr>
              <w:t>0.5000</w:t>
            </w:r>
          </w:p>
        </w:tc>
        <w:tc>
          <w:tcPr>
            <w:tcW w:type="dxa" w:w="1411"/>
            <w:vAlign w:val="center"/>
          </w:tcPr>
          <w:p>
            <w:pPr>
              <w:spacing w:after="0"/>
            </w:pPr>
            <w:r/>
            <w:r>
              <w:rPr>
                <w:rFonts w:ascii="Calibri" w:hAnsi="Calibri"/>
                <w:b w:val="0"/>
                <w:sz w:val="16"/>
              </w:rPr>
              <w:t>(-0.0125 to 0.0301)</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66</w:t>
            </w:r>
          </w:p>
        </w:tc>
        <w:tc>
          <w:tcPr>
            <w:tcW w:type="dxa" w:w="1411"/>
            <w:vAlign w:val="center"/>
          </w:tcPr>
          <w:p>
            <w:pPr>
              <w:spacing w:after="0"/>
            </w:pPr>
            <w:r/>
            <w:r>
              <w:rPr>
                <w:rFonts w:ascii="Calibri" w:hAnsi="Calibri"/>
                <w:b w:val="0"/>
                <w:sz w:val="16"/>
              </w:rPr>
              <w:t>0.9394</w:t>
            </w:r>
          </w:p>
        </w:tc>
        <w:tc>
          <w:tcPr>
            <w:tcW w:type="dxa" w:w="1411"/>
            <w:vAlign w:val="center"/>
          </w:tcPr>
          <w:p>
            <w:pPr>
              <w:spacing w:after="0"/>
            </w:pPr>
            <w:r/>
            <w:r>
              <w:rPr>
                <w:rFonts w:ascii="Calibri" w:hAnsi="Calibri"/>
                <w:b w:val="0"/>
                <w:sz w:val="16"/>
              </w:rPr>
              <w:t>0.9963</w:t>
            </w:r>
          </w:p>
        </w:tc>
        <w:tc>
          <w:tcPr>
            <w:tcW w:type="dxa" w:w="1411"/>
            <w:vAlign w:val="center"/>
          </w:tcPr>
          <w:p>
            <w:pPr>
              <w:spacing w:after="0"/>
            </w:pPr>
            <w:r/>
            <w:r>
              <w:rPr>
                <w:rFonts w:ascii="Calibri" w:hAnsi="Calibri"/>
                <w:b w:val="0"/>
                <w:sz w:val="16"/>
              </w:rPr>
              <w:t>(0.9816-1.0000)</w:t>
            </w:r>
          </w:p>
        </w:tc>
        <w:tc>
          <w:tcPr>
            <w:tcW w:type="dxa" w:w="1411"/>
            <w:vAlign w:val="center"/>
          </w:tcPr>
          <w:p>
            <w:pPr>
              <w:spacing w:after="0"/>
            </w:pPr>
            <w:r/>
            <w:r>
              <w:rPr>
                <w:rFonts w:ascii="Calibri" w:hAnsi="Calibri"/>
                <w:b w:val="0"/>
                <w:sz w:val="16"/>
              </w:rPr>
              <w:t>0.7160</w:t>
            </w:r>
          </w:p>
        </w:tc>
        <w:tc>
          <w:tcPr>
            <w:tcW w:type="dxa" w:w="1411"/>
            <w:vAlign w:val="center"/>
          </w:tcPr>
          <w:p>
            <w:pPr>
              <w:spacing w:after="0"/>
            </w:pPr>
            <w:r/>
            <w:r>
              <w:rPr>
                <w:rFonts w:ascii="Calibri" w:hAnsi="Calibri"/>
                <w:b w:val="0"/>
                <w:sz w:val="16"/>
              </w:rPr>
              <w:t>(-0.0117 to 0.0254)</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51</w:t>
            </w:r>
          </w:p>
        </w:tc>
        <w:tc>
          <w:tcPr>
            <w:tcW w:type="dxa" w:w="1411"/>
            <w:vAlign w:val="center"/>
          </w:tcPr>
          <w:p>
            <w:pPr>
              <w:spacing w:after="0"/>
            </w:pPr>
            <w:r/>
            <w:r>
              <w:rPr>
                <w:rFonts w:ascii="Calibri" w:hAnsi="Calibri"/>
                <w:b w:val="0"/>
                <w:sz w:val="16"/>
              </w:rPr>
              <w:t>0.9608</w:t>
            </w:r>
          </w:p>
        </w:tc>
        <w:tc>
          <w:tcPr>
            <w:tcW w:type="dxa" w:w="1411"/>
            <w:vAlign w:val="center"/>
          </w:tcPr>
          <w:p>
            <w:pPr>
              <w:spacing w:after="0"/>
            </w:pPr>
            <w:r/>
            <w:r>
              <w:rPr>
                <w:rFonts w:ascii="Calibri" w:hAnsi="Calibri"/>
                <w:b w:val="0"/>
                <w:sz w:val="16"/>
              </w:rPr>
              <w:t>0.9923</w:t>
            </w:r>
          </w:p>
        </w:tc>
        <w:tc>
          <w:tcPr>
            <w:tcW w:type="dxa" w:w="1411"/>
            <w:vAlign w:val="center"/>
          </w:tcPr>
          <w:p>
            <w:pPr>
              <w:spacing w:after="0"/>
            </w:pPr>
            <w:r/>
            <w:r>
              <w:rPr>
                <w:rFonts w:ascii="Calibri" w:hAnsi="Calibri"/>
                <w:b w:val="0"/>
                <w:sz w:val="16"/>
              </w:rPr>
              <w:t>(0.9612-1.0000)</w:t>
            </w:r>
          </w:p>
        </w:tc>
        <w:tc>
          <w:tcPr>
            <w:tcW w:type="dxa" w:w="1411"/>
            <w:vAlign w:val="center"/>
          </w:tcPr>
          <w:p>
            <w:pPr>
              <w:spacing w:after="0"/>
            </w:pPr>
            <w:r/>
            <w:r>
              <w:rPr>
                <w:rFonts w:ascii="Calibri" w:hAnsi="Calibri"/>
                <w:b w:val="0"/>
                <w:sz w:val="16"/>
              </w:rPr>
              <w:t>0.7160</w:t>
            </w:r>
          </w:p>
        </w:tc>
        <w:tc>
          <w:tcPr>
            <w:tcW w:type="dxa" w:w="1411"/>
            <w:vAlign w:val="center"/>
          </w:tcPr>
          <w:p>
            <w:pPr>
              <w:spacing w:after="0"/>
            </w:pPr>
            <w:r/>
            <w:r>
              <w:rPr>
                <w:rFonts w:ascii="Calibri" w:hAnsi="Calibri"/>
                <w:b w:val="0"/>
                <w:sz w:val="16"/>
              </w:rPr>
              <w:t>(-0.0117 to 0.0254)</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59</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0.9943</w:t>
            </w:r>
          </w:p>
        </w:tc>
        <w:tc>
          <w:tcPr>
            <w:tcW w:type="dxa" w:w="1411"/>
            <w:vAlign w:val="center"/>
          </w:tcPr>
          <w:p>
            <w:pPr>
              <w:spacing w:after="0"/>
            </w:pPr>
            <w:r/>
            <w:r>
              <w:rPr>
                <w:rFonts w:ascii="Calibri" w:hAnsi="Calibri"/>
                <w:b w:val="0"/>
                <w:sz w:val="16"/>
              </w:rPr>
              <w:t>(0.9768-1.0000)</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(-0.0163 to 0.0274)</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56</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0.9923</w:t>
            </w:r>
          </w:p>
        </w:tc>
        <w:tc>
          <w:tcPr>
            <w:tcW w:type="dxa" w:w="1411"/>
            <w:vAlign w:val="center"/>
          </w:tcPr>
          <w:p>
            <w:pPr>
              <w:spacing w:after="0"/>
            </w:pPr>
            <w:r/>
            <w:r>
              <w:rPr>
                <w:rFonts w:ascii="Calibri" w:hAnsi="Calibri"/>
                <w:b w:val="0"/>
                <w:sz w:val="16"/>
              </w:rPr>
              <w:t>(0.9693-1.0000)</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(-0.0163 to 0.0274)</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survival analysis stratified patients by predicted proliferation class (Figure 5) and pathological stage (Figure 6) to assess survival differences. Patients classified as high proliferation had significantly shorter overall survival (GEO log-rank p = 0.037, TCGA log-rank p = 0.034).</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Multivariate Cox proportional hazards regression was used to adjust for age, sex, and tumor stage. Proliferation status was not statistically significant after adjustment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-0.2443</w:t>
            </w:r>
          </w:p>
        </w:tc>
        <w:tc>
          <w:tcPr>
            <w:tcW w:type="dxa" w:w="1976"/>
            <w:vAlign w:val="center"/>
          </w:tcPr>
          <w:p>
            <w:pPr>
              <w:spacing w:after="0"/>
            </w:pPr>
            <w:r/>
            <w:r>
              <w:rPr>
                <w:rFonts w:ascii="Calibri" w:hAnsi="Calibri"/>
                <w:b w:val="0"/>
                <w:sz w:val="16"/>
              </w:rPr>
              <w:t>0.7833</w:t>
            </w:r>
          </w:p>
        </w:tc>
        <w:tc>
          <w:tcPr>
            <w:tcW w:type="dxa" w:w="1976"/>
            <w:vAlign w:val="center"/>
          </w:tcPr>
          <w:p>
            <w:pPr>
              <w:spacing w:after="0"/>
            </w:pPr>
            <w:r/>
            <w:r>
              <w:rPr>
                <w:rFonts w:ascii="Calibri" w:hAnsi="Calibri"/>
                <w:b w:val="0"/>
                <w:sz w:val="16"/>
              </w:rPr>
              <w:t>(0.59 - 1.04)</w:t>
            </w:r>
          </w:p>
        </w:tc>
        <w:tc>
          <w:tcPr>
            <w:tcW w:type="dxa" w:w="1976"/>
            <w:vAlign w:val="center"/>
          </w:tcPr>
          <w:p>
            <w:pPr>
              <w:spacing w:after="0"/>
            </w:pPr>
            <w:r/>
            <w:r>
              <w:rPr>
                <w:rFonts w:ascii="Calibri" w:hAnsi="Calibri"/>
                <w:b w:val="0"/>
                <w:sz w:val="16"/>
              </w:rPr>
              <w:t>9.2472e-02</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0.0309</w:t>
            </w:r>
          </w:p>
        </w:tc>
        <w:tc>
          <w:tcPr>
            <w:tcW w:type="dxa" w:w="1976"/>
            <w:vAlign w:val="center"/>
          </w:tcPr>
          <w:p>
            <w:pPr>
              <w:spacing w:after="0"/>
            </w:pPr>
            <w:r/>
            <w:r>
              <w:rPr>
                <w:rFonts w:ascii="Calibri" w:hAnsi="Calibri"/>
                <w:b w:val="0"/>
                <w:sz w:val="16"/>
              </w:rPr>
              <w:t>1.0314</w:t>
            </w:r>
          </w:p>
        </w:tc>
        <w:tc>
          <w:tcPr>
            <w:tcW w:type="dxa" w:w="1976"/>
            <w:vAlign w:val="center"/>
          </w:tcPr>
          <w:p>
            <w:pPr>
              <w:spacing w:after="0"/>
            </w:pPr>
            <w:r/>
            <w:r>
              <w:rPr>
                <w:rFonts w:ascii="Calibri" w:hAnsi="Calibri"/>
                <w:b w:val="0"/>
                <w:sz w:val="16"/>
              </w:rPr>
              <w:t>(1.02 - 1.04)</w:t>
            </w:r>
          </w:p>
        </w:tc>
        <w:tc>
          <w:tcPr>
            <w:tcW w:type="dxa" w:w="1976"/>
            <w:vAlign w:val="center"/>
          </w:tcPr>
          <w:p>
            <w:pPr>
              <w:spacing w:after="0"/>
            </w:pPr>
            <w:r/>
            <w:r>
              <w:rPr>
                <w:rFonts w:ascii="Calibri" w:hAnsi="Calibri"/>
                <w:b w:val="0"/>
                <w:sz w:val="16"/>
              </w:rPr>
              <w:t>7.2858e-07</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0.3545</w:t>
            </w:r>
          </w:p>
        </w:tc>
        <w:tc>
          <w:tcPr>
            <w:tcW w:type="dxa" w:w="1976"/>
            <w:vAlign w:val="center"/>
          </w:tcPr>
          <w:p>
            <w:pPr>
              <w:spacing w:after="0"/>
            </w:pPr>
            <w:r/>
            <w:r>
              <w:rPr>
                <w:rFonts w:ascii="Calibri" w:hAnsi="Calibri"/>
                <w:b w:val="0"/>
                <w:sz w:val="16"/>
              </w:rPr>
              <w:t>1.4254</w:t>
            </w:r>
          </w:p>
        </w:tc>
        <w:tc>
          <w:tcPr>
            <w:tcW w:type="dxa" w:w="1976"/>
            <w:vAlign w:val="center"/>
          </w:tcPr>
          <w:p>
            <w:pPr>
              <w:spacing w:after="0"/>
            </w:pPr>
            <w:r/>
            <w:r>
              <w:rPr>
                <w:rFonts w:ascii="Calibri" w:hAnsi="Calibri"/>
                <w:b w:val="0"/>
                <w:sz w:val="16"/>
              </w:rPr>
              <w:t>(1.07 - 1.91)</w:t>
            </w:r>
          </w:p>
        </w:tc>
        <w:tc>
          <w:tcPr>
            <w:tcW w:type="dxa" w:w="1976"/>
            <w:vAlign w:val="center"/>
          </w:tcPr>
          <w:p>
            <w:pPr>
              <w:spacing w:after="0"/>
            </w:pPr>
            <w:r/>
            <w:r>
              <w:rPr>
                <w:rFonts w:ascii="Calibri" w:hAnsi="Calibri"/>
                <w:b w:val="0"/>
                <w:sz w:val="16"/>
              </w:rPr>
              <w:t>1.6711e-02</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0.7283</w:t>
            </w:r>
          </w:p>
        </w:tc>
        <w:tc>
          <w:tcPr>
            <w:tcW w:type="dxa" w:w="1976"/>
            <w:vAlign w:val="center"/>
          </w:tcPr>
          <w:p>
            <w:pPr>
              <w:spacing w:after="0"/>
            </w:pPr>
            <w:r/>
            <w:r>
              <w:rPr>
                <w:rFonts w:ascii="Calibri" w:hAnsi="Calibri"/>
                <w:b w:val="0"/>
                <w:sz w:val="16"/>
              </w:rPr>
              <w:t>2.0715</w:t>
            </w:r>
          </w:p>
        </w:tc>
        <w:tc>
          <w:tcPr>
            <w:tcW w:type="dxa" w:w="1976"/>
            <w:vAlign w:val="center"/>
          </w:tcPr>
          <w:p>
            <w:pPr>
              <w:spacing w:after="0"/>
            </w:pPr>
            <w:r/>
            <w:r>
              <w:rPr>
                <w:rFonts w:ascii="Calibri" w:hAnsi="Calibri"/>
                <w:b w:val="0"/>
                <w:sz w:val="16"/>
              </w:rPr>
              <w:t>(1.69 - 2.54)</w:t>
            </w:r>
          </w:p>
        </w:tc>
        <w:tc>
          <w:tcPr>
            <w:tcW w:type="dxa" w:w="1976"/>
            <w:vAlign w:val="center"/>
          </w:tcPr>
          <w:p>
            <w:pPr>
              <w:spacing w:after="0"/>
            </w:pPr>
            <w:r/>
            <w:r>
              <w:rPr>
                <w:rFonts w:ascii="Calibri" w:hAnsi="Calibri"/>
                <w:b w:val="0"/>
                <w:sz w:val="16"/>
              </w:rPr>
              <w:t>2.3515e-12</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We performed sensitivity analyses to evaluate model stability under different preprocessing settings. Table 8 reports holdout ROC-AUC across variations in feature selection count (k) and variance filtering threshold (VT), showing stable performance across the tested parameter ranges.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0.9901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0.9918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0.9936</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0.9939</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0.9898</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We show that colon cancer proliferation status can be predicted from transcriptomic features after excluding the ten core cell-cycle signature genes. This indicates that cellular proliferation drives global transcriptional remodeling rather than acting as an isolated process. Top SHAP features point to downstream pathways, including ribosome biogenesis, DNA replication, and mitochondrial translation, that support cell division. Survival analysis validated the clinical relevance of our target classification: patients categorized as high-proliferation showed reduced overall survival compared to low-proliferation patients in both the GEO (log-rank p = 0.037) and TCGA (log-rank p = 0.034) cohorts. Multivariate Cox proportional hazards modeling indicated that proliferation status was not statistically significant after adjusting for age, sex, and tumor stage (Hazard Ratio = 0.78, Wald test p = 0.0925). External validation on TCGA-COAD and CPTAC-COAD independently confirmed that risk rank-ordering generalizes across sequencing platforms (ROC-AUC up to 0.973 on TCGA, 0.949 on CPTAC). Sigmoid probability calibration (Platt scaling) corrected cross-platform distribution shifts, achieving calibrated accuracies of 0.921 on TCGA and 0.868 on CPTAC. These results across three independent cohorts demonstrate that the biological proliferation signal generalizes beyond the microarray platform used for model training. External validation on the CPTAC-COAD cohort (n = 105) provided a third independent test of generalizability. Random Forest achieved a calibrated AUC of 0.9487 and accuracy of 0.8679 on the CPTAC evaluation split. This independent validation on a proteogenomic profiling cohort strengthens the evidence that proliferation-associated transcriptional remodeling is a robust, platform-independent biological signal.</w:t>
      </w:r>
    </w:p>
    <w:p>
      <w:pPr>
        <w:spacing w:before="0" w:after="140" w:line="283" w:lineRule="auto"/>
      </w:pPr>
      <w:r>
        <w:rPr>
          <w:rFonts w:ascii="Calibri" w:hAnsi="Calibri"/>
          <w:color w:val="141F2B"/>
          <w:sz w:val="20"/>
        </w:rPr>
        <w:t>We compared the performance and validation characteristics of ColoGrowth-ML with other prognostic classifiers in colorectal cancer (Table 9).</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Zeng et al.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0.750 - 0.795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Agesen et al. (ColoGuideEx)</w:t>
            </w:r>
          </w:p>
        </w:tc>
        <w:tc>
          <w:tcPr>
            <w:tcW w:type="dxa" w:w="1411"/>
            <w:vAlign w:val="center"/>
          </w:tcPr>
          <w:p>
            <w:pPr>
              <w:spacing w:after="0"/>
            </w:pPr>
            <w:r/>
            <w:r>
              <w:rPr>
                <w:rFonts w:ascii="Calibri" w:hAnsi="Calibri"/>
                <w:b w:val="0"/>
                <w:sz w:val="16"/>
              </w:rPr>
              <w:t>2012</w:t>
            </w:r>
          </w:p>
        </w:tc>
        <w:tc>
          <w:tcPr>
            <w:tcW w:type="dxa" w:w="1411"/>
            <w:vAlign w:val="center"/>
          </w:tcPr>
          <w:p>
            <w:pPr>
              <w:spacing w:after="0"/>
            </w:pPr>
            <w:r/>
            <w:r>
              <w:rPr>
                <w:rFonts w:ascii="Calibri" w:hAnsi="Calibri"/>
                <w:b w:val="0"/>
                <w:sz w:val="16"/>
              </w:rPr>
              <w:t>Microarray (13-gene)</w:t>
            </w:r>
          </w:p>
        </w:tc>
        <w:tc>
          <w:tcPr>
            <w:tcW w:type="dxa" w:w="1411"/>
            <w:vAlign w:val="center"/>
          </w:tcPr>
          <w:p>
            <w:pPr>
              <w:spacing w:after="0"/>
            </w:pPr>
            <w:r/>
            <w:r>
              <w:rPr>
                <w:rFonts w:ascii="Calibri" w:hAnsi="Calibri"/>
                <w:b w:val="0"/>
                <w:sz w:val="16"/>
              </w:rPr>
              <w:t>153</w:t>
            </w:r>
          </w:p>
        </w:tc>
        <w:tc>
          <w:tcPr>
            <w:tcW w:type="dxa" w:w="1411"/>
            <w:vAlign w:val="center"/>
          </w:tcPr>
          <w:p>
            <w:pPr>
              <w:spacing w:after="0"/>
            </w:pPr>
            <w:r/>
            <w:r>
              <w:rPr>
                <w:rFonts w:ascii="Calibri" w:hAnsi="Calibri"/>
                <w:b w:val="0"/>
                <w:sz w:val="16"/>
              </w:rPr>
              <w:t>~0.710 (AUC)</w:t>
            </w:r>
          </w:p>
        </w:tc>
        <w:tc>
          <w:tcPr>
            <w:tcW w:type="dxa" w:w="1411"/>
            <w:vAlign w:val="center"/>
          </w:tcPr>
          <w:p>
            <w:pPr>
              <w:spacing w:after="0"/>
            </w:pPr>
            <w:r/>
            <w:r>
              <w:rPr>
                <w:rFonts w:ascii="Calibri" w:hAnsi="Calibri"/>
                <w:b w:val="0"/>
                <w:sz w:val="16"/>
              </w:rPr>
              <w:t>No (Uncontrolled signatures)</w:t>
            </w:r>
          </w:p>
        </w:tc>
        <w:tc>
          <w:tcPr>
            <w:tcW w:type="dxa" w:w="1411"/>
            <w:vAlign w:val="center"/>
          </w:tcPr>
          <w:p>
            <w:pPr>
              <w:spacing w:after="0"/>
            </w:pPr>
            <w:r/>
            <w:r>
              <w:rPr>
                <w:rFonts w:ascii="Calibri" w:hAnsi="Calibri"/>
                <w:b w:val="0"/>
                <w:sz w:val="16"/>
              </w:rPr>
              <w:t>No</w:t>
            </w:r>
          </w:p>
        </w:tc>
      </w:tr>
      <w:tr>
        <w:tc>
          <w:tcPr>
            <w:tcW w:type="dxa" w:w="1411"/>
            <w:vAlign w:val="center"/>
          </w:tcPr>
          <w:p>
            <w:pPr>
              <w:spacing w:after="0"/>
            </w:pPr>
            <w:r/>
            <w:r>
              <w:rPr>
                <w:rFonts w:ascii="Calibri" w:hAnsi="Calibri"/>
                <w:b w:val="0"/>
                <w:sz w:val="16"/>
              </w:rPr>
              <w:t>O'Connell et al. (OncoType DX)</w:t>
            </w:r>
          </w:p>
        </w:tc>
        <w:tc>
          <w:tcPr>
            <w:tcW w:type="dxa" w:w="1411"/>
            <w:vAlign w:val="center"/>
          </w:tcPr>
          <w:p>
            <w:pPr>
              <w:spacing w:after="0"/>
            </w:pPr>
            <w:r/>
            <w:r>
              <w:rPr>
                <w:rFonts w:ascii="Calibri" w:hAnsi="Calibri"/>
                <w:b w:val="0"/>
                <w:sz w:val="16"/>
              </w:rPr>
              <w:t>2010</w:t>
            </w:r>
          </w:p>
        </w:tc>
        <w:tc>
          <w:tcPr>
            <w:tcW w:type="dxa" w:w="1411"/>
            <w:vAlign w:val="center"/>
          </w:tcPr>
          <w:p>
            <w:pPr>
              <w:spacing w:after="0"/>
            </w:pPr>
            <w:r/>
            <w:r>
              <w:rPr>
                <w:rFonts w:ascii="Calibri" w:hAnsi="Calibri"/>
                <w:b w:val="0"/>
                <w:sz w:val="16"/>
              </w:rPr>
              <w:t>RT-qPCR (12-gene)</w:t>
            </w:r>
          </w:p>
        </w:tc>
        <w:tc>
          <w:tcPr>
            <w:tcW w:type="dxa" w:w="1411"/>
            <w:vAlign w:val="center"/>
          </w:tcPr>
          <w:p>
            <w:pPr>
              <w:spacing w:after="0"/>
            </w:pPr>
            <w:r/>
            <w:r>
              <w:rPr>
                <w:rFonts w:ascii="Calibri" w:hAnsi="Calibri"/>
                <w:b w:val="0"/>
                <w:sz w:val="16"/>
              </w:rPr>
              <w:t>1436</w:t>
            </w:r>
          </w:p>
        </w:tc>
        <w:tc>
          <w:tcPr>
            <w:tcW w:type="dxa" w:w="1411"/>
            <w:vAlign w:val="center"/>
          </w:tcPr>
          <w:p>
            <w:pPr>
              <w:spacing w:after="0"/>
            </w:pPr>
            <w:r/>
            <w:r>
              <w:rPr>
                <w:rFonts w:ascii="Calibri" w:hAnsi="Calibri"/>
                <w:b w:val="0"/>
                <w:sz w:val="16"/>
              </w:rPr>
              <w:t>~0.680 (AUC)</w:t>
            </w:r>
          </w:p>
        </w:tc>
        <w:tc>
          <w:tcPr>
            <w:tcW w:type="dxa" w:w="1411"/>
            <w:vAlign w:val="center"/>
          </w:tcPr>
          <w:p>
            <w:pPr>
              <w:spacing w:after="0"/>
            </w:pPr>
            <w:r/>
            <w:r>
              <w:rPr>
                <w:rFonts w:ascii="Calibri" w:hAnsi="Calibri"/>
                <w:b w:val="0"/>
                <w:sz w:val="16"/>
              </w:rPr>
              <w:t>No (Clinical recurrence)</w:t>
            </w:r>
          </w:p>
        </w:tc>
        <w:tc>
          <w:tcPr>
            <w:tcW w:type="dxa" w:w="1411"/>
            <w:vAlign w:val="center"/>
          </w:tcPr>
          <w:p>
            <w:pPr>
              <w:spacing w:after="0"/>
            </w:pPr>
            <w:r/>
            <w:r>
              <w:rPr>
                <w:rFonts w:ascii="Calibri" w:hAnsi="Calibri"/>
                <w:b w:val="0"/>
                <w:sz w:val="16"/>
              </w:rPr>
              <w:t>Yes (RT-qPCR alignment)</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The top features MCM10, SPC25, NCAPH, and RFC4 reflect biological evidence of transcriptional remodeling downstream of cell-cycle entry. MCM10 supports active DNA replication by promoting isomerization of the CMG helicase-DNA complex, which allows the replisome to bypass lagging-strand blocks (Langston et al., 2017). Coordinated expression of MCM10 and RFC4, which recruits DNA polymerase delta to repair and replication sites (Overmeer et al., 2010), aligns with the model's reliance on replication machinery. SPC25 is a subunit of the NDC80 kinetochore complex required for proper kinetochore-microtubule attachment and chromosome segregation (Bharadwaj et al., 2004). NCAPH participates in condensin I complex assembly, which is required for chromosome condensation and survival in proliferating cells (Seipold et al., 2009). Since these genes operate downstream of cell-cycle checkpoints, their upregulation matches the demands of cell division. This aligns with the enrichment of processes such as DNA replication (GO:0006260), mitotic spindle organization (GO:0007017), and rRNA processing (GO:0006364), suggesting our leakage-free features capture genuine cell growth pathways.</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&amp; Diversity: GEO GSE39582 (n=585) is moderate-sized. The CPTAC-COAD cohort (n=105) is small, with only 7 survival events, limiting survival analysis power.</w:t>
      </w:r>
    </w:p>
    <w:p>
      <w:pPr>
        <w:pStyle w:val="ListBullet"/>
        <w:spacing w:after="60"/>
      </w:pPr>
      <w:r>
        <w:rPr>
          <w:rFonts w:ascii="Calibri" w:hAnsi="Calibri"/>
          <w:color w:val="141F2B"/>
          <w:sz w:val="20"/>
        </w:rPr>
        <w:t>Target Construction Methodology: Binarizing continuous proliferation scores at the median is standard but arbitrary. Continuous risk score modeling could be explored.</w:t>
      </w:r>
    </w:p>
    <w:p>
      <w:pPr>
        <w:pStyle w:val="ListBullet"/>
        <w:spacing w:after="60"/>
      </w:pPr>
      <w:r>
        <w:rPr>
          <w:rFonts w:ascii="Calibri" w:hAnsi="Calibri"/>
          <w:color w:val="141F2B"/>
          <w:sz w:val="20"/>
        </w:rPr>
        <w:t>Feature Space Drift: Different sequencing dynamic ranges between microarray and RNA-seq required post-hoc calibration to restore raw classification accuracy.</w:t>
      </w:r>
    </w:p>
    <w:p>
      <w:pPr>
        <w:pStyle w:val="ListBullet"/>
        <w:spacing w:after="60"/>
      </w:pPr>
      <w:r>
        <w:rPr>
          <w:rFonts w:ascii="Calibri" w:hAnsi="Calibri"/>
          <w:color w:val="141F2B"/>
          <w:sz w:val="20"/>
        </w:rPr>
        <w:t>Association vs. Causality: SHAP feature scores identify correlations rather than mechanistic biological interactions.</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Clinical Trial: Apply the Top-3 Ensemble model prospectively to new COAD patient biopsy cohorts.</w:t>
      </w:r>
    </w:p>
    <w:p>
      <w:pPr>
        <w:pStyle w:val="ListBullet"/>
        <w:spacing w:after="60"/>
      </w:pPr>
      <w:r>
        <w:rPr>
          <w:rFonts w:ascii="Calibri" w:hAnsi="Calibri"/>
          <w:color w:val="141F2B"/>
          <w:sz w:val="20"/>
        </w:rPr>
        <w:t>Wet-lab Validation: Perform qPCR knock-out assays on top SHAP genes (e.g., RPS3, RPS11) to confirm cellular growth regulation roles.</w:t>
      </w:r>
    </w:p>
    <w:p>
      <w:pPr>
        <w:pStyle w:val="ListBullet"/>
        <w:spacing w:after="60"/>
      </w:pPr>
      <w:r>
        <w:rPr>
          <w:rFonts w:ascii="Calibri" w:hAnsi="Calibri"/>
          <w:color w:val="141F2B"/>
          <w:sz w:val="20"/>
        </w:rPr>
        <w:t>Multi-omics Integration: Integrate genomic copy number variations (CNVs) and somatic mutation cascades into feature spaces.</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https://github.com/Ronisnotasianfr/colon-cancer-predictor.</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