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AI-Native Event-Driven Procure-to-Pay Platform</w:t>
      </w:r>
    </w:p>
    <w:p>
      <w:r>
        <w:t>Comprehensive Product &amp; Architecture Blueprint for Internal Financial Intelligence System</w:t>
      </w:r>
    </w:p>
    <w:p>
      <w:pPr>
        <w:pStyle w:val="Heading2"/>
      </w:pPr>
      <w:r>
        <w:t>1. Strategic Vision</w:t>
      </w:r>
    </w:p>
    <w:p>
      <w:r>
        <w:t xml:space="preserve">Build an AI-powered, event-driven, modular Procure-to-Pay platform that transforms financial operations </w:t>
        <w:br/>
        <w:t>from manual workflows into autonomous financial intelligence.</w:t>
        <w:br/>
        <w:br/>
        <w:t>Objectives:</w:t>
        <w:br/>
        <w:t>- Automate procurement workflows end-to-end</w:t>
        <w:br/>
        <w:t>- Perform intelligent invoice processing with OCR</w:t>
        <w:br/>
        <w:t>- Ensure GST compliance via GSP integration</w:t>
        <w:br/>
        <w:t>- Optimize working capital and payment timing</w:t>
        <w:br/>
        <w:t>- Enable modular AI agents to assist and automate decisions</w:t>
      </w:r>
    </w:p>
    <w:p>
      <w:pPr>
        <w:pStyle w:val="Heading2"/>
      </w:pPr>
      <w:r>
        <w:t>2. Architectural Principles</w:t>
      </w:r>
    </w:p>
    <w:p>
      <w:r>
        <w:t>- Event-Driven Architecture</w:t>
        <w:br/>
        <w:t>- Microservices with bounded contexts</w:t>
        <w:br/>
        <w:t>- AI-Augmented Decisioning Layer</w:t>
        <w:br/>
        <w:t>- Audit-First Engineering</w:t>
        <w:br/>
        <w:t>- Pluggable Integration Adapters</w:t>
      </w:r>
    </w:p>
    <w:p>
      <w:pPr>
        <w:pStyle w:val="Heading2"/>
      </w:pPr>
      <w:r>
        <w:t>3. Layered Architecture</w:t>
      </w:r>
    </w:p>
    <w:p>
      <w:r>
        <w:t>Layer 1: Core Microservices</w:t>
        <w:br/>
        <w:t xml:space="preserve">  - Supplier Service</w:t>
        <w:br/>
        <w:t xml:space="preserve">  - PR/PO Service</w:t>
        <w:br/>
        <w:t xml:space="preserve">  - GRN Service</w:t>
        <w:br/>
        <w:t xml:space="preserve">  - Invoice Service</w:t>
        <w:br/>
        <w:t xml:space="preserve">  - Matching Engine</w:t>
        <w:br/>
        <w:t xml:space="preserve">  - Workflow Engine</w:t>
        <w:br/>
        <w:t xml:space="preserve">  - GST/GSP Adapter</w:t>
        <w:br/>
        <w:t xml:space="preserve">  - Payment Engine</w:t>
        <w:br/>
        <w:t xml:space="preserve">  - Reconciliation Engine</w:t>
        <w:br/>
        <w:br/>
        <w:t>Layer 2: Event Bus (Kafka/NATS)</w:t>
        <w:br/>
        <w:t xml:space="preserve">  - All services emit domain events</w:t>
        <w:br/>
        <w:t xml:space="preserve">  - Asynchronous processing</w:t>
        <w:br/>
        <w:br/>
        <w:t>Layer 3: AI Agent Layer</w:t>
        <w:br/>
        <w:t xml:space="preserve">  - Invoice Coding Agent</w:t>
        <w:br/>
        <w:t xml:space="preserve">  - Risk Agent</w:t>
        <w:br/>
        <w:t xml:space="preserve">  - Fraud Detection Agent</w:t>
        <w:br/>
        <w:t xml:space="preserve">  - Cash Optimization Agent</w:t>
        <w:br/>
        <w:t xml:space="preserve">  - SLA Prediction Agent</w:t>
        <w:br/>
        <w:br/>
        <w:t>Layer 4: AI Orchestrator</w:t>
        <w:br/>
        <w:t xml:space="preserve">  - Aggregates agent responses</w:t>
        <w:br/>
        <w:t xml:space="preserve">  - Applies decision policy</w:t>
        <w:br/>
        <w:t xml:space="preserve">  - Triggers approvals, escalations, or auto-processing</w:t>
        <w:br/>
        <w:br/>
        <w:t>Layer 5: External Integrations</w:t>
        <w:br/>
        <w:t xml:space="preserve">  - ERP Systems</w:t>
        <w:br/>
        <w:t xml:space="preserve">  - Banks</w:t>
        <w:br/>
        <w:t xml:space="preserve">  - GST/GSP APIs</w:t>
        <w:br/>
        <w:t xml:space="preserve">  - Email Systems</w:t>
        <w:br/>
        <w:t xml:space="preserve">  - Supplier Portal</w:t>
      </w:r>
    </w:p>
    <w:p>
      <w:pPr>
        <w:pStyle w:val="Heading2"/>
      </w:pPr>
      <w:r>
        <w:t>4. Event-Driven Processing Model</w:t>
      </w:r>
    </w:p>
    <w:p>
      <w:r>
        <w:t>Example Invoice Flow:</w:t>
        <w:br/>
        <w:br/>
        <w:t>1. InvoiceCaptured</w:t>
        <w:br/>
        <w:t>2. InvoiceExtracted</w:t>
        <w:br/>
        <w:t>3. InvoiceValidated</w:t>
        <w:br/>
        <w:t>4. InvoiceMatched</w:t>
        <w:br/>
        <w:t>5. AI Agent Evaluation</w:t>
        <w:br/>
        <w:t>6. Orchestrator Decision</w:t>
        <w:br/>
        <w:t>7. Approval or Auto-Approval</w:t>
        <w:br/>
        <w:t>8. PaymentInitiated</w:t>
        <w:br/>
        <w:t>9. ReconciliationCompleted</w:t>
        <w:br/>
        <w:br/>
        <w:t>All communication must be asynchronous via events.</w:t>
        <w:br/>
        <w:t>All services must be idempotent.</w:t>
        <w:br/>
        <w:t>All decisions must be logged for audit.</w:t>
      </w:r>
    </w:p>
    <w:p>
      <w:pPr>
        <w:pStyle w:val="Heading2"/>
      </w:pPr>
      <w:r>
        <w:t>5. AI Agent Framework</w:t>
      </w:r>
    </w:p>
    <w:p>
      <w:r>
        <w:t>Each AI Agent:</w:t>
        <w:br/>
        <w:t>- Subscribes to domain events</w:t>
        <w:br/>
        <w:t>- Performs inference on structured data</w:t>
        <w:br/>
        <w:t>- Emits recommendation events</w:t>
        <w:br/>
        <w:t>- Includes confidence scoring</w:t>
        <w:br/>
        <w:t>- Logs model version and reasoning trace</w:t>
        <w:br/>
        <w:br/>
        <w:t>Agents must be modular, versioned, and independently deployable.</w:t>
      </w:r>
    </w:p>
    <w:p>
      <w:pPr>
        <w:pStyle w:val="Heading2"/>
      </w:pPr>
      <w:r>
        <w:t>6. Compliance &amp; Controls</w:t>
      </w:r>
    </w:p>
    <w:p>
      <w:r>
        <w:t>- GSTIN validation via GSP adapter</w:t>
        <w:br/>
        <w:t>- IRN generation and cancellation</w:t>
        <w:br/>
        <w:t>- Immutable audit logs</w:t>
        <w:br/>
        <w:t>- Role-based access control</w:t>
        <w:br/>
        <w:t>- Data encryption at rest and in transit</w:t>
      </w:r>
    </w:p>
    <w:p>
      <w:pPr>
        <w:pStyle w:val="Heading2"/>
      </w:pPr>
      <w:r>
        <w:t>7. Non-Functional Requirements</w:t>
      </w:r>
    </w:p>
    <w:p>
      <w:r>
        <w:t>- Horizontal scalability</w:t>
        <w:br/>
        <w:t>- 100k+ invoices/month</w:t>
        <w:br/>
        <w:t>- Distributed tracing</w:t>
        <w:br/>
        <w:t>- Observability metrics</w:t>
        <w:br/>
        <w:t>- Retry strategy with dead-letter queues</w:t>
        <w:br/>
        <w:t>- Versioned event schema</w:t>
      </w:r>
    </w:p>
    <w:p>
      <w:pPr>
        <w:pStyle w:val="Heading2"/>
      </w:pPr>
      <w:r>
        <w:t>8. Implementation Phases</w:t>
      </w:r>
    </w:p>
    <w:p>
      <w:r>
        <w:t>Phase 0: Foundation</w:t>
        <w:br/>
        <w:t>- Event bus setup</w:t>
        <w:br/>
        <w:t>- Domain modeling</w:t>
        <w:br/>
        <w:t>- Identity &amp; RBAC</w:t>
        <w:br/>
        <w:br/>
        <w:t>Phase 1: Core P2P</w:t>
        <w:br/>
        <w:t>- Supplier, PR/PO, Invoice, Matching</w:t>
        <w:br/>
        <w:t>- Basic OCR</w:t>
        <w:br/>
        <w:t>- Advisory AI</w:t>
        <w:br/>
        <w:br/>
        <w:t>Phase 2: Compliance &amp; Automation</w:t>
        <w:br/>
        <w:t>- IRN integration</w:t>
        <w:br/>
        <w:t>- Bank integration</w:t>
        <w:br/>
        <w:t>- Reconciliation</w:t>
        <w:br/>
        <w:t>- Risk &amp; GST Agents</w:t>
        <w:br/>
        <w:br/>
        <w:t>Phase 3: Autonomous Finance</w:t>
        <w:br/>
        <w:t>- Fraud detection</w:t>
        <w:br/>
        <w:t>- Working capital optimization</w:t>
        <w:br/>
        <w:t>- Predictive analytics</w:t>
      </w:r>
    </w:p>
    <w:p>
      <w:pPr>
        <w:pStyle w:val="Heading2"/>
      </w:pPr>
      <w:r>
        <w:t>9. AI Architecture Generation Prompt</w:t>
      </w:r>
    </w:p>
    <w:p>
      <w:r>
        <w:t>Design a modular, event-driven AI-native Procure-to-Pay platform.</w:t>
        <w:br/>
        <w:br/>
        <w:t>Constraints:</w:t>
        <w:br/>
        <w:t>- Microservices architecture</w:t>
        <w:br/>
        <w:t>- Domain-driven design</w:t>
        <w:br/>
        <w:t>- Event sourcing</w:t>
        <w:br/>
        <w:t>- Async processing</w:t>
        <w:br/>
        <w:t>- Idempotent APIs</w:t>
        <w:br/>
        <w:t>- Audit-first engineering</w:t>
        <w:br/>
        <w:br/>
        <w:t>Deliver:</w:t>
        <w:br/>
        <w:t>- Service boundaries</w:t>
        <w:br/>
        <w:t>- Event schema definitions</w:t>
        <w:br/>
        <w:t>- API contracts</w:t>
        <w:br/>
        <w:t>- Database schemas</w:t>
        <w:br/>
        <w:t>- Retry and idempotency strategies</w:t>
        <w:br/>
        <w:t>- AI agent orchestration flow</w:t>
        <w:br/>
        <w:t>- Observability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