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Software Requirements Specification (SRS) – Account Management</w:t>
      </w:r>
    </w:p>
    <w:p>
      <w:pPr>
        <w:jc w:val="center"/>
      </w:pPr>
      <w:r>
        <w:rPr>
          <w:color w:val="000000"/>
        </w:rPr>
        <w:t>Project: Bank Management System | Version: 1.0</w:t>
        <w:br/>
        <w:t>Authors: [Team name] — Nithin Kumar, Vijay Kumar, Vikas Vittal Aihole, Guruteja</w:t>
        <w:br/>
        <w:t>Date: 12-10-2026 | Status: Draft</w:t>
      </w:r>
    </w:p>
    <w:p/>
    <w:p>
      <w:pPr>
        <w:pStyle w:val="Heading1"/>
      </w:pPr>
      <w:r>
        <w:rPr>
          <w:color w:val="000000"/>
        </w:rPr>
        <w:t>4.2 Account Management</w:t>
      </w:r>
    </w:p>
    <w:p>
      <w:r>
        <w:rPr>
          <w:color w:val="000000"/>
        </w:rPr>
        <w:t>Description: This feature set allows authorized Tellers to open accounts, update customer contact details and search customers, allows Admins to freeze, unfreeze or close accounts, and allows Customers to view the details and current balance of only their own accounts. Account opening follows the onboarding and minimum-balance rules in the shared BMS baseline. The requirements below are to be integrated by Member 1 into the single final SRS.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81"/>
        <w:gridCol w:w="1481"/>
        <w:gridCol w:w="1481"/>
        <w:gridCol w:w="1481"/>
        <w:gridCol w:w="1481"/>
        <w:gridCol w:w="1481"/>
        <w:gridCol w:w="1481"/>
      </w:tblGrid>
      <w:tr>
        <w:trPr>
          <w:tblHeader w:val="true"/>
        </w:trPr>
        <w:tc>
          <w:tcPr>
            <w:tcW w:type="dxa" w:w="1481"/>
            <w:vAlign w:val="top"/>
            <w:shd w:fill="FFFFFF" w:val="clear"/>
          </w:tcPr>
          <w:p>
            <w:pPr>
              <w:spacing w:after="0"/>
            </w:pPr>
            <w:r>
              <w:rPr>
                <w:color w:val="000000"/>
              </w:rPr>
            </w:r>
            <w:r>
              <w:rPr>
                <w:b/>
                <w:color w:val="000000"/>
                <w:sz w:val="14"/>
              </w:rPr>
              <w:t>Req ID</w:t>
            </w:r>
          </w:p>
        </w:tc>
        <w:tc>
          <w:tcPr>
            <w:tcW w:type="dxa" w:w="1481"/>
            <w:vAlign w:val="top"/>
            <w:shd w:fill="FFFFFF" w:val="clear"/>
          </w:tcPr>
          <w:p>
            <w:pPr>
              <w:spacing w:after="0"/>
            </w:pPr>
            <w:r>
              <w:rPr>
                <w:color w:val="000000"/>
              </w:rPr>
            </w:r>
            <w:r>
              <w:rPr>
                <w:b/>
                <w:color w:val="000000"/>
                <w:sz w:val="14"/>
              </w:rPr>
              <w:t>Requirement (shall…)</w:t>
            </w:r>
          </w:p>
        </w:tc>
        <w:tc>
          <w:tcPr>
            <w:tcW w:type="dxa" w:w="1481"/>
            <w:vAlign w:val="top"/>
            <w:shd w:fill="FFFFFF" w:val="clear"/>
          </w:tcPr>
          <w:p>
            <w:pPr>
              <w:spacing w:after="0"/>
            </w:pPr>
            <w:r>
              <w:rPr>
                <w:color w:val="000000"/>
              </w:rPr>
            </w:r>
            <w:r>
              <w:rPr>
                <w:b/>
                <w:color w:val="000000"/>
                <w:sz w:val="14"/>
              </w:rPr>
              <w:t>Type</w:t>
            </w:r>
          </w:p>
        </w:tc>
        <w:tc>
          <w:tcPr>
            <w:tcW w:type="dxa" w:w="1481"/>
            <w:vAlign w:val="top"/>
            <w:shd w:fill="FFFFFF" w:val="clear"/>
          </w:tcPr>
          <w:p>
            <w:pPr>
              <w:spacing w:after="0"/>
            </w:pPr>
            <w:r>
              <w:rPr>
                <w:color w:val="000000"/>
              </w:rPr>
            </w:r>
            <w:r>
              <w:rPr>
                <w:b/>
                <w:color w:val="000000"/>
                <w:sz w:val="14"/>
              </w:rPr>
              <w:t>Priority</w:t>
            </w:r>
          </w:p>
        </w:tc>
        <w:tc>
          <w:tcPr>
            <w:tcW w:type="dxa" w:w="1481"/>
            <w:vAlign w:val="top"/>
            <w:shd w:fill="FFFFFF" w:val="clear"/>
          </w:tcPr>
          <w:p>
            <w:pPr>
              <w:spacing w:after="0"/>
            </w:pPr>
            <w:r>
              <w:rPr>
                <w:color w:val="000000"/>
              </w:rPr>
            </w:r>
            <w:r>
              <w:rPr>
                <w:b/>
                <w:color w:val="000000"/>
                <w:sz w:val="14"/>
              </w:rPr>
              <w:t>Source / Stakeholder</w:t>
            </w:r>
          </w:p>
        </w:tc>
        <w:tc>
          <w:tcPr>
            <w:tcW w:type="dxa" w:w="1481"/>
            <w:vAlign w:val="top"/>
            <w:shd w:fill="FFFFFF" w:val="clear"/>
          </w:tcPr>
          <w:p>
            <w:pPr>
              <w:spacing w:after="0"/>
            </w:pPr>
            <w:r>
              <w:rPr>
                <w:color w:val="000000"/>
              </w:rPr>
            </w:r>
            <w:r>
              <w:rPr>
                <w:b/>
                <w:color w:val="000000"/>
                <w:sz w:val="14"/>
              </w:rPr>
              <w:t>Acceptance criteria / Test case ref</w:t>
            </w:r>
          </w:p>
        </w:tc>
        <w:tc>
          <w:tcPr>
            <w:tcW w:type="dxa" w:w="1481"/>
            <w:vAlign w:val="top"/>
            <w:shd w:fill="FFFFFF" w:val="clear"/>
          </w:tcPr>
          <w:p>
            <w:pPr>
              <w:spacing w:after="0"/>
            </w:pPr>
            <w:r>
              <w:rPr>
                <w:color w:val="000000"/>
              </w:rPr>
            </w:r>
            <w:r>
              <w:rPr>
                <w:b/>
                <w:color w:val="000000"/>
                <w:sz w:val="14"/>
              </w:rPr>
              <w:t>Comments / Dependencies</w:t>
            </w:r>
          </w:p>
        </w:tc>
      </w:tr>
      <w:tr>
        <w:tc>
          <w:tcPr>
            <w:tcW w:type="dxa" w:w="1481"/>
            <w:vAlign w:val="top"/>
            <w:shd w:fill="FFFFFF" w:val="clear"/>
          </w:tcPr>
          <w:p>
            <w:pPr>
              <w:spacing w:after="0"/>
            </w:pPr>
            <w:r>
              <w:rPr>
                <w:color w:val="000000"/>
              </w:rPr>
            </w:r>
            <w:r>
              <w:rPr>
                <w:b w:val="0"/>
                <w:color w:val="000000"/>
                <w:sz w:val="14"/>
              </w:rPr>
              <w:t>BMS-F-010</w:t>
            </w:r>
          </w:p>
        </w:tc>
        <w:tc>
          <w:tcPr>
            <w:tcW w:type="dxa" w:w="1481"/>
            <w:vAlign w:val="top"/>
            <w:shd w:fill="FFFFFF" w:val="clear"/>
          </w:tcPr>
          <w:p>
            <w:pPr>
              <w:spacing w:after="0"/>
            </w:pPr>
            <w:r>
              <w:rPr>
                <w:color w:val="000000"/>
              </w:rPr>
            </w:r>
            <w:r>
              <w:rPr>
                <w:b w:val="0"/>
                <w:color w:val="000000"/>
                <w:sz w:val="14"/>
              </w:rPr>
              <w:t>The system shall allow a Teller to open a Savings or Current account by capturing name, date of birth, address, phone, ID-proof number and an opening deposit that meets the minimum balance (BR-01), and shall create a Customer login with a system-generated temporary password for a customer who has none.</w:t>
            </w:r>
          </w:p>
        </w:tc>
        <w:tc>
          <w:tcPr>
            <w:tcW w:type="dxa" w:w="1481"/>
            <w:vAlign w:val="top"/>
            <w:shd w:fill="FFFFFF" w:val="clear"/>
          </w:tcPr>
          <w:p>
            <w:pPr>
              <w:spacing w:after="0"/>
            </w:pPr>
            <w:r>
              <w:rPr>
                <w:color w:val="000000"/>
              </w:rPr>
            </w:r>
            <w:r>
              <w:rPr>
                <w:b w:val="0"/>
                <w:color w:val="000000"/>
                <w:sz w:val="14"/>
              </w:rPr>
              <w:t>Functional</w:t>
            </w:r>
          </w:p>
        </w:tc>
        <w:tc>
          <w:tcPr>
            <w:tcW w:type="dxa" w:w="1481"/>
            <w:vAlign w:val="top"/>
            <w:shd w:fill="FFFFFF" w:val="clear"/>
          </w:tcPr>
          <w:p>
            <w:pPr>
              <w:spacing w:after="0"/>
            </w:pPr>
            <w:r>
              <w:rPr>
                <w:color w:val="000000"/>
              </w:rPr>
            </w:r>
            <w:r>
              <w:rPr>
                <w:b w:val="0"/>
                <w:color w:val="000000"/>
                <w:sz w:val="14"/>
              </w:rPr>
              <w:t>High</w:t>
            </w:r>
          </w:p>
        </w:tc>
        <w:tc>
          <w:tcPr>
            <w:tcW w:type="dxa" w:w="1481"/>
            <w:vAlign w:val="top"/>
            <w:shd w:fill="FFFFFF" w:val="clear"/>
          </w:tcPr>
          <w:p>
            <w:pPr>
              <w:spacing w:after="0"/>
            </w:pPr>
            <w:r>
              <w:rPr>
                <w:color w:val="000000"/>
              </w:rPr>
            </w:r>
            <w:r>
              <w:rPr>
                <w:b w:val="0"/>
                <w:color w:val="000000"/>
                <w:sz w:val="14"/>
              </w:rPr>
              <w:t>Bank Operations</w:t>
            </w:r>
          </w:p>
        </w:tc>
        <w:tc>
          <w:tcPr>
            <w:tcW w:type="dxa" w:w="1481"/>
            <w:vAlign w:val="top"/>
            <w:shd w:fill="FFFFFF" w:val="clear"/>
          </w:tcPr>
          <w:p>
            <w:pPr>
              <w:spacing w:after="0"/>
            </w:pPr>
            <w:r>
              <w:rPr>
                <w:color w:val="000000"/>
              </w:rPr>
            </w:r>
            <w:r>
              <w:rPr>
                <w:b w:val="0"/>
                <w:color w:val="000000"/>
                <w:sz w:val="14"/>
              </w:rPr>
              <w:t>Unique 10-digit account number generated; status = Active; opening deposit recorded as a transaction; Customer login created (username = customer ID) with a temporary password shown once to the Teller; no new login for an existing customer. Test: TC-Acc-01.</w:t>
            </w:r>
          </w:p>
        </w:tc>
        <w:tc>
          <w:tcPr>
            <w:tcW w:type="dxa" w:w="1481"/>
            <w:vAlign w:val="top"/>
            <w:shd w:fill="FFFFFF" w:val="clear"/>
          </w:tcPr>
          <w:p>
            <w:pPr>
              <w:spacing w:after="0"/>
            </w:pPr>
            <w:r>
              <w:rPr>
                <w:color w:val="000000"/>
              </w:rPr>
            </w:r>
            <w:r>
              <w:rPr>
                <w:b w:val="0"/>
                <w:color w:val="000000"/>
                <w:sz w:val="14"/>
              </w:rPr>
              <w:t>Depends on BR-01, BR-06, BR-08; DS-ACC, DS-AUTH, DS-TXN, DS-DB. Temporary password must be changed at first login under BMS-F-004.</w:t>
            </w:r>
          </w:p>
        </w:tc>
      </w:tr>
      <w:tr>
        <w:tc>
          <w:tcPr>
            <w:tcW w:type="dxa" w:w="1481"/>
            <w:vAlign w:val="top"/>
            <w:shd w:fill="FFFFFF" w:val="clear"/>
          </w:tcPr>
          <w:p>
            <w:pPr>
              <w:spacing w:after="0"/>
            </w:pPr>
            <w:r>
              <w:rPr>
                <w:color w:val="000000"/>
              </w:rPr>
            </w:r>
            <w:r>
              <w:rPr>
                <w:b w:val="0"/>
                <w:color w:val="000000"/>
                <w:sz w:val="14"/>
              </w:rPr>
              <w:t>BMS-F-011</w:t>
            </w:r>
          </w:p>
        </w:tc>
        <w:tc>
          <w:tcPr>
            <w:tcW w:type="dxa" w:w="1481"/>
            <w:vAlign w:val="top"/>
            <w:shd w:fill="FFFFFF" w:val="clear"/>
          </w:tcPr>
          <w:p>
            <w:pPr>
              <w:spacing w:after="0"/>
            </w:pPr>
            <w:r>
              <w:rPr>
                <w:color w:val="000000"/>
              </w:rPr>
            </w:r>
            <w:r>
              <w:rPr>
                <w:b w:val="0"/>
                <w:color w:val="000000"/>
                <w:sz w:val="14"/>
              </w:rPr>
              <w:t>The system shall allow a Teller to update a customer's phone, e-mail and address and record the old and new values.</w:t>
            </w:r>
          </w:p>
        </w:tc>
        <w:tc>
          <w:tcPr>
            <w:tcW w:type="dxa" w:w="1481"/>
            <w:vAlign w:val="top"/>
            <w:shd w:fill="FFFFFF" w:val="clear"/>
          </w:tcPr>
          <w:p>
            <w:pPr>
              <w:spacing w:after="0"/>
            </w:pPr>
            <w:r>
              <w:rPr>
                <w:color w:val="000000"/>
              </w:rPr>
            </w:r>
            <w:r>
              <w:rPr>
                <w:b w:val="0"/>
                <w:color w:val="000000"/>
                <w:sz w:val="14"/>
              </w:rPr>
              <w:t>Functional</w:t>
            </w:r>
          </w:p>
        </w:tc>
        <w:tc>
          <w:tcPr>
            <w:tcW w:type="dxa" w:w="1481"/>
            <w:vAlign w:val="top"/>
            <w:shd w:fill="FFFFFF" w:val="clear"/>
          </w:tcPr>
          <w:p>
            <w:pPr>
              <w:spacing w:after="0"/>
            </w:pPr>
            <w:r>
              <w:rPr>
                <w:color w:val="000000"/>
              </w:rPr>
            </w:r>
            <w:r>
              <w:rPr>
                <w:b w:val="0"/>
                <w:color w:val="000000"/>
                <w:sz w:val="14"/>
              </w:rPr>
              <w:t>Medium</w:t>
            </w:r>
          </w:p>
        </w:tc>
        <w:tc>
          <w:tcPr>
            <w:tcW w:type="dxa" w:w="1481"/>
            <w:vAlign w:val="top"/>
            <w:shd w:fill="FFFFFF" w:val="clear"/>
          </w:tcPr>
          <w:p>
            <w:pPr>
              <w:spacing w:after="0"/>
            </w:pPr>
            <w:r>
              <w:rPr>
                <w:color w:val="000000"/>
              </w:rPr>
            </w:r>
            <w:r>
              <w:rPr>
                <w:b w:val="0"/>
                <w:color w:val="000000"/>
                <w:sz w:val="14"/>
              </w:rPr>
              <w:t>Bank Operations</w:t>
            </w:r>
          </w:p>
        </w:tc>
        <w:tc>
          <w:tcPr>
            <w:tcW w:type="dxa" w:w="1481"/>
            <w:vAlign w:val="top"/>
            <w:shd w:fill="FFFFFF" w:val="clear"/>
          </w:tcPr>
          <w:p>
            <w:pPr>
              <w:spacing w:after="0"/>
            </w:pPr>
            <w:r>
              <w:rPr>
                <w:color w:val="000000"/>
              </w:rPr>
            </w:r>
            <w:r>
              <w:rPr>
                <w:b w:val="0"/>
                <w:color w:val="000000"/>
                <w:sz w:val="14"/>
              </w:rPr>
              <w:t>Updated values are visible immediately; an audit entry holds old and new values. Test: TC-Acc-02.</w:t>
            </w:r>
          </w:p>
        </w:tc>
        <w:tc>
          <w:tcPr>
            <w:tcW w:type="dxa" w:w="1481"/>
            <w:vAlign w:val="top"/>
            <w:shd w:fill="FFFFFF" w:val="clear"/>
          </w:tcPr>
          <w:p>
            <w:pPr>
              <w:spacing w:after="0"/>
            </w:pPr>
            <w:r>
              <w:rPr>
                <w:color w:val="000000"/>
              </w:rPr>
            </w:r>
            <w:r>
              <w:rPr>
                <w:b w:val="0"/>
                <w:color w:val="000000"/>
                <w:sz w:val="14"/>
              </w:rPr>
              <w:t>Depends on audit recording; DS-ACC and DS-AUD.</w:t>
            </w:r>
          </w:p>
        </w:tc>
      </w:tr>
      <w:tr>
        <w:tc>
          <w:tcPr>
            <w:tcW w:type="dxa" w:w="1481"/>
            <w:vAlign w:val="top"/>
            <w:shd w:fill="FFFFFF" w:val="clear"/>
          </w:tcPr>
          <w:p>
            <w:pPr>
              <w:spacing w:after="0"/>
            </w:pPr>
            <w:r>
              <w:rPr>
                <w:color w:val="000000"/>
              </w:rPr>
            </w:r>
            <w:r>
              <w:rPr>
                <w:b w:val="0"/>
                <w:color w:val="000000"/>
                <w:sz w:val="14"/>
              </w:rPr>
              <w:t>BMS-F-012</w:t>
            </w:r>
          </w:p>
        </w:tc>
        <w:tc>
          <w:tcPr>
            <w:tcW w:type="dxa" w:w="1481"/>
            <w:vAlign w:val="top"/>
            <w:shd w:fill="FFFFFF" w:val="clear"/>
          </w:tcPr>
          <w:p>
            <w:pPr>
              <w:spacing w:after="0"/>
            </w:pPr>
            <w:r>
              <w:rPr>
                <w:color w:val="000000"/>
              </w:rPr>
            </w:r>
            <w:r>
              <w:rPr>
                <w:b w:val="0"/>
                <w:color w:val="000000"/>
                <w:sz w:val="14"/>
              </w:rPr>
              <w:t>The system shall allow an Admin to freeze, unfreeze or close an account; closure is permitted only when the balance is ₹0.</w:t>
            </w:r>
          </w:p>
        </w:tc>
        <w:tc>
          <w:tcPr>
            <w:tcW w:type="dxa" w:w="1481"/>
            <w:vAlign w:val="top"/>
            <w:shd w:fill="FFFFFF" w:val="clear"/>
          </w:tcPr>
          <w:p>
            <w:pPr>
              <w:spacing w:after="0"/>
            </w:pPr>
            <w:r>
              <w:rPr>
                <w:color w:val="000000"/>
              </w:rPr>
            </w:r>
            <w:r>
              <w:rPr>
                <w:b w:val="0"/>
                <w:color w:val="000000"/>
                <w:sz w:val="14"/>
              </w:rPr>
              <w:t>Functional</w:t>
            </w:r>
          </w:p>
        </w:tc>
        <w:tc>
          <w:tcPr>
            <w:tcW w:type="dxa" w:w="1481"/>
            <w:vAlign w:val="top"/>
            <w:shd w:fill="FFFFFF" w:val="clear"/>
          </w:tcPr>
          <w:p>
            <w:pPr>
              <w:spacing w:after="0"/>
            </w:pPr>
            <w:r>
              <w:rPr>
                <w:color w:val="000000"/>
              </w:rPr>
            </w:r>
            <w:r>
              <w:rPr>
                <w:b w:val="0"/>
                <w:color w:val="000000"/>
                <w:sz w:val="14"/>
              </w:rPr>
              <w:t>High</w:t>
            </w:r>
          </w:p>
        </w:tc>
        <w:tc>
          <w:tcPr>
            <w:tcW w:type="dxa" w:w="1481"/>
            <w:vAlign w:val="top"/>
            <w:shd w:fill="FFFFFF" w:val="clear"/>
          </w:tcPr>
          <w:p>
            <w:pPr>
              <w:spacing w:after="0"/>
            </w:pPr>
            <w:r>
              <w:rPr>
                <w:color w:val="000000"/>
              </w:rPr>
            </w:r>
            <w:r>
              <w:rPr>
                <w:b w:val="0"/>
                <w:color w:val="000000"/>
                <w:sz w:val="14"/>
              </w:rPr>
              <w:t>Bank Operations / Compliance</w:t>
            </w:r>
          </w:p>
        </w:tc>
        <w:tc>
          <w:tcPr>
            <w:tcW w:type="dxa" w:w="1481"/>
            <w:vAlign w:val="top"/>
            <w:shd w:fill="FFFFFF" w:val="clear"/>
          </w:tcPr>
          <w:p>
            <w:pPr>
              <w:spacing w:after="0"/>
            </w:pPr>
            <w:r>
              <w:rPr>
                <w:color w:val="000000"/>
              </w:rPr>
            </w:r>
            <w:r>
              <w:rPr>
                <w:b w:val="0"/>
                <w:color w:val="000000"/>
                <w:sz w:val="14"/>
              </w:rPr>
              <w:t>Frozen or closed accounts reject all transactions with a clear message; closure is rejected when balance is not ₹0. Test: TC-Acc-03.</w:t>
            </w:r>
          </w:p>
        </w:tc>
        <w:tc>
          <w:tcPr>
            <w:tcW w:type="dxa" w:w="1481"/>
            <w:vAlign w:val="top"/>
            <w:shd w:fill="FFFFFF" w:val="clear"/>
          </w:tcPr>
          <w:p>
            <w:pPr>
              <w:spacing w:after="0"/>
            </w:pPr>
            <w:r>
              <w:rPr>
                <w:color w:val="000000"/>
              </w:rPr>
            </w:r>
            <w:r>
              <w:rPr>
                <w:b w:val="0"/>
                <w:color w:val="000000"/>
                <w:sz w:val="14"/>
              </w:rPr>
              <w:t>Depends on BR-04; DS-ACC and DS-TXN. Authorization must be enforced server-side.</w:t>
            </w:r>
          </w:p>
        </w:tc>
      </w:tr>
      <w:tr>
        <w:tc>
          <w:tcPr>
            <w:tcW w:type="dxa" w:w="1481"/>
            <w:vAlign w:val="top"/>
            <w:shd w:fill="FFFFFF" w:val="clear"/>
          </w:tcPr>
          <w:p>
            <w:pPr>
              <w:spacing w:after="0"/>
            </w:pPr>
            <w:r>
              <w:rPr>
                <w:color w:val="000000"/>
              </w:rPr>
            </w:r>
            <w:r>
              <w:rPr>
                <w:b w:val="0"/>
                <w:color w:val="000000"/>
                <w:sz w:val="14"/>
              </w:rPr>
              <w:t>BMS-F-013</w:t>
            </w:r>
          </w:p>
        </w:tc>
        <w:tc>
          <w:tcPr>
            <w:tcW w:type="dxa" w:w="1481"/>
            <w:vAlign w:val="top"/>
            <w:shd w:fill="FFFFFF" w:val="clear"/>
          </w:tcPr>
          <w:p>
            <w:pPr>
              <w:spacing w:after="0"/>
            </w:pPr>
            <w:r>
              <w:rPr>
                <w:color w:val="000000"/>
              </w:rPr>
            </w:r>
            <w:r>
              <w:rPr>
                <w:b w:val="0"/>
                <w:color w:val="000000"/>
                <w:sz w:val="14"/>
              </w:rPr>
              <w:t>The system shall allow a Customer to view details and current balance of only their own accounts.</w:t>
            </w:r>
          </w:p>
        </w:tc>
        <w:tc>
          <w:tcPr>
            <w:tcW w:type="dxa" w:w="1481"/>
            <w:vAlign w:val="top"/>
            <w:shd w:fill="FFFFFF" w:val="clear"/>
          </w:tcPr>
          <w:p>
            <w:pPr>
              <w:spacing w:after="0"/>
            </w:pPr>
            <w:r>
              <w:rPr>
                <w:color w:val="000000"/>
              </w:rPr>
            </w:r>
            <w:r>
              <w:rPr>
                <w:b w:val="0"/>
                <w:color w:val="000000"/>
                <w:sz w:val="14"/>
              </w:rPr>
              <w:t>Functional</w:t>
            </w:r>
          </w:p>
        </w:tc>
        <w:tc>
          <w:tcPr>
            <w:tcW w:type="dxa" w:w="1481"/>
            <w:vAlign w:val="top"/>
            <w:shd w:fill="FFFFFF" w:val="clear"/>
          </w:tcPr>
          <w:p>
            <w:pPr>
              <w:spacing w:after="0"/>
            </w:pPr>
            <w:r>
              <w:rPr>
                <w:color w:val="000000"/>
              </w:rPr>
            </w:r>
            <w:r>
              <w:rPr>
                <w:b w:val="0"/>
                <w:color w:val="000000"/>
                <w:sz w:val="14"/>
              </w:rPr>
              <w:t>High</w:t>
            </w:r>
          </w:p>
        </w:tc>
        <w:tc>
          <w:tcPr>
            <w:tcW w:type="dxa" w:w="1481"/>
            <w:vAlign w:val="top"/>
            <w:shd w:fill="FFFFFF" w:val="clear"/>
          </w:tcPr>
          <w:p>
            <w:pPr>
              <w:spacing w:after="0"/>
            </w:pPr>
            <w:r>
              <w:rPr>
                <w:color w:val="000000"/>
              </w:rPr>
            </w:r>
            <w:r>
              <w:rPr>
                <w:b w:val="0"/>
                <w:color w:val="000000"/>
                <w:sz w:val="14"/>
              </w:rPr>
              <w:t>Customer</w:t>
            </w:r>
          </w:p>
        </w:tc>
        <w:tc>
          <w:tcPr>
            <w:tcW w:type="dxa" w:w="1481"/>
            <w:vAlign w:val="top"/>
            <w:shd w:fill="FFFFFF" w:val="clear"/>
          </w:tcPr>
          <w:p>
            <w:pPr>
              <w:spacing w:after="0"/>
            </w:pPr>
            <w:r>
              <w:rPr>
                <w:color w:val="000000"/>
              </w:rPr>
            </w:r>
            <w:r>
              <w:rPr>
                <w:b w:val="0"/>
                <w:color w:val="000000"/>
                <w:sz w:val="14"/>
              </w:rPr>
              <w:t>Displayed balance equals the ledger sum; attempting to access another customer’s account returns HTTP 403. Test: TC-Acc-04.</w:t>
            </w:r>
          </w:p>
        </w:tc>
        <w:tc>
          <w:tcPr>
            <w:tcW w:type="dxa" w:w="1481"/>
            <w:vAlign w:val="top"/>
            <w:shd w:fill="FFFFFF" w:val="clear"/>
          </w:tcPr>
          <w:p>
            <w:pPr>
              <w:spacing w:after="0"/>
            </w:pPr>
            <w:r>
              <w:rPr>
                <w:color w:val="000000"/>
              </w:rPr>
            </w:r>
            <w:r>
              <w:rPr>
                <w:b w:val="0"/>
                <w:color w:val="000000"/>
                <w:sz w:val="14"/>
              </w:rPr>
              <w:t>Depends on server-side authorization under BMS-F-003/BMS-SR-004; DS-ACC, DS-AUTH and DS-DB.</w:t>
            </w:r>
          </w:p>
        </w:tc>
      </w:tr>
      <w:tr>
        <w:tc>
          <w:tcPr>
            <w:tcW w:type="dxa" w:w="1481"/>
            <w:vAlign w:val="top"/>
            <w:shd w:fill="FFFFFF" w:val="clear"/>
          </w:tcPr>
          <w:p>
            <w:pPr>
              <w:spacing w:after="0"/>
            </w:pPr>
            <w:r>
              <w:rPr>
                <w:color w:val="000000"/>
              </w:rPr>
            </w:r>
            <w:r>
              <w:rPr>
                <w:b w:val="0"/>
                <w:color w:val="000000"/>
                <w:sz w:val="14"/>
              </w:rPr>
              <w:t>BMS-F-014</w:t>
            </w:r>
          </w:p>
        </w:tc>
        <w:tc>
          <w:tcPr>
            <w:tcW w:type="dxa" w:w="1481"/>
            <w:vAlign w:val="top"/>
            <w:shd w:fill="FFFFFF" w:val="clear"/>
          </w:tcPr>
          <w:p>
            <w:pPr>
              <w:spacing w:after="0"/>
            </w:pPr>
            <w:r>
              <w:rPr>
                <w:color w:val="000000"/>
              </w:rPr>
            </w:r>
            <w:r>
              <w:rPr>
                <w:b w:val="0"/>
                <w:color w:val="000000"/>
                <w:sz w:val="14"/>
              </w:rPr>
              <w:t>The system shall allow a Teller to search customers by name, account number or phone and return results within 2 seconds.</w:t>
            </w:r>
          </w:p>
        </w:tc>
        <w:tc>
          <w:tcPr>
            <w:tcW w:type="dxa" w:w="1481"/>
            <w:vAlign w:val="top"/>
            <w:shd w:fill="FFFFFF" w:val="clear"/>
          </w:tcPr>
          <w:p>
            <w:pPr>
              <w:spacing w:after="0"/>
            </w:pPr>
            <w:r>
              <w:rPr>
                <w:color w:val="000000"/>
              </w:rPr>
            </w:r>
            <w:r>
              <w:rPr>
                <w:b w:val="0"/>
                <w:color w:val="000000"/>
                <w:sz w:val="14"/>
              </w:rPr>
              <w:t>Functional</w:t>
            </w:r>
          </w:p>
        </w:tc>
        <w:tc>
          <w:tcPr>
            <w:tcW w:type="dxa" w:w="1481"/>
            <w:vAlign w:val="top"/>
            <w:shd w:fill="FFFFFF" w:val="clear"/>
          </w:tcPr>
          <w:p>
            <w:pPr>
              <w:spacing w:after="0"/>
            </w:pPr>
            <w:r>
              <w:rPr>
                <w:color w:val="000000"/>
              </w:rPr>
            </w:r>
            <w:r>
              <w:rPr>
                <w:b w:val="0"/>
                <w:color w:val="000000"/>
                <w:sz w:val="14"/>
              </w:rPr>
              <w:t>Medium</w:t>
            </w:r>
          </w:p>
        </w:tc>
        <w:tc>
          <w:tcPr>
            <w:tcW w:type="dxa" w:w="1481"/>
            <w:vAlign w:val="top"/>
            <w:shd w:fill="FFFFFF" w:val="clear"/>
          </w:tcPr>
          <w:p>
            <w:pPr>
              <w:spacing w:after="0"/>
            </w:pPr>
            <w:r>
              <w:rPr>
                <w:color w:val="000000"/>
              </w:rPr>
            </w:r>
            <w:r>
              <w:rPr>
                <w:b w:val="0"/>
                <w:color w:val="000000"/>
                <w:sz w:val="14"/>
              </w:rPr>
              <w:t>Bank Operations</w:t>
            </w:r>
          </w:p>
        </w:tc>
        <w:tc>
          <w:tcPr>
            <w:tcW w:type="dxa" w:w="1481"/>
            <w:vAlign w:val="top"/>
            <w:shd w:fill="FFFFFF" w:val="clear"/>
          </w:tcPr>
          <w:p>
            <w:pPr>
              <w:spacing w:after="0"/>
            </w:pPr>
            <w:r>
              <w:rPr>
                <w:color w:val="000000"/>
              </w:rPr>
            </w:r>
            <w:r>
              <w:rPr>
                <w:b w:val="0"/>
                <w:color w:val="000000"/>
                <w:sz w:val="14"/>
              </w:rPr>
              <w:t>Partial-name search works; searches by account number and phone return matching customers; no match shows “No results”; response is within 2 seconds. Test: TC-Acc-05.</w:t>
            </w:r>
          </w:p>
        </w:tc>
        <w:tc>
          <w:tcPr>
            <w:tcW w:type="dxa" w:w="1481"/>
            <w:vAlign w:val="top"/>
            <w:shd w:fill="FFFFFF" w:val="clear"/>
          </w:tcPr>
          <w:p>
            <w:pPr>
              <w:spacing w:after="0"/>
            </w:pPr>
            <w:r>
              <w:rPr>
                <w:color w:val="000000"/>
              </w:rPr>
            </w:r>
            <w:r>
              <w:rPr>
                <w:b w:val="0"/>
                <w:color w:val="000000"/>
                <w:sz w:val="14"/>
              </w:rPr>
              <w:t>DS-ACC and DS-DB; displayed account numbers must follow BMS-SR-007 masking rules where applicable.</w:t>
            </w:r>
          </w:p>
        </w:tc>
      </w:tr>
    </w:tbl>
    <w:p>
      <w:pPr>
        <w:spacing w:after="0"/>
      </w:pPr>
    </w:p>
    <w:p>
      <w:pPr>
        <w:pStyle w:val="Heading2"/>
      </w:pPr>
      <w:r>
        <w:rPr>
          <w:color w:val="000000"/>
        </w:rPr>
        <w:t>Traceability note</w:t>
      </w:r>
    </w:p>
    <w:p>
      <w:r>
        <w:rPr>
          <w:color w:val="000000"/>
        </w:rPr>
        <w:t>These five requirements are the complete Member 2 Account Management contribution for SRS Section 4.2. Requirement IDs and acceptance criteria follow the shared baseline v1.2 and must not be renumbered. Member 1 will integrate this section into the single final SRS document.</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rPr>
      <w:t>Draft — for integration into the final SRS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rPr>
      <w:t>Bank Management System | SRS Section 4.2 — Account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