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val="false"/>
          <w:bCs w:val="false"/>
          <w:color w:val="999999"/>
          <w:sz w:val="24"/>
          <w:szCs w:val="24"/>
        </w:rPr>
        <w:t xml:space="preserve">Chapter 1</w:t>
      </w:r>
    </w:p>
    <w:p>
      <w:pPr>
        <w:pBdr>
          <w:bottom w:val="single" w:color="2E75B6" w:sz="12" w:space="8"/>
        </w:pBdr>
        <w:spacing w:after="60" w:before="0"/>
        <w:jc w:val="left"/>
      </w:pPr>
      <w:r>
        <w:rPr>
          <w:rFonts w:ascii="Arial" w:cs="Arial" w:eastAsia="Arial" w:hAnsi="Arial"/>
          <w:b/>
          <w:bCs/>
          <w:color w:val="1F3864"/>
          <w:sz w:val="52"/>
          <w:szCs w:val="52"/>
        </w:rPr>
        <w:t xml:space="preserve">Introduction</w:t>
      </w:r>
    </w:p>
    <w:p>
      <w:pPr>
        <w:spacing w:before="320"/>
      </w:pPr>
      <w:r>
        <w:t xml:space="preserve"/>
      </w:r>
    </w:p>
    <w:p>
      <w:pPr>
        <w:pStyle w:val="Heading2"/>
        <w:spacing w:after="160" w:before="360"/>
      </w:pPr>
      <w:r>
        <w:rPr>
          <w:rFonts w:ascii="Arial" w:cs="Arial" w:eastAsia="Arial" w:hAnsi="Arial"/>
          <w:b/>
          <w:bCs/>
          <w:color w:val="2E75B6"/>
          <w:sz w:val="28"/>
          <w:szCs w:val="28"/>
        </w:rPr>
        <w:t xml:space="preserve">1.1  Background</w:t>
      </w:r>
    </w:p>
    <w:p>
      <w:pPr>
        <w:spacing w:after="200" w:before="0"/>
        <w:ind w:firstLine="720"/>
        <w:jc w:val="both"/>
      </w:pPr>
      <w:r>
        <w:rPr>
          <w:rFonts w:ascii="Times New Roman" w:cs="Times New Roman" w:eastAsia="Times New Roman" w:hAnsi="Times New Roman"/>
          <w:color w:val="111111"/>
          <w:sz w:val="24"/>
          <w:szCs w:val="24"/>
        </w:rPr>
        <w:t xml:space="preserve">In the twenty-first century, travel has become deeply intertwined with digital identity. The electronic passport — commonly referred to as the ePassport — represents one of the most widely deployed security-critical systems in civilian infrastructure. Since the International Civil Aviation Organisation (ICAO) mandated the adoption of machine-readable travel documents incorporating embedded radio-frequency identification (RFID) chips under ICAO Doc 9303 (ICAO, 2021), over 150 nations have issued ePassports to their citizens. As of 2024, more than one billion such documents are in active circulation globally, each encoding its holder's personal data, biometric information, and cryptographic credentials on a contactless chip accessible at border control points worldwide.</w:t>
      </w:r>
    </w:p>
    <w:p>
      <w:pPr>
        <w:spacing w:after="200" w:before="0"/>
        <w:ind w:firstLine="720"/>
        <w:jc w:val="both"/>
      </w:pPr>
      <w:r>
        <w:rPr>
          <w:rFonts w:ascii="Times New Roman" w:cs="Times New Roman" w:eastAsia="Times New Roman" w:hAnsi="Times New Roman"/>
          <w:color w:val="111111"/>
          <w:sz w:val="24"/>
          <w:szCs w:val="24"/>
        </w:rPr>
        <w:t xml:space="preserve">The security architecture underlying these documents is complex and multi-layered. A single ePassport relies on an interlocking suite of cryptographic protocols — Basic Access Control (BAC), Password Authenticated Connection Establishment (PACE), Active Authentication (AA), Passive Authentication (PA), and Extended Access Control (EAC) — to protect the integrity and confidentiality of the data it holds. Each of these mechanisms addresses a specific class of threat: PACE prevents unauthorised reading of the chip; Active Authentication prevents chip cloning; Passive Authentication ensures data has not been forged; and EAC restricts access to sensitive biometric data such as fingerprints and iris scans (ICAO, 2021). When this stack functions as designed, the document provides strong assurances of authenticity and privacy. When any layer is absent, misconfigured, or cryptographically weakened, the consequences for the individual — and for national security more broadly — can be severe.</w:t>
      </w:r>
    </w:p>
    <w:p>
      <w:pPr>
        <w:spacing w:after="200" w:before="0"/>
        <w:ind w:firstLine="720"/>
        <w:jc w:val="both"/>
      </w:pPr>
      <w:r>
        <w:rPr>
          <w:rFonts w:ascii="Times New Roman" w:cs="Times New Roman" w:eastAsia="Times New Roman" w:hAnsi="Times New Roman"/>
          <w:color w:val="111111"/>
          <w:sz w:val="24"/>
          <w:szCs w:val="24"/>
        </w:rPr>
        <w:t xml:space="preserve">Despite the critical importance of this security architecture, the field of cybersecurity faces a persistent challenge: communicating complex, multi-layered threat models in a manner that is accessible to the wide range of stakeholders who need to understand them. Security engineers, border control policymakers, compliance auditors, and academic researchers each engage with ePassport security from different vantage points and with different levels of technical expertise. The formal mathematical formalisms traditionally used to describe attack-defence relationships — game-theoretic models, formal logic specifications, and abstract argumentation frameworks — are precise but opaque to non-specialists. Conversely, informal verbal or diagrammatic descriptions, while accessible, lack the rigour necessary for systematic security analysis.</w:t>
      </w:r>
    </w:p>
    <w:p>
      <w:pPr>
        <w:spacing w:after="200" w:before="0"/>
        <w:ind w:firstLine="720"/>
        <w:jc w:val="both"/>
      </w:pPr>
      <w:r>
        <w:rPr>
          <w:rFonts w:ascii="Times New Roman" w:cs="Times New Roman" w:eastAsia="Times New Roman" w:hAnsi="Times New Roman"/>
          <w:color w:val="111111"/>
          <w:sz w:val="24"/>
          <w:szCs w:val="24"/>
        </w:rPr>
        <w:t xml:space="preserve">This dissertation addresses that gap. It investigates how visualisation techniques can bridge formal rigour and practical accessibility in the representation of cybersecurity arguments, using ePassport security as a concrete and consequential case study.</w:t>
      </w:r>
    </w:p>
    <w:p>
      <w:pPr>
        <w:spacing w:before="160"/>
      </w:pPr>
      <w:r>
        <w:t xml:space="preserve"/>
      </w:r>
    </w:p>
    <w:p>
      <w:pPr>
        <w:pStyle w:val="Heading2"/>
        <w:spacing w:after="160" w:before="360"/>
      </w:pPr>
      <w:r>
        <w:rPr>
          <w:rFonts w:ascii="Arial" w:cs="Arial" w:eastAsia="Arial" w:hAnsi="Arial"/>
          <w:b/>
          <w:bCs/>
          <w:color w:val="2E75B6"/>
          <w:sz w:val="28"/>
          <w:szCs w:val="28"/>
        </w:rPr>
        <w:t xml:space="preserve">1.2  Problem Statement</w:t>
      </w:r>
    </w:p>
    <w:p>
      <w:pPr>
        <w:spacing w:after="200" w:before="0"/>
        <w:ind w:firstLine="720"/>
        <w:jc w:val="both"/>
      </w:pPr>
      <w:r>
        <w:rPr>
          <w:rFonts w:ascii="Times New Roman" w:cs="Times New Roman" w:eastAsia="Times New Roman" w:hAnsi="Times New Roman"/>
          <w:color w:val="111111"/>
          <w:sz w:val="24"/>
          <w:szCs w:val="24"/>
        </w:rPr>
        <w:t xml:space="preserve">Existing approaches to modelling ePassport threats suffer from a fundamental tension between rigour and usability. On one hand, formal methods such as attack trees (Schneier, 1999) and their extension into Attack-Defence Trees (ADTs) (Kordy et al., 2010) provide a structured mathematical language for representing attacker goals, sub-goals, and the countermeasures that oppose them. These formalisms have been augmented by argumentation semantics — most notably the abstract argumentation framework introduced by Dung (1995) — which enables principled reasoning about which security arguments are defensible given a particular configuration of deployed defences.</w:t>
      </w:r>
    </w:p>
    <w:p>
      <w:pPr>
        <w:spacing w:after="200" w:before="0"/>
        <w:ind w:firstLine="720"/>
        <w:jc w:val="both"/>
      </w:pPr>
      <w:r>
        <w:rPr>
          <w:rFonts w:ascii="Times New Roman" w:cs="Times New Roman" w:eastAsia="Times New Roman" w:hAnsi="Times New Roman"/>
          <w:color w:val="111111"/>
          <w:sz w:val="24"/>
          <w:szCs w:val="24"/>
        </w:rPr>
        <w:t xml:space="preserve">On the other hand, tools that implement these formalisms — including ADTool (Gadyatskaya et al., 2016) and standard graph-drawing applications such as Graphviz and Microsoft Visio — render the resulting models as static, non-interactive diagrams. A static diagram can represent a snapshot of the threat model but cannot respond dynamically to changes in the security posture: it cannot show, for instance, how disabling a single cryptographic protocol cascades through the argumentation graph to render previously-defeated attacks viable again. Such static representations are also unable to communicate the semantic status of individual nodes — whether a given attack is currently defeated, active, or undecided — in an immediately legible visual form.</w:t>
      </w:r>
    </w:p>
    <w:p>
      <w:pPr>
        <w:spacing w:after="200" w:before="0"/>
        <w:ind w:firstLine="720"/>
        <w:jc w:val="both"/>
      </w:pPr>
      <w:r>
        <w:rPr>
          <w:rFonts w:ascii="Times New Roman" w:cs="Times New Roman" w:eastAsia="Times New Roman" w:hAnsi="Times New Roman"/>
          <w:color w:val="111111"/>
          <w:sz w:val="24"/>
          <w:szCs w:val="24"/>
        </w:rPr>
        <w:t xml:space="preserve">The result is that the security reasoning encoded in formal ADT and argumentation models remains largely inaccessible outside the specialist community that constructs them. Policymakers cannot readily interrogate the implications of relaxing a security requirement. Educators cannot walk students through the logical consequences of removing a defence layer. Auditors cannot visually verify that the deployed protocol suite addresses every node in the threat tree. These are not peripheral concerns: the communicability of a security model is a precondition for its effective deployment.</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Research Gap</w:t>
            </w:r>
          </w:p>
        </w:tc>
        <w:tc>
          <w:tcPr>
            <w:tcW w:type="dxa" w:w="8160"/>
            <w:tcBorders>
              <w:top w:val="single" w:color="CCCCCC" w:sz="1"/>
              <w:left w:val="single" w:color="CCCCCC" w:sz="1"/>
              <w:bottom w:val="single" w:color="CCCCCC" w:sz="1"/>
              <w:right w:val="single" w:color="CCCCCC" w:sz="1"/>
            </w:tcBorders>
            <w:shd w:fill="EBF3FB" w:val="clear"/>
            <w:tcMar>
              <w:top w:type="dxa" w:w="100"/>
              <w:left w:type="dxa" w:w="180"/>
              <w:bottom w:type="dxa" w:w="100"/>
              <w:right w:type="dxa" w:w="180"/>
            </w:tcMar>
          </w:tcPr>
          <w:p>
            <w:pPr>
              <w:jc w:val="both"/>
            </w:pPr>
            <w:r>
              <w:rPr>
                <w:rFonts w:ascii="Times New Roman" w:cs="Times New Roman" w:eastAsia="Times New Roman" w:hAnsi="Times New Roman"/>
                <w:i/>
                <w:iCs/>
                <w:color w:val="111111"/>
                <w:sz w:val="22"/>
                <w:szCs w:val="22"/>
              </w:rPr>
              <w:t xml:space="preserve">No existing tool combines the formal rigour of Attack-Defence Trees and Dung-style argumentation semantics with an interactive, browser-accessible visualisation that dynamically reflects changes in security posture — specifically applied to ePassport systems.</w:t>
            </w:r>
          </w:p>
        </w:tc>
      </w:tr>
    </w:tbl>
    <w:p>
      <w:pPr>
        <w:spacing w:before="16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dissertation proposes that a purpose-built interactive visualisation tool, grounded in the formal theory of ADTs and argumentation semantics and applied specifically to the ePassport threat landscape, can address this gap. The central claim is that visual interactivity is not merely a presentational convenience but a substantive aid to security reasoning: by allowing users to manipulate the state of a threat model and observe the logical consequences in real time, such a tool makes the underlying argumentation framework legible, auditable, and teachable.</w:t>
      </w:r>
    </w:p>
    <w:p>
      <w:pPr>
        <w:spacing w:before="160"/>
      </w:pPr>
      <w:r>
        <w:t xml:space="preserve"/>
      </w:r>
    </w:p>
    <w:p>
      <w:pPr>
        <w:pStyle w:val="Heading2"/>
        <w:spacing w:after="160" w:before="360"/>
      </w:pPr>
      <w:r>
        <w:rPr>
          <w:rFonts w:ascii="Arial" w:cs="Arial" w:eastAsia="Arial" w:hAnsi="Arial"/>
          <w:b/>
          <w:bCs/>
          <w:color w:val="2E75B6"/>
          <w:sz w:val="28"/>
          <w:szCs w:val="28"/>
        </w:rPr>
        <w:t xml:space="preserve">1.3  Research Question</w:t>
      </w:r>
    </w:p>
    <w:p>
      <w:pPr>
        <w:spacing w:after="200" w:before="0"/>
        <w:jc w:val="both"/>
      </w:pPr>
      <w:r>
        <w:rPr>
          <w:rFonts w:ascii="Times New Roman" w:cs="Times New Roman" w:eastAsia="Times New Roman" w:hAnsi="Times New Roman"/>
          <w:color w:val="111111"/>
          <w:sz w:val="24"/>
          <w:szCs w:val="24"/>
        </w:rPr>
        <w:t xml:space="preserve">This dissertation is structured around the following primary research question: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RQ</w:t>
            </w:r>
          </w:p>
        </w:tc>
        <w:tc>
          <w:tcPr>
            <w:tcW w:type="dxa" w:w="8160"/>
            <w:tcBorders>
              <w:top w:val="single" w:color="CCCCCC" w:sz="1"/>
              <w:left w:val="single" w:color="CCCCCC" w:sz="1"/>
              <w:bottom w:val="single" w:color="CCCCCC" w:sz="1"/>
              <w:right w:val="single" w:color="CCCCCC" w:sz="1"/>
            </w:tcBorders>
            <w:shd w:fill="FFF8E7" w:val="clear"/>
            <w:tcMar>
              <w:top w:type="dxa" w:w="100"/>
              <w:left w:type="dxa" w:w="180"/>
              <w:bottom w:type="dxa" w:w="100"/>
              <w:right w:type="dxa" w:w="180"/>
            </w:tcMar>
          </w:tcPr>
          <w:p>
            <w:pPr>
              <w:jc w:val="both"/>
            </w:pPr>
            <w:r>
              <w:rPr>
                <w:rFonts w:ascii="Times New Roman" w:cs="Times New Roman" w:eastAsia="Times New Roman" w:hAnsi="Times New Roman"/>
                <w:i/>
                <w:iCs/>
                <w:color w:val="111111"/>
                <w:sz w:val="22"/>
                <w:szCs w:val="22"/>
              </w:rPr>
              <w:t xml:space="preserve">How does applying visualisation techniques improve the understanding and explanation of advanced cybersecurity arguments in the context of ePassport security?</w:t>
            </w:r>
          </w:p>
        </w:tc>
      </w:tr>
    </w:tbl>
    <w:p>
      <w:pPr>
        <w:spacing w:before="1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question is deliberately broad in scope, encompassing both the design of the visualisation system and the empirical assessment of its effect on user comprehension and security reasoning. It is operationalised through four specific research objectives, detailed in the following section.</w:t>
      </w:r>
    </w:p>
    <w:p>
      <w:pPr>
        <w:spacing w:before="160"/>
      </w:pPr>
      <w:r>
        <w:t xml:space="preserve"/>
      </w:r>
    </w:p>
    <w:p>
      <w:pPr>
        <w:pStyle w:val="Heading2"/>
        <w:spacing w:after="160" w:before="360"/>
      </w:pPr>
      <w:r>
        <w:rPr>
          <w:rFonts w:ascii="Arial" w:cs="Arial" w:eastAsia="Arial" w:hAnsi="Arial"/>
          <w:b/>
          <w:bCs/>
          <w:color w:val="2E75B6"/>
          <w:sz w:val="28"/>
          <w:szCs w:val="28"/>
        </w:rPr>
        <w:t xml:space="preserve">1.4  Research Objectives</w:t>
      </w:r>
    </w:p>
    <w:p>
      <w:pPr>
        <w:spacing w:after="200" w:before="0"/>
        <w:jc w:val="both"/>
      </w:pPr>
      <w:r>
        <w:rPr>
          <w:rFonts w:ascii="Times New Roman" w:cs="Times New Roman" w:eastAsia="Times New Roman" w:hAnsi="Times New Roman"/>
          <w:color w:val="111111"/>
          <w:sz w:val="24"/>
          <w:szCs w:val="24"/>
        </w:rPr>
        <w:t xml:space="preserve">The following four objectives structure the investigation undertaken in this dissertation:</w:t>
      </w:r>
    </w:p>
    <w:p>
      <w:pPr>
        <w:spacing w:before="80"/>
      </w:pPr>
      <w:r>
        <w:t xml:space="preserve"/>
      </w:r>
    </w:p>
    <w:p>
      <w:pPr>
        <w:pStyle w:val="ListParagraph"/>
        <w:numPr>
          <w:ilvl w:val="0"/>
          <w:numId w:val="2"/>
        </w:numPr>
        <w:spacing w:after="80" w:before="80"/>
      </w:pPr>
      <w:r>
        <w:rPr>
          <w:rFonts w:ascii="Times New Roman" w:cs="Times New Roman" w:eastAsia="Times New Roman" w:hAnsi="Times New Roman"/>
          <w:color w:val="111111"/>
          <w:sz w:val="24"/>
          <w:szCs w:val="24"/>
        </w:rPr>
        <w:t xml:space="preserve">Analyse the security threats and vulnerabilities of ePassport systems. This objective involves a systematic review of the known attack surface of ICAO 9303-compliant documents, with reference to the formal threat taxonomy established in the relevant standards literature. The analysis will categorise threats by attack vector (RF interface attacks, data integrity attacks, and privacy attacks) and will document the cryptographic defences that address each category.</w:t>
      </w:r>
    </w:p>
    <w:p>
      <w:pPr>
        <w:pStyle w:val="ListParagraph"/>
        <w:numPr>
          <w:ilvl w:val="0"/>
          <w:numId w:val="2"/>
        </w:numPr>
        <w:spacing w:after="80" w:before="80"/>
      </w:pPr>
      <w:r>
        <w:rPr>
          <w:rFonts w:ascii="Times New Roman" w:cs="Times New Roman" w:eastAsia="Times New Roman" w:hAnsi="Times New Roman"/>
          <w:color w:val="111111"/>
          <w:sz w:val="24"/>
          <w:szCs w:val="24"/>
        </w:rPr>
        <w:t xml:space="preserve">Develop a formal visualisation framework for logical security arguments. Drawing on the Attack-Defence Tree formalism (Kordy et al., 2010) and the argumentation semantics of Dung (1995), this objective involves constructing a rigorous formal model of the ePassport threat landscape, specifying node types, composition operators, defeat relations, and labelling functions for computing the acceptability status of each argument.</w:t>
      </w:r>
    </w:p>
    <w:p>
      <w:pPr>
        <w:pStyle w:val="ListParagraph"/>
        <w:numPr>
          <w:ilvl w:val="0"/>
          <w:numId w:val="2"/>
        </w:numPr>
        <w:spacing w:after="80" w:before="80"/>
      </w:pPr>
      <w:r>
        <w:rPr>
          <w:rFonts w:ascii="Times New Roman" w:cs="Times New Roman" w:eastAsia="Times New Roman" w:hAnsi="Times New Roman"/>
          <w:color w:val="111111"/>
          <w:sz w:val="24"/>
          <w:szCs w:val="24"/>
        </w:rPr>
        <w:t xml:space="preserve">Design and implement an interactive prototype visualisation tool. This objective involves translating the formal framework into a working software prototype: a browser-based interactive tool that renders the ePassport ADT as a navigable diagram, supports toggling of individual defence mechanisms, and recomputes argumentation labels dynamically to reflect the current security configuration.</w:t>
      </w:r>
    </w:p>
    <w:p>
      <w:pPr>
        <w:pStyle w:val="ListParagraph"/>
        <w:numPr>
          <w:ilvl w:val="0"/>
          <w:numId w:val="2"/>
        </w:numPr>
        <w:spacing w:after="80" w:before="80"/>
      </w:pPr>
      <w:r>
        <w:rPr>
          <w:rFonts w:ascii="Times New Roman" w:cs="Times New Roman" w:eastAsia="Times New Roman" w:hAnsi="Times New Roman"/>
          <w:color w:val="111111"/>
          <w:sz w:val="24"/>
          <w:szCs w:val="24"/>
        </w:rPr>
        <w:t xml:space="preserve">Evaluate the effectiveness and usability of the visualisation approach. Through structured user studies employing the System Usability Scale (SUS) and semi-structured interviews, this objective assesses whether the interactive visualisation demonstrably improves participants' comprehension of ePassport security arguments compared with conventional static representations.</w:t>
      </w:r>
    </w:p>
    <w:p>
      <w:pPr>
        <w:spacing w:before="160"/>
      </w:pPr>
      <w:r>
        <w:t xml:space="preserve"/>
      </w:r>
    </w:p>
    <w:p>
      <w:pPr>
        <w:pStyle w:val="Heading2"/>
        <w:spacing w:after="160" w:before="360"/>
      </w:pPr>
      <w:r>
        <w:rPr>
          <w:rFonts w:ascii="Arial" w:cs="Arial" w:eastAsia="Arial" w:hAnsi="Arial"/>
          <w:b/>
          <w:bCs/>
          <w:color w:val="2E75B6"/>
          <w:sz w:val="28"/>
          <w:szCs w:val="28"/>
        </w:rPr>
        <w:t xml:space="preserve">1.5  Significance of the Research</w:t>
      </w:r>
    </w:p>
    <w:p>
      <w:pPr>
        <w:spacing w:after="200" w:before="0"/>
        <w:ind w:firstLine="720"/>
        <w:jc w:val="both"/>
      </w:pPr>
      <w:r>
        <w:rPr>
          <w:rFonts w:ascii="Times New Roman" w:cs="Times New Roman" w:eastAsia="Times New Roman" w:hAnsi="Times New Roman"/>
          <w:color w:val="111111"/>
          <w:sz w:val="24"/>
          <w:szCs w:val="24"/>
        </w:rPr>
        <w:t xml:space="preserve">This research makes contributions at two levels: theoretical and practical.</w:t>
      </w:r>
    </w:p>
    <w:p>
      <w:pPr>
        <w:spacing w:after="200" w:before="0"/>
        <w:ind w:firstLine="720"/>
        <w:jc w:val="both"/>
      </w:pPr>
      <w:r>
        <w:rPr>
          <w:rFonts w:ascii="Times New Roman" w:cs="Times New Roman" w:eastAsia="Times New Roman" w:hAnsi="Times New Roman"/>
          <w:color w:val="111111"/>
          <w:sz w:val="24"/>
          <w:szCs w:val="24"/>
        </w:rPr>
        <w:t xml:space="preserve">At the theoretical level, the dissertation advances the application of argumentation semantics to the domain of applied cybersecurity visualisation. While Dung's abstract argumentation framework (1995) has been extensively studied in artificial intelligence and legal reasoning, and while Kordy et al. (2010) have established the formal foundations of Attack-Defence Trees, the intersection of these two bodies of theory with interactive information visualisation remains underexplored. This dissertation proposes a unified framework that formally specifies how argumentation labelling semantics can be computed and rendered interactively in response to changes in the security posture of a complex real-world system.</w:t>
      </w:r>
    </w:p>
    <w:p>
      <w:pPr>
        <w:spacing w:after="200" w:before="0"/>
        <w:ind w:firstLine="720"/>
        <w:jc w:val="both"/>
      </w:pPr>
      <w:r>
        <w:rPr>
          <w:rFonts w:ascii="Times New Roman" w:cs="Times New Roman" w:eastAsia="Times New Roman" w:hAnsi="Times New Roman"/>
          <w:color w:val="111111"/>
          <w:sz w:val="24"/>
          <w:szCs w:val="24"/>
        </w:rPr>
        <w:t xml:space="preserve">At the practical level, the research produces a concrete, deployable tool with identifiable use cases. Security educators can use the tool to walk students through the logical consequences of cryptographic weaknesses in ePassport protocols. Border security policymakers can use it to visualise the implications of deploying documents that omit certain access control mechanisms. Compliance auditors can use it to verify that a given deployment configuration defeats every node in the documented threat tree. These use cases are not speculative: they reflect the documented challenges in communicating formal security models to non-specialist audiences identified in the literature reviewed in Chapter 2.</w:t>
      </w:r>
    </w:p>
    <w:p>
      <w:pPr>
        <w:spacing w:after="200" w:before="0"/>
        <w:ind w:firstLine="720"/>
        <w:jc w:val="both"/>
      </w:pPr>
      <w:r>
        <w:rPr>
          <w:rFonts w:ascii="Times New Roman" w:cs="Times New Roman" w:eastAsia="Times New Roman" w:hAnsi="Times New Roman"/>
          <w:color w:val="111111"/>
          <w:sz w:val="24"/>
          <w:szCs w:val="24"/>
        </w:rPr>
        <w:t xml:space="preserve">The choice of ePassport security as the case study domain is itself significant. ePassports are among the most widely deployed security-critical systems in existence; their threat landscape is formally documented in internationally recognised standards; and the consequences of security failures are directly traceable to individual harm (identity theft, unauthorised biometric access) and systemic harm (fraudulent border crossing, document forgery). A visualisation tool that makes this threat model legible and auditable has direct real-world applicability.</w:t>
      </w:r>
    </w:p>
    <w:p>
      <w:pPr>
        <w:spacing w:before="160"/>
      </w:pPr>
      <w:r>
        <w:t xml:space="preserve"/>
      </w:r>
    </w:p>
    <w:p>
      <w:pPr>
        <w:pStyle w:val="Heading2"/>
        <w:spacing w:after="160" w:before="360"/>
      </w:pPr>
      <w:r>
        <w:rPr>
          <w:rFonts w:ascii="Arial" w:cs="Arial" w:eastAsia="Arial" w:hAnsi="Arial"/>
          <w:b/>
          <w:bCs/>
          <w:color w:val="2E75B6"/>
          <w:sz w:val="28"/>
          <w:szCs w:val="28"/>
        </w:rPr>
        <w:t xml:space="preserve">1.6  Dissertation Structure</w:t>
      </w:r>
    </w:p>
    <w:p>
      <w:pPr>
        <w:spacing w:after="200" w:before="0"/>
        <w:jc w:val="both"/>
      </w:pPr>
      <w:r>
        <w:rPr>
          <w:rFonts w:ascii="Times New Roman" w:cs="Times New Roman" w:eastAsia="Times New Roman" w:hAnsi="Times New Roman"/>
          <w:color w:val="111111"/>
          <w:sz w:val="24"/>
          <w:szCs w:val="24"/>
        </w:rPr>
        <w:t xml:space="preserve">The remainder of this dissertation is organised as follows: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2E75B6"/>
                <w:sz w:val="20"/>
                <w:szCs w:val="20"/>
              </w:rPr>
              <w:t xml:space="preserve">Chapter 2</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both"/>
            </w:pPr>
            <w:r>
              <w:rPr>
                <w:rFonts w:ascii="Times New Roman" w:cs="Times New Roman" w:eastAsia="Times New Roman" w:hAnsi="Times New Roman"/>
                <w:color w:val="222222"/>
                <w:sz w:val="20"/>
                <w:szCs w:val="20"/>
              </w:rPr>
              <w:t xml:space="preserve">Literature Review — surveys the foundational literature on ePassport security protocols, attack tree formalisms, Attack-Defence Trees, abstract argumentation theory, and existing security visualisation tools. It concludes by identifying the research gap that this dissertation addresses.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Chapter 3</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Times New Roman" w:cs="Times New Roman" w:eastAsia="Times New Roman" w:hAnsi="Times New Roman"/>
                <w:color w:val="222222"/>
                <w:sz w:val="20"/>
                <w:szCs w:val="20"/>
              </w:rPr>
              <w:t xml:space="preserve">Background and Methodology — provides technical background on ICAO 9303 ePassport architecture and the STRIDE/DREAD threat modelling methodology, before detailing the mixed-methods research design adopted in this study.</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2E75B6"/>
                <w:sz w:val="20"/>
                <w:szCs w:val="20"/>
              </w:rPr>
              <w:t xml:space="preserve">Chapter 4</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both"/>
            </w:pPr>
            <w:r>
              <w:rPr>
                <w:rFonts w:ascii="Times New Roman" w:cs="Times New Roman" w:eastAsia="Times New Roman" w:hAnsi="Times New Roman"/>
                <w:color w:val="222222"/>
                <w:sz w:val="20"/>
                <w:szCs w:val="20"/>
              </w:rPr>
              <w:t xml:space="preserve">Argumentation Framework Design — formally specifies the ePassport threat model as an Attack-Defence Tree, defines the defeat relation between attack and defence nodes, and applies Dung's grounded labelling semantics to compute the acceptability status of each node.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Chapter 5</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Times New Roman" w:cs="Times New Roman" w:eastAsia="Times New Roman" w:hAnsi="Times New Roman"/>
                <w:color w:val="222222"/>
                <w:sz w:val="20"/>
                <w:szCs w:val="20"/>
              </w:rPr>
              <w:t xml:space="preserve">Prototype Implementation — describes the design and development of the interactive visualisation tool, including the architecture of the argumentation reasoning engine, the visualisation design decisions, and a walkthrough of the tool's features.</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2E75B6"/>
                <w:sz w:val="20"/>
                <w:szCs w:val="20"/>
              </w:rPr>
              <w:t xml:space="preserve">Chapter 6</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both"/>
            </w:pPr>
            <w:r>
              <w:rPr>
                <w:rFonts w:ascii="Times New Roman" w:cs="Times New Roman" w:eastAsia="Times New Roman" w:hAnsi="Times New Roman"/>
                <w:color w:val="222222"/>
                <w:sz w:val="20"/>
                <w:szCs w:val="20"/>
              </w:rPr>
              <w:t xml:space="preserve">Evaluation — presents the results of the user study, reporting both quantitative usability scores and qualitative interview themes, and assesses the extent to which the visualisation tool improves comprehension of ePassport security arguments.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Chapter 7</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jc w:val="both"/>
            </w:pPr>
            <w:r>
              <w:rPr>
                <w:rFonts w:ascii="Times New Roman" w:cs="Times New Roman" w:eastAsia="Times New Roman" w:hAnsi="Times New Roman"/>
                <w:color w:val="222222"/>
                <w:sz w:val="20"/>
                <w:szCs w:val="20"/>
              </w:rPr>
              <w:t xml:space="preserve">Discussion — interprets the evaluation findings in the context of the research objectives, compares the prototype with existing tools, and reflects on the theoretical and practical contributions of the work.</w:t>
            </w:r>
          </w:p>
        </w:tc>
      </w:tr>
      <w:tr>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bCs/>
                <w:color w:val="2E75B6"/>
                <w:sz w:val="20"/>
                <w:szCs w:val="20"/>
              </w:rPr>
              <w:t xml:space="preserve">Chapter 8</w:t>
            </w:r>
          </w:p>
        </w:tc>
        <w:tc>
          <w:tcPr>
            <w:tcW w:type="dxa" w:w="75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pPr>
              <w:jc w:val="both"/>
            </w:pPr>
            <w:r>
              <w:rPr>
                <w:rFonts w:ascii="Times New Roman" w:cs="Times New Roman" w:eastAsia="Times New Roman" w:hAnsi="Times New Roman"/>
                <w:color w:val="222222"/>
                <w:sz w:val="20"/>
                <w:szCs w:val="20"/>
              </w:rPr>
              <w:t xml:space="preserve">Conclusion — summarises the research contributions, acknowledges limitations, and proposes directions for future work.</w:t>
            </w:r>
          </w:p>
        </w:tc>
      </w:tr>
    </w:tbl>
    <w:p>
      <w:pPr>
        <w:spacing w:before="400"/>
      </w:pPr>
      <w:r>
        <w:t xml:space="preserve"/>
      </w:r>
    </w:p>
    <w:p>
      <w:pPr>
        <w:pStyle w:val="Heading2"/>
        <w:spacing w:after="160" w:before="360"/>
      </w:pPr>
      <w:r>
        <w:rPr>
          <w:rFonts w:ascii="Arial" w:cs="Arial" w:eastAsia="Arial" w:hAnsi="Arial"/>
          <w:b/>
          <w:bCs/>
          <w:color w:val="2E75B6"/>
          <w:sz w:val="28"/>
          <w:szCs w:val="28"/>
        </w:rPr>
        <w:t xml:space="preserve">References (Chapter 1)</w:t>
      </w:r>
    </w:p>
    <w:p>
      <w:pPr>
        <w:spacing w:after="200" w:before="0"/>
        <w:jc w:val="both"/>
      </w:pPr>
      <w:r>
        <w:rPr>
          <w:rFonts w:ascii="Times New Roman" w:cs="Times New Roman" w:eastAsia="Times New Roman" w:hAnsi="Times New Roman"/>
          <w:color w:val="111111"/>
          <w:sz w:val="24"/>
          <w:szCs w:val="24"/>
        </w:rPr>
        <w:t xml:space="preserve">The following references are cited in this chapter. Full bibliographic details will be consolidated in the final reference list.</w:t>
      </w:r>
    </w:p>
    <w:p>
      <w:pPr>
        <w:spacing w:before="80"/>
      </w:pPr>
      <w:r>
        <w:t xml:space="preserve"/>
      </w:r>
    </w:p>
    <w:p>
      <w:pPr>
        <w:spacing w:after="80" w:before="80"/>
        <w:ind w:left="720" w:hanging="720"/>
        <w:jc w:val="both"/>
      </w:pPr>
      <w:r>
        <w:rPr>
          <w:rFonts w:ascii="Times New Roman" w:cs="Times New Roman" w:eastAsia="Times New Roman" w:hAnsi="Times New Roman"/>
          <w:color w:val="333333"/>
          <w:sz w:val="20"/>
          <w:szCs w:val="20"/>
        </w:rPr>
        <w:t xml:space="preserve">Dung, P.M. (1995) 'On the acceptability of arguments and its fundamental role in nonmonotonic reasoning, logic programming and n-person games', Artificial Intelligence, 77(2), pp. 321–357.</w:t>
      </w:r>
    </w:p>
    <w:p>
      <w:pPr>
        <w:spacing w:after="80" w:before="80"/>
        <w:ind w:left="720" w:hanging="720"/>
        <w:jc w:val="both"/>
      </w:pPr>
      <w:r>
        <w:rPr>
          <w:rFonts w:ascii="Times New Roman" w:cs="Times New Roman" w:eastAsia="Times New Roman" w:hAnsi="Times New Roman"/>
          <w:color w:val="333333"/>
          <w:sz w:val="20"/>
          <w:szCs w:val="20"/>
        </w:rPr>
        <w:t xml:space="preserve">Gadyatskaya, O., Jhawar, R., Kordy, P., Lounis, K., Mauw, S. and Trujillo-Rasua, R. (2016) 'Attack trees for practical security assessment: Ranking of attack scenarios with ADTool 2.0', in Quantitative Evaluation of Systems. Springer, pp. 159–162.</w:t>
      </w:r>
    </w:p>
    <w:p>
      <w:pPr>
        <w:spacing w:after="80" w:before="80"/>
        <w:ind w:left="720" w:hanging="720"/>
        <w:jc w:val="both"/>
      </w:pPr>
      <w:r>
        <w:rPr>
          <w:rFonts w:ascii="Times New Roman" w:cs="Times New Roman" w:eastAsia="Times New Roman" w:hAnsi="Times New Roman"/>
          <w:color w:val="333333"/>
          <w:sz w:val="20"/>
          <w:szCs w:val="20"/>
        </w:rPr>
        <w:t xml:space="preserve">ICAO (2021) Doc 9303: Machine Readable Travel Documents. 8th edn. Montreal: International Civil Aviation Organisation.</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(2010) 'Foundations of attack-defence trees', in Formal Aspects of Security and Trust. Springer, pp. 80–95.</w:t>
      </w:r>
    </w:p>
    <w:p>
      <w:pPr>
        <w:spacing w:after="80" w:before="80"/>
        <w:ind w:left="720" w:hanging="720"/>
        <w:jc w:val="both"/>
      </w:pPr>
      <w:r>
        <w:rPr>
          <w:rFonts w:ascii="Times New Roman" w:cs="Times New Roman" w:eastAsia="Times New Roman" w:hAnsi="Times New Roman"/>
          <w:color w:val="333333"/>
          <w:sz w:val="20"/>
          <w:szCs w:val="20"/>
        </w:rPr>
        <w:t xml:space="preserve">Schneier, B. (1999) 'Attack trees: Modeling security threats', Dr. Dobb's Journal, 24(12), pp. 21–29.</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University of Strathclyde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2026-05-20T11:37:42.051Z</dcterms:created>
  <dcterms:modified xsi:type="dcterms:W3CDTF">2026-05-20T11:37:42.051Z</dcterms:modified>
</cp:coreProperties>
</file>

<file path=docProps/custom.xml><?xml version="1.0" encoding="utf-8"?>
<Properties xmlns="http://schemas.openxmlformats.org/officeDocument/2006/custom-properties" xmlns:vt="http://schemas.openxmlformats.org/officeDocument/2006/docPropsVTypes"/>
</file>