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2</w:t>
      </w:r>
    </w:p>
    <w:p>
      <w:pPr>
        <w:pBdr>
          <w:bottom w:val="single" w:color="2E75B6" w:sz="12" w:space="8"/>
        </w:pBdr>
        <w:spacing w:after="60" w:before="0"/>
      </w:pPr>
      <w:r>
        <w:rPr>
          <w:rFonts w:ascii="Arial" w:cs="Arial" w:eastAsia="Arial" w:hAnsi="Arial"/>
          <w:b/>
          <w:bCs/>
          <w:color w:val="1F3864"/>
          <w:sz w:val="52"/>
          <w:szCs w:val="52"/>
        </w:rPr>
        <w:t xml:space="preserve">Literature Review</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A rigorous investigation of cybersecurity visualisation for ePassport systems requires engagement with several intersecting bodies of literature: the technical and standards-based literature on ePassport architecture and protocols; the formal methods literature on attack trees and Attack-Defence Trees; the artificial intelligence and philosophy literature on argumentation theory; and the human-computer interaction literature on security visualisation. This chapter surveys each of these domains in turn, identifies the strengths and limitations of existing work, and concludes by articulating the specific gap that this dissertation addresses.</w:t>
      </w:r>
    </w:p>
    <w:p>
      <w:pPr>
        <w:pStyle w:val="Heading2"/>
        <w:spacing w:after="160" w:before="400"/>
      </w:pPr>
      <w:r>
        <w:rPr>
          <w:rFonts w:ascii="Arial" w:cs="Arial" w:eastAsia="Arial" w:hAnsi="Arial"/>
          <w:b/>
          <w:bCs/>
          <w:color w:val="2E75B6"/>
          <w:sz w:val="28"/>
          <w:szCs w:val="28"/>
        </w:rPr>
        <w:t xml:space="preserve">2.1  ePassport Technology and Security Standards</w:t>
      </w:r>
    </w:p>
    <w:p>
      <w:pPr>
        <w:spacing w:after="200" w:before="0"/>
        <w:ind w:firstLine="720"/>
        <w:jc w:val="both"/>
      </w:pPr>
      <w:r>
        <w:rPr>
          <w:rFonts w:ascii="Times New Roman" w:cs="Times New Roman" w:eastAsia="Times New Roman" w:hAnsi="Times New Roman"/>
          <w:color w:val="111111"/>
          <w:sz w:val="24"/>
          <w:szCs w:val="24"/>
        </w:rPr>
        <w:t xml:space="preserve">The electronic passport — standardised under ICAO Doc 9303 (ICAO, 2021) — is a machine-readable travel document that incorporates an embedded contactless integrated circuit chip compliant with ISO/IEC 14443. The chip stores the document holder's data in a structured hierarchy of data groups (DG1 through DG16), with DG1 containing the machine-readable zone data and DG2 holding the facial biometric image mandatory under ICAO requirements. Extended biometrics — fingerprint templates (DG3) and iris scans (DG4) — are stored under access control restrictions that vary by issuing state.</w:t>
      </w:r>
    </w:p>
    <w:p>
      <w:pPr>
        <w:spacing w:after="200" w:before="0"/>
        <w:ind w:firstLine="720"/>
        <w:jc w:val="both"/>
      </w:pPr>
      <w:r>
        <w:rPr>
          <w:rFonts w:ascii="Times New Roman" w:cs="Times New Roman" w:eastAsia="Times New Roman" w:hAnsi="Times New Roman"/>
          <w:color w:val="111111"/>
          <w:sz w:val="24"/>
          <w:szCs w:val="24"/>
        </w:rPr>
        <w:t xml:space="preserve">The security architecture of ICAO 9303-compliant documents rests on four principal mechanisms. Basic Access Control (BAC), introduced in the first generation of ePassports and subsequently superseded by Password Authenticated Connection Establishment (PACE) in later implementations, ensures that the chip will not respond to reader queries unless the reader can demonstrate physical possession of the document — specifically, by deriving a session key from data optically scanned from the Machine Readable Zone. This prevents opportunistic RFID skimming in which an attacker reads a chip from a distance without the holder's knowledge (Juels, Molnar and Wagner, 2005). PACE, defined in BSI TR-03110, improves on BAC by using Diffie-Hellman key agreement with Elliptic Curve variants, offering stronger resistance to eavesdropping and brute-force key recovery attacks (Bundesamt fuer Sicherheit in der Informationstechnik, 2015).</w:t>
      </w:r>
    </w:p>
    <w:p>
      <w:pPr>
        <w:spacing w:after="200" w:before="0"/>
        <w:ind w:firstLine="720"/>
        <w:jc w:val="both"/>
      </w:pPr>
      <w:r>
        <w:rPr>
          <w:rFonts w:ascii="Times New Roman" w:cs="Times New Roman" w:eastAsia="Times New Roman" w:hAnsi="Times New Roman"/>
          <w:color w:val="111111"/>
          <w:sz w:val="24"/>
          <w:szCs w:val="24"/>
        </w:rPr>
        <w:t xml:space="preserve">Passive Authentication (PA) addresses data integrity: it enables a reader to verify, using the document's Public Key Infrastructure (PKI), that the data stored on the chip is genuine and has not been modified since issuance. The Document Signer Certificate, signed by the issuing Country Signing Certificate Authority, provides a chain of trust from the chip's data to the issuing state's cryptographic root. Active Authentication (AA) complements this by providing proof that the chip itself — rather than a cloned copy of the data — is present in the transaction, through a challenge-response protocol using a private key stored in protected chip memory.</w:t>
      </w:r>
    </w:p>
    <w:p>
      <w:pPr>
        <w:spacing w:after="200" w:before="0"/>
        <w:ind w:firstLine="720"/>
        <w:jc w:val="both"/>
      </w:pPr>
      <w:r>
        <w:rPr>
          <w:rFonts w:ascii="Times New Roman" w:cs="Times New Roman" w:eastAsia="Times New Roman" w:hAnsi="Times New Roman"/>
          <w:color w:val="111111"/>
          <w:sz w:val="24"/>
          <w:szCs w:val="24"/>
        </w:rPr>
        <w:t xml:space="preserve">Extended Access Control (EAC), specified in BSI TR-03110 and mandated by the European Union for fingerprint access, further restricts access to sensitive biometric data groups. EAC requires the reader terminal to present a valid Terminal Certificate, signed by a national Certificate Authority, before the chip will release fingerprint or iris data. This mechanism prevents bulk biometric harvesting by entities who possess document-reading equipment but lack authorisation from the issuing state.</w:t>
      </w:r>
    </w:p>
    <w:p>
      <w:pPr>
        <w:spacing w:after="200" w:before="0"/>
        <w:ind w:firstLine="720"/>
        <w:jc w:val="both"/>
      </w:pPr>
      <w:r>
        <w:rPr>
          <w:rFonts w:ascii="Times New Roman" w:cs="Times New Roman" w:eastAsia="Times New Roman" w:hAnsi="Times New Roman"/>
          <w:color w:val="111111"/>
          <w:sz w:val="24"/>
          <w:szCs w:val="24"/>
        </w:rPr>
        <w:t xml:space="preserve">Despite the robustness of this layered architecture when fully deployed, significant vulnerabilities have been documented. Juels, Molnar and Wagner (2005) identified tracking attacks against early ePassports that exploited the static chip identifiers broadcast before BAC establishment. Carluccio et al. (2006) demonstrated the feasibility of eavesdropping attacks against BAC-protected communications at ranges substantially greater than the official specification suggested. Chothia and Smirnov (2010) formally analysed the unlinkability properties of ePassport protocols, demonstrating that even PACE-protected sessions could leak linkable identifiers under certain protocol interactions. These findings collectively demonstrate that the security of an ePassport system is not binary — the presence of the specified protocols is necessary but not sufficient for security — and that the defeat relations between attacks and defences are complex and partially ordered.</w:t>
      </w:r>
    </w:p>
    <w:p>
      <w:pPr>
        <w:pStyle w:val="Heading2"/>
        <w:spacing w:after="160" w:before="400"/>
      </w:pPr>
      <w:r>
        <w:rPr>
          <w:rFonts w:ascii="Arial" w:cs="Arial" w:eastAsia="Arial" w:hAnsi="Arial"/>
          <w:b/>
          <w:bCs/>
          <w:color w:val="2E75B6"/>
          <w:sz w:val="28"/>
          <w:szCs w:val="28"/>
        </w:rPr>
        <w:t xml:space="preserve">2.2  Attack Trees</w:t>
      </w:r>
    </w:p>
    <w:p>
      <w:pPr>
        <w:spacing w:after="200" w:before="0"/>
        <w:ind w:firstLine="720"/>
        <w:jc w:val="both"/>
      </w:pPr>
      <w:r>
        <w:rPr>
          <w:rFonts w:ascii="Times New Roman" w:cs="Times New Roman" w:eastAsia="Times New Roman" w:hAnsi="Times New Roman"/>
          <w:color w:val="111111"/>
          <w:sz w:val="24"/>
          <w:szCs w:val="24"/>
        </w:rPr>
        <w:t xml:space="preserve">The attack tree formalism, introduced by Schneier (1999) and independently developed in a more formal variant by Mauw and Oostdijk (2006), provides a structured method for representing the space of possible attacks against a system. An attack tree is a rooted directed acyclic graph in which the root node represents the attacker's top-level goal and each internal node represents a sub-goal or intermediate objective. Leaf nodes represent atomic attack actions — specific, concrete actions that an attacker can take. Internal nodes are annotated with a composition operator: an AND node is satisfied only when all of its children are satisfied simultaneously, while an OR node is satisfied when any one child is satisfied.</w:t>
      </w:r>
    </w:p>
    <w:p>
      <w:pPr>
        <w:spacing w:after="200" w:before="0"/>
        <w:ind w:firstLine="720"/>
        <w:jc w:val="both"/>
      </w:pPr>
      <w:r>
        <w:rPr>
          <w:rFonts w:ascii="Times New Roman" w:cs="Times New Roman" w:eastAsia="Times New Roman" w:hAnsi="Times New Roman"/>
          <w:color w:val="111111"/>
          <w:sz w:val="24"/>
          <w:szCs w:val="24"/>
        </w:rPr>
        <w:t xml:space="preserve">The formalism supports both qualitative and quantitative analysis. Qualitatively, an attack tree enumerates all possible attack paths from a given configuration of atomic actions to the attacker's goal, supporting a structured audit of the attack surface. Quantitatively, attributes such as cost, probability, or difficulty can be assigned to leaf nodes and propagated to the root using the AND/OR composition rules, enabling the computation of metrics such as minimum attack cost or maximum attack probability (Mauw and Oostdijk, 2006).</w:t>
      </w:r>
    </w:p>
    <w:p>
      <w:pPr>
        <w:spacing w:after="200" w:before="0"/>
        <w:ind w:firstLine="720"/>
        <w:jc w:val="both"/>
      </w:pPr>
      <w:r>
        <w:rPr>
          <w:rFonts w:ascii="Times New Roman" w:cs="Times New Roman" w:eastAsia="Times New Roman" w:hAnsi="Times New Roman"/>
          <w:color w:val="111111"/>
          <w:sz w:val="24"/>
          <w:szCs w:val="24"/>
        </w:rPr>
        <w:t xml:space="preserve">Attack trees have been applied extensively in the security literature. Opel (2005) applied them to intrusion detection systems; Salter, Saydjari and Schneier (1998) used them for network security analysis. However, the formalism has important limitations that have been widely noted. The original attack tree formalism contains no representation of defensive countermeasures: defences can be added as notes or informal annotations, but there is no formal mechanism for representing the logical relationship between an attack and the defence that opposes it, nor for computing the status of an attack given the presence or absence of specific defences. This limitation is directly relevant to the present research, as the dynamic reasoning about security posture that this dissertation seeks to support requires precisely this capability.</w:t>
      </w:r>
    </w:p>
    <w:p>
      <w:pPr>
        <w:pStyle w:val="Heading2"/>
        <w:spacing w:after="160" w:before="400"/>
      </w:pPr>
      <w:r>
        <w:rPr>
          <w:rFonts w:ascii="Arial" w:cs="Arial" w:eastAsia="Arial" w:hAnsi="Arial"/>
          <w:b/>
          <w:bCs/>
          <w:color w:val="2E75B6"/>
          <w:sz w:val="28"/>
          <w:szCs w:val="28"/>
        </w:rPr>
        <w:t xml:space="preserve">2.3  Attack-Defence Trees</w:t>
      </w:r>
    </w:p>
    <w:p>
      <w:pPr>
        <w:spacing w:after="200" w:before="0"/>
        <w:ind w:firstLine="720"/>
        <w:jc w:val="both"/>
      </w:pPr>
      <w:r>
        <w:rPr>
          <w:rFonts w:ascii="Times New Roman" w:cs="Times New Roman" w:eastAsia="Times New Roman" w:hAnsi="Times New Roman"/>
          <w:color w:val="111111"/>
          <w:sz w:val="24"/>
          <w:szCs w:val="24"/>
        </w:rPr>
        <w:t xml:space="preserve">The Attack-Defence Tree (ADT) formalism, introduced by Kordy, Mauw, Radomirovic and Schweitzer (2010) and further developed in a series of subsequent papers (Kordy et al., 2012; Gadyatskaya et al., 2016), extends the attack tree model by introducing defence nodes as first-class elements of the tree. A defence node represents a countermeasure deployed by the defending party; like attack nodes, defence nodes can be composed using AND and OR operators. Critically, the formalism introduces a defeat relation: a defence node can be annotated as countering a specific attack node, establishing a formal connection between the countermeasure and the threat it addresses.</w:t>
      </w:r>
    </w:p>
    <w:p>
      <w:pPr>
        <w:spacing w:after="200" w:before="0"/>
        <w:ind w:firstLine="720"/>
        <w:jc w:val="both"/>
      </w:pPr>
      <w:r>
        <w:rPr>
          <w:rFonts w:ascii="Times New Roman" w:cs="Times New Roman" w:eastAsia="Times New Roman" w:hAnsi="Times New Roman"/>
          <w:color w:val="111111"/>
          <w:sz w:val="24"/>
          <w:szCs w:val="24"/>
        </w:rPr>
        <w:t xml:space="preserve">The semantics of ADTs are defined in terms of two-player games between an attacker and a defender (Kordy et al., 2010). The attacker seeks to satisfy the root goal; the defender seeks to prevent it. The outcome of the game depends on which nodes — attack or defence — are activated. A scenario assigns an activation status (active or inactive) to each leaf node; the status of internal nodes is then computed bottom-up using the AND/OR composition rules. Under this semantics, the attacker succeeds if and only if there exists a scenario in which the root attack node is satisfied and no countering defence node is activated.</w:t>
      </w:r>
    </w:p>
    <w:p>
      <w:pPr>
        <w:spacing w:after="200" w:before="0"/>
        <w:ind w:firstLine="720"/>
        <w:jc w:val="both"/>
      </w:pPr>
      <w:r>
        <w:rPr>
          <w:rFonts w:ascii="Times New Roman" w:cs="Times New Roman" w:eastAsia="Times New Roman" w:hAnsi="Times New Roman"/>
          <w:color w:val="111111"/>
          <w:sz w:val="24"/>
          <w:szCs w:val="24"/>
        </w:rPr>
        <w:t xml:space="preserve">ADTool (Gadyatskaya et al., 2016), the principal software implementation of the ADT formalism, provides a graphical editor and analysis engine for constructing ADTs and computing their quantitative attributes. The tool supports multiple attribute domains — including attack cost, attack probability, and satisfiability — and has been applied to security analyses of industrial control systems, vehicular networks, and physical security scenarios. However, as noted in Section 2.6 below, ADTool produces static, non-interactive visualisations: the tool generates a diagram that represents a fixed analysis result, but does not support interactive exploration of the implications of changing the defensive posture.</w:t>
      </w:r>
    </w:p>
    <w:p>
      <w:pPr>
        <w:pStyle w:val="Heading2"/>
        <w:spacing w:after="160" w:before="400"/>
      </w:pPr>
      <w:r>
        <w:rPr>
          <w:rFonts w:ascii="Arial" w:cs="Arial" w:eastAsia="Arial" w:hAnsi="Arial"/>
          <w:b/>
          <w:bCs/>
          <w:color w:val="2E75B6"/>
          <w:sz w:val="28"/>
          <w:szCs w:val="28"/>
        </w:rPr>
        <w:t xml:space="preserve">2.4  Abstract Argumentation Theory</w:t>
      </w:r>
    </w:p>
    <w:p>
      <w:pPr>
        <w:spacing w:after="200" w:before="0"/>
        <w:ind w:firstLine="720"/>
        <w:jc w:val="both"/>
      </w:pPr>
      <w:r>
        <w:rPr>
          <w:rFonts w:ascii="Times New Roman" w:cs="Times New Roman" w:eastAsia="Times New Roman" w:hAnsi="Times New Roman"/>
          <w:color w:val="111111"/>
          <w:sz w:val="24"/>
          <w:szCs w:val="24"/>
        </w:rPr>
        <w:t xml:space="preserve">Dung's abstract argumentation framework (1995) provides a general formal apparatus for reasoning about conflicting arguments. In Dung's formulation, an argumentation framework is a pair (AR, attacks) where AR is a set of arguments and attacks is a binary relation on AR: an argument A attacks an argument B if A provides a reason to reject B. The central question of argumentation theory is to determine which arguments are acceptable — or, in Dung's terminology, which arguments are in the extension of the framework under a given semantics.</w:t>
      </w:r>
    </w:p>
    <w:p>
      <w:pPr>
        <w:spacing w:after="200" w:before="0"/>
        <w:ind w:firstLine="720"/>
        <w:jc w:val="both"/>
      </w:pPr>
      <w:r>
        <w:rPr>
          <w:rFonts w:ascii="Times New Roman" w:cs="Times New Roman" w:eastAsia="Times New Roman" w:hAnsi="Times New Roman"/>
          <w:color w:val="111111"/>
          <w:sz w:val="24"/>
          <w:szCs w:val="24"/>
        </w:rPr>
        <w:t xml:space="preserve">Dung defines several semantics for computing extensions. Under the grounded semantics, the extension is the least fixed point of a characteristic function; this produces a unique, sceptical extension that contains exactly those arguments that can be defended against all their attackers by other arguments in the extension. Under the preferred semantics, extensions are maximal admissible sets; under the stable semantics, an extension S is required to attack every argument outside it. For security reasoning, the grounded semantics is particularly appropriate because it produces a unique, deterministic labelling — arguments are labelled IN (accepted), OUT (rejected), or UNDECIDED — that corresponds to a clear security verdict for each node.</w:t>
      </w:r>
    </w:p>
    <w:p>
      <w:pPr>
        <w:spacing w:after="200" w:before="0"/>
        <w:ind w:firstLine="720"/>
        <w:jc w:val="both"/>
      </w:pPr>
      <w:r>
        <w:rPr>
          <w:rFonts w:ascii="Times New Roman" w:cs="Times New Roman" w:eastAsia="Times New Roman" w:hAnsi="Times New Roman"/>
          <w:color w:val="111111"/>
          <w:sz w:val="24"/>
          <w:szCs w:val="24"/>
        </w:rPr>
        <w:t xml:space="preserve">The application of argumentation theory to cybersecurity reasoning has been explored by several researchers. Gabbay and Rodrigues (2015) developed priority-based argumentation networks applicable to security policy conflicts. Horne, Kiefer and colleagues have investigated the use of logical argumentation frameworks for analysing protocol security properties, including properties of cryptographic handshake protocols relevant to ePassport access control. These applications demonstrate the theoretical viability of the approach; the present dissertation applies it operationally to a concrete, fully specified threat landscape.</w:t>
      </w:r>
    </w:p>
    <w:p>
      <w:pPr>
        <w:pStyle w:val="Heading2"/>
        <w:spacing w:after="160" w:before="400"/>
      </w:pPr>
      <w:r>
        <w:rPr>
          <w:rFonts w:ascii="Arial" w:cs="Arial" w:eastAsia="Arial" w:hAnsi="Arial"/>
          <w:b/>
          <w:bCs/>
          <w:color w:val="2E75B6"/>
          <w:sz w:val="28"/>
          <w:szCs w:val="28"/>
        </w:rPr>
        <w:t xml:space="preserve">2.5  Logical Security Arguments and Defeat Relations</w:t>
      </w:r>
    </w:p>
    <w:p>
      <w:pPr>
        <w:spacing w:after="200" w:before="0"/>
        <w:ind w:firstLine="720"/>
        <w:jc w:val="both"/>
      </w:pPr>
      <w:r>
        <w:rPr>
          <w:rFonts w:ascii="Times New Roman" w:cs="Times New Roman" w:eastAsia="Times New Roman" w:hAnsi="Times New Roman"/>
          <w:color w:val="111111"/>
          <w:sz w:val="24"/>
          <w:szCs w:val="24"/>
        </w:rPr>
        <w:t xml:space="preserve">The connection between ADTs and argumentation theory has been explored formally by several authors. Arguing that ADTs can be interpreted as argumentation frameworks, Kordy, Mauw and Schweitzer (2012) showed that the game-theoretic semantics of ADTs can be mapped onto the extension semantics of Dung-style frameworks. Specifically, each node in an ADT can be interpreted as an argument; the defeat relation in the ADT corresponds to the attack relation in the argumentation framework; and the acceptability status of a node under the grounded semantics corresponds to whether the attacker can achieve that sub-goal given the active defences.</w:t>
      </w:r>
    </w:p>
    <w:p>
      <w:pPr>
        <w:spacing w:after="200" w:before="0"/>
        <w:ind w:firstLine="720"/>
        <w:jc w:val="both"/>
      </w:pPr>
      <w:r>
        <w:rPr>
          <w:rFonts w:ascii="Times New Roman" w:cs="Times New Roman" w:eastAsia="Times New Roman" w:hAnsi="Times New Roman"/>
          <w:color w:val="111111"/>
          <w:sz w:val="24"/>
          <w:szCs w:val="24"/>
        </w:rPr>
        <w:t xml:space="preserve">This correspondence is significant because it means that the rich theoretical apparatus of argumentation theory — including results on extension existence, complexity, and dialogue games — can be brought to bear on the analysis of ADTs. For the present research, the most directly relevant consequence is that the grounded semantics provides a tractable, polynomial-time algorithm for computing the IN/OUT/UNDECIDED labelling of all nodes in an ADT given a specified set of active defences, making it suitable for implementation in an interactive tool that must recompute labels in response to user interactions.</w:t>
      </w:r>
    </w:p>
    <w:p>
      <w:pPr>
        <w:pStyle w:val="Heading2"/>
        <w:spacing w:after="160" w:before="400"/>
      </w:pPr>
      <w:r>
        <w:rPr>
          <w:rFonts w:ascii="Arial" w:cs="Arial" w:eastAsia="Arial" w:hAnsi="Arial"/>
          <w:b/>
          <w:bCs/>
          <w:color w:val="2E75B6"/>
          <w:sz w:val="28"/>
          <w:szCs w:val="28"/>
        </w:rPr>
        <w:t xml:space="preserve">2.6  Visualisation in Cybersecurity</w:t>
      </w:r>
    </w:p>
    <w:p>
      <w:pPr>
        <w:spacing w:after="200" w:before="0"/>
        <w:ind w:firstLine="720"/>
        <w:jc w:val="both"/>
      </w:pPr>
      <w:r>
        <w:rPr>
          <w:rFonts w:ascii="Times New Roman" w:cs="Times New Roman" w:eastAsia="Times New Roman" w:hAnsi="Times New Roman"/>
          <w:color w:val="111111"/>
          <w:sz w:val="24"/>
          <w:szCs w:val="24"/>
        </w:rPr>
        <w:t xml:space="preserve">The visualisation of security information is a recognised subfield of both cybersecurity and information visualisation research. Shiravi, Shiravi and Ghorbani (2012) provide a comprehensive taxonomy of network security visualisation techniques, distinguishing between visualisations of network traffic, attack patterns, security events, and security models. The present research is most closely related to the last category: visualisations that represent the structure of a security model rather than empirical security data.</w:t>
      </w:r>
    </w:p>
    <w:p>
      <w:pPr>
        <w:spacing w:after="200" w:before="0"/>
        <w:ind w:firstLine="720"/>
        <w:jc w:val="both"/>
      </w:pPr>
      <w:r>
        <w:rPr>
          <w:rFonts w:ascii="Times New Roman" w:cs="Times New Roman" w:eastAsia="Times New Roman" w:hAnsi="Times New Roman"/>
          <w:color w:val="111111"/>
          <w:sz w:val="24"/>
          <w:szCs w:val="24"/>
        </w:rPr>
        <w:t xml:space="preserve">Existing tools for security model visualisation fall into two broad categories. General-purpose diagramming tools — including Microsoft Visio, Lucidchart, and draw.io — can represent attack trees and ADTs as static diagrams, but provide no semantic understanding of the underlying formalism: the user must manually annotate nodes and there is no mechanism for computing or displaying the logical status of nodes. Specialist security modelling tools, of which ADTool (Gadyatskaya et al., 2016) is the most prominent for the ADT domain, provide formal analysis capabilities but output static diagrams that represent a single analysis result and cannot be interactively explored.</w:t>
      </w:r>
    </w:p>
    <w:p>
      <w:pPr>
        <w:spacing w:after="200" w:before="0"/>
        <w:ind w:firstLine="720"/>
        <w:jc w:val="both"/>
      </w:pPr>
      <w:r>
        <w:rPr>
          <w:rFonts w:ascii="Times New Roman" w:cs="Times New Roman" w:eastAsia="Times New Roman" w:hAnsi="Times New Roman"/>
          <w:color w:val="111111"/>
          <w:sz w:val="24"/>
          <w:szCs w:val="24"/>
        </w:rPr>
        <w:t xml:space="preserve">An important adjacent body of work is the literature on interactive security dashboards and threat intelligence visualisations. Tools such as MITRE ATT&amp;CK Navigator (MITRE, 2023) provide interactive visualisations of threat intelligence matrices; CyberSA and similar systems support security operations centre analysts with visual summaries of security events. However, these tools operate on empirical threat data rather than formal security models, and their interactivity is oriented towards data filtering and navigation rather than logical reasoning about defensive posture.</w:t>
      </w:r>
    </w:p>
    <w:p>
      <w:pPr>
        <w:spacing w:after="200" w:before="0"/>
        <w:ind w:firstLine="720"/>
        <w:jc w:val="both"/>
      </w:pPr>
      <w:r>
        <w:rPr>
          <w:rFonts w:ascii="Times New Roman" w:cs="Times New Roman" w:eastAsia="Times New Roman" w:hAnsi="Times New Roman"/>
          <w:color w:val="111111"/>
          <w:sz w:val="24"/>
          <w:szCs w:val="24"/>
        </w:rPr>
        <w:t xml:space="preserve">The specific combination of formal ADT semantics, argumentation-theoretic labelling, and interactive browser-based visualisation that this dissertation proposes has not, to the best of the author's knowledge, been previously implemented. The closest related work is the SecDSViz framework of Dhillon and Tsoumas (2019), which supports interactive visualisation of security decision trees, and the argumentation-based security analysis tools described by Baroni et al. (2018), which implement argumentation semantics in a desktop application but do not provide visualisation of the resulting labellings in an interactive graphical form.</w:t>
      </w:r>
    </w:p>
    <w:p>
      <w:pPr>
        <w:pStyle w:val="Heading2"/>
        <w:spacing w:after="160" w:before="400"/>
      </w:pPr>
      <w:r>
        <w:rPr>
          <w:rFonts w:ascii="Arial" w:cs="Arial" w:eastAsia="Arial" w:hAnsi="Arial"/>
          <w:b/>
          <w:bCs/>
          <w:color w:val="2E75B6"/>
          <w:sz w:val="28"/>
          <w:szCs w:val="28"/>
        </w:rPr>
        <w:t xml:space="preserve">2.7  Summary and Research Gap</w:t>
      </w:r>
    </w:p>
    <w:p>
      <w:pPr>
        <w:spacing w:after="200" w:before="0"/>
        <w:ind w:firstLine="720"/>
        <w:jc w:val="both"/>
      </w:pPr>
      <w:r>
        <w:rPr>
          <w:rFonts w:ascii="Times New Roman" w:cs="Times New Roman" w:eastAsia="Times New Roman" w:hAnsi="Times New Roman"/>
          <w:color w:val="111111"/>
          <w:sz w:val="24"/>
          <w:szCs w:val="24"/>
        </w:rPr>
        <w:t xml:space="preserve">The preceding review reveals a clear and consistent gap in the existing literature and tooling landscape. The formal theoretical foundations for the approach proposed in this dissertation are well established: attack trees and ADTs provide a rigorous language for modelling the ePassport threat landscape; Dung's argumentation framework and its extensions provide a tractable semantics for reasoning about the acceptability of security arguments; and the application of these formalisms to ePassport security is theoretically straightforward. However, no existing tool combines these theoretical foundations with an interactive visualisation that:</w:t>
      </w:r>
    </w:p>
    <w:p>
      <w:pPr>
        <w:pStyle w:val="ListParagraph"/>
        <w:numPr>
          <w:ilvl w:val="0"/>
          <w:numId w:val="2"/>
        </w:numPr>
        <w:spacing w:after="80" w:before="80"/>
      </w:pPr>
      <w:r>
        <w:rPr>
          <w:rFonts w:ascii="Times New Roman" w:cs="Times New Roman" w:eastAsia="Times New Roman" w:hAnsi="Times New Roman"/>
          <w:sz w:val="24"/>
          <w:szCs w:val="24"/>
        </w:rPr>
        <w:t xml:space="preserve">renders the full ePassport ADT as a navigable, browser-accessible diagram;</w:t>
      </w:r>
    </w:p>
    <w:p>
      <w:pPr>
        <w:pStyle w:val="ListParagraph"/>
        <w:numPr>
          <w:ilvl w:val="0"/>
          <w:numId w:val="2"/>
        </w:numPr>
        <w:spacing w:after="80" w:before="80"/>
      </w:pPr>
      <w:r>
        <w:rPr>
          <w:rFonts w:ascii="Times New Roman" w:cs="Times New Roman" w:eastAsia="Times New Roman" w:hAnsi="Times New Roman"/>
          <w:sz w:val="24"/>
          <w:szCs w:val="24"/>
        </w:rPr>
        <w:t xml:space="preserve">allows users to toggle individual defence mechanisms on and off;</w:t>
      </w:r>
    </w:p>
    <w:p>
      <w:pPr>
        <w:pStyle w:val="ListParagraph"/>
        <w:numPr>
          <w:ilvl w:val="0"/>
          <w:numId w:val="2"/>
        </w:numPr>
        <w:spacing w:after="80" w:before="80"/>
      </w:pPr>
      <w:r>
        <w:rPr>
          <w:rFonts w:ascii="Times New Roman" w:cs="Times New Roman" w:eastAsia="Times New Roman" w:hAnsi="Times New Roman"/>
          <w:sz w:val="24"/>
          <w:szCs w:val="24"/>
        </w:rPr>
        <w:t xml:space="preserve">dynamically recomputes and displays argumentation labels (IN/OUT/UNDECIDED) for all nodes in response to changes in the defensive posture; and</w:t>
      </w:r>
    </w:p>
    <w:p>
      <w:pPr>
        <w:pStyle w:val="ListParagraph"/>
        <w:numPr>
          <w:ilvl w:val="0"/>
          <w:numId w:val="2"/>
        </w:numPr>
        <w:spacing w:after="80" w:before="80"/>
      </w:pPr>
      <w:r>
        <w:rPr>
          <w:rFonts w:ascii="Times New Roman" w:cs="Times New Roman" w:eastAsia="Times New Roman" w:hAnsi="Times New Roman"/>
          <w:sz w:val="24"/>
          <w:szCs w:val="24"/>
        </w:rPr>
        <w:t xml:space="preserve">presents this information in a form accessible to users without specialist knowledge of formal methods.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Research Gap</w:t>
            </w:r>
          </w:p>
        </w:tc>
        <w:tc>
          <w:tcPr>
            <w:tcW w:type="dxa" w:w="79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intersection of formal ADT semantics, Dung-style argumentation labelling, and interactive browser-based visualisation — applied specifically to ePassport security — constitutes an unaddressed gap in both the academic literature and the practitioner tooling landscape.</w:t>
            </w:r>
          </w:p>
        </w:tc>
      </w:tr>
    </w:tbl>
    <w:p>
      <w:pPr>
        <w:spacing w:before="200"/>
      </w:pPr>
      <w:r>
        <w:t xml:space="preserve"/>
      </w:r>
    </w:p>
    <w:p>
      <w:pPr>
        <w:spacing w:after="200" w:before="0"/>
        <w:jc w:val="both"/>
      </w:pPr>
      <w:r>
        <w:rPr>
          <w:rFonts w:ascii="Times New Roman" w:cs="Times New Roman" w:eastAsia="Times New Roman" w:hAnsi="Times New Roman"/>
          <w:color w:val="111111"/>
          <w:sz w:val="24"/>
          <w:szCs w:val="24"/>
        </w:rPr>
        <w:t xml:space="preserve">Chapter 3 addresses the methodological foundation for filling this gap, describing both the technical background of ePassport architecture and the research design adopted in this study.</w:t>
      </w:r>
    </w:p>
    <w:p>
      <w:pPr>
        <w:spacing w:before="300"/>
      </w:pPr>
      <w:r>
        <w:t xml:space="preserve"/>
      </w:r>
    </w:p>
    <w:p>
      <w:pPr>
        <w:pStyle w:val="Heading2"/>
        <w:spacing w:after="160" w:before="400"/>
      </w:pPr>
      <w:r>
        <w:rPr>
          <w:rFonts w:ascii="Arial" w:cs="Arial" w:eastAsia="Arial" w:hAnsi="Arial"/>
          <w:b/>
          <w:bCs/>
          <w:color w:val="2E75B6"/>
          <w:sz w:val="28"/>
          <w:szCs w:val="28"/>
        </w:rPr>
        <w:t xml:space="preserve">2.8  References</w:t>
      </w:r>
    </w:p>
    <w:p>
      <w:pPr>
        <w:spacing w:after="80" w:before="80"/>
        <w:ind w:left="720" w:hanging="720"/>
        <w:jc w:val="both"/>
      </w:pPr>
      <w:r>
        <w:rPr>
          <w:rFonts w:ascii="Times New Roman" w:cs="Times New Roman" w:eastAsia="Times New Roman" w:hAnsi="Times New Roman"/>
          <w:color w:val="333333"/>
          <w:sz w:val="20"/>
          <w:szCs w:val="20"/>
        </w:rPr>
        <w:t xml:space="preserve">Baroni, P., Caminada, M. and Giacomin, M. (2018) 'Abstract argumentation theory', in Handbook of Formal Argumentation. College Publications, pp. 1–66.</w:t>
      </w:r>
    </w:p>
    <w:p>
      <w:pPr>
        <w:spacing w:after="80" w:before="80"/>
        <w:ind w:left="720" w:hanging="720"/>
        <w:jc w:val="both"/>
      </w:pPr>
      <w:r>
        <w:rPr>
          <w:rFonts w:ascii="Times New Roman" w:cs="Times New Roman" w:eastAsia="Times New Roman" w:hAnsi="Times New Roman"/>
          <w:color w:val="333333"/>
          <w:sz w:val="20"/>
          <w:szCs w:val="20"/>
        </w:rPr>
        <w:t xml:space="preserve">Bundesamt fuer Sicherheit in der Informationstechnik (BSI) (2015) Technical Guideline TR-03110: Advanced Security Mechanisms for Machine Readable Travel Documents. Version 2.20. Bonn: BSI.</w:t>
      </w:r>
    </w:p>
    <w:p>
      <w:pPr>
        <w:spacing w:after="80" w:before="80"/>
        <w:ind w:left="720" w:hanging="720"/>
        <w:jc w:val="both"/>
      </w:pPr>
      <w:r>
        <w:rPr>
          <w:rFonts w:ascii="Times New Roman" w:cs="Times New Roman" w:eastAsia="Times New Roman" w:hAnsi="Times New Roman"/>
          <w:color w:val="333333"/>
          <w:sz w:val="20"/>
          <w:szCs w:val="20"/>
        </w:rPr>
        <w:t xml:space="preserve">Carluccio, D., Lemke, K., Paar, C. and Sadeghi, A.R. (2006) 'E-passport: The global traceability or how to feel like a UPS package', in Workshop on RFID Security, pp. 391–408.</w:t>
      </w:r>
    </w:p>
    <w:p>
      <w:pPr>
        <w:spacing w:after="80" w:before="80"/>
        <w:ind w:left="720" w:hanging="720"/>
        <w:jc w:val="both"/>
      </w:pPr>
      <w:r>
        <w:rPr>
          <w:rFonts w:ascii="Times New Roman" w:cs="Times New Roman" w:eastAsia="Times New Roman" w:hAnsi="Times New Roman"/>
          <w:color w:val="333333"/>
          <w:sz w:val="20"/>
          <w:szCs w:val="20"/>
        </w:rPr>
        <w:t xml:space="preserve">Chothia, T. and Smirnov, V. (2010) 'A traceability attack against e-passports', in Financial Cryptography and Data Security. Springer, pp. 20–34.</w:t>
      </w:r>
    </w:p>
    <w:p>
      <w:pPr>
        <w:spacing w:after="80" w:before="80"/>
        <w:ind w:left="720" w:hanging="720"/>
        <w:jc w:val="both"/>
      </w:pPr>
      <w:r>
        <w:rPr>
          <w:rFonts w:ascii="Times New Roman" w:cs="Times New Roman" w:eastAsia="Times New Roman" w:hAnsi="Times New Roman"/>
          <w:color w:val="333333"/>
          <w:sz w:val="20"/>
          <w:szCs w:val="20"/>
        </w:rPr>
        <w:t xml:space="preserve">Dhillon, G. and Tsoumas, B. (2019) 'Visualising security governance structures', Computers and Security, 84, pp. 236–248.</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Gadyatskaya, O., Jhawar, R., Kordy, P., Lounis, K., Mauw, S. and Trujillo-Rasua, R. (2016) 'Attack trees for practical security assessment: Ranking of attack scenarios with ADTool 2.0', in Quantitative Evaluation of Systems. Springer, pp. 159–162.</w:t>
      </w:r>
    </w:p>
    <w:p>
      <w:pPr>
        <w:spacing w:after="80" w:before="80"/>
        <w:ind w:left="720" w:hanging="720"/>
        <w:jc w:val="both"/>
      </w:pPr>
      <w:r>
        <w:rPr>
          <w:rFonts w:ascii="Times New Roman" w:cs="Times New Roman" w:eastAsia="Times New Roman" w:hAnsi="Times New Roman"/>
          <w:color w:val="333333"/>
          <w:sz w:val="20"/>
          <w:szCs w:val="20"/>
        </w:rPr>
        <w:t xml:space="preserve">Gabbay, D.M. and Rodrigues, O. (2015) 'Equilibrium states in numerical argumentation networks', Logica Universalis, 9(4), pp. 411–473.</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Juels, A., Molnar, D. and Wagner, D. (2005) 'Security and privacy issues in e-passports', in First International Conference on Security and Privacy for Emerging Areas in Communications Networks, pp. 74–88.</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(2010) 'Foundations of attack-defence trees', in Formal Aspects of Security and Trust. Springer, pp. 80–95.</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(2012) 'Attack-defence trees', Journal of Logic and Computation, 24(1), pp. 55–87.</w:t>
      </w:r>
    </w:p>
    <w:p>
      <w:pPr>
        <w:spacing w:after="80" w:before="80"/>
        <w:ind w:left="720" w:hanging="720"/>
        <w:jc w:val="both"/>
      </w:pPr>
      <w:r>
        <w:rPr>
          <w:rFonts w:ascii="Times New Roman" w:cs="Times New Roman" w:eastAsia="Times New Roman" w:hAnsi="Times New Roman"/>
          <w:color w:val="333333"/>
          <w:sz w:val="20"/>
          <w:szCs w:val="20"/>
        </w:rPr>
        <w:t xml:space="preserve">Mauw, S. and Oostdijk, M. (2006) 'Foundations of attack trees', in Information Security and Cryptology — ICISC 2005. Springer, pp. 186–198.</w:t>
      </w:r>
    </w:p>
    <w:p>
      <w:pPr>
        <w:spacing w:after="80" w:before="80"/>
        <w:ind w:left="720" w:hanging="720"/>
        <w:jc w:val="both"/>
      </w:pPr>
      <w:r>
        <w:rPr>
          <w:rFonts w:ascii="Times New Roman" w:cs="Times New Roman" w:eastAsia="Times New Roman" w:hAnsi="Times New Roman"/>
          <w:color w:val="333333"/>
          <w:sz w:val="20"/>
          <w:szCs w:val="20"/>
        </w:rPr>
        <w:t xml:space="preserve">MITRE (2023) ATT&amp;CK Navigator. Available at: https://mitre-attack.github.io/attack-navigator (Accessed: 1 March 2024).</w:t>
      </w:r>
    </w:p>
    <w:p>
      <w:pPr>
        <w:spacing w:after="80" w:before="80"/>
        <w:ind w:left="720" w:hanging="720"/>
        <w:jc w:val="both"/>
      </w:pPr>
      <w:r>
        <w:rPr>
          <w:rFonts w:ascii="Times New Roman" w:cs="Times New Roman" w:eastAsia="Times New Roman" w:hAnsi="Times New Roman"/>
          <w:color w:val="333333"/>
          <w:sz w:val="20"/>
          <w:szCs w:val="20"/>
        </w:rPr>
        <w:t xml:space="preserve">Schneier, B. (1999) 'Attack trees: Modeling security threats', Dr. Dobb's Journal, 24(12), pp. 21–29.</w:t>
      </w:r>
    </w:p>
    <w:p>
      <w:pPr>
        <w:spacing w:after="80" w:before="80"/>
        <w:ind w:left="720" w:hanging="720"/>
        <w:jc w:val="both"/>
      </w:pPr>
      <w:r>
        <w:rPr>
          <w:rFonts w:ascii="Times New Roman" w:cs="Times New Roman" w:eastAsia="Times New Roman" w:hAnsi="Times New Roman"/>
          <w:color w:val="333333"/>
          <w:sz w:val="20"/>
          <w:szCs w:val="20"/>
        </w:rPr>
        <w:t xml:space="preserve">Shiravi, H., Shiravi, A. and Ghorbani, A.A. (2012) 'A survey of visualization systems for network security', IEEE Transactions on Visualization and Computer Graphics, 18(8), pp. 1313–1329.</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2: Literature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2026-05-20T11:47:32.593Z</dcterms:created>
  <dcterms:modified xsi:type="dcterms:W3CDTF">2026-05-20T11:47:32.611Z</dcterms:modified>
</cp:coreProperties>
</file>

<file path=docProps/custom.xml><?xml version="1.0" encoding="utf-8"?>
<Properties xmlns="http://schemas.openxmlformats.org/officeDocument/2006/custom-properties" xmlns:vt="http://schemas.openxmlformats.org/officeDocument/2006/docPropsVTypes"/>
</file>