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999999"/>
          <w:sz w:val="24"/>
          <w:szCs w:val="24"/>
        </w:rPr>
        <w:t xml:space="preserve">Chapter 3</w:t>
      </w:r>
    </w:p>
    <w:p>
      <w:pPr>
        <w:pBdr>
          <w:bottom w:val="single" w:color="2E75B6" w:sz="12" w:space="8"/>
        </w:pBdr>
        <w:spacing w:after="60" w:before="0"/>
      </w:pPr>
      <w:r>
        <w:rPr>
          <w:rFonts w:ascii="Arial" w:cs="Arial" w:eastAsia="Arial" w:hAnsi="Arial"/>
          <w:b/>
          <w:bCs/>
          <w:color w:val="1F3864"/>
          <w:sz w:val="52"/>
          <w:szCs w:val="52"/>
        </w:rPr>
        <w:t xml:space="preserve">Background and Methodology</w:t>
      </w:r>
    </w:p>
    <w:p>
      <w:pPr>
        <w:spacing w:before="3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This chapter provides the technical background necessary to understand the ePassport threat landscape and the methodological framework that governs the research conducted in this dissertation. Section 3.1 describes the architecture of ICAO 9303-compliant ePassports at a level of detail sufficient to ground the formal threat taxonomy developed in Chapter 4. Sections 3.2 and 3.3 describe the threat modelling and research methodologies adopted. Sections 3.4 and 3.5 detail the data collection plan and ethical framework.</w:t>
      </w:r>
    </w:p>
    <w:p>
      <w:pPr>
        <w:pStyle w:val="Heading2"/>
        <w:spacing w:after="160" w:before="400"/>
      </w:pPr>
      <w:r>
        <w:rPr>
          <w:rFonts w:ascii="Arial" w:cs="Arial" w:eastAsia="Arial" w:hAnsi="Arial"/>
          <w:b/>
          <w:bCs/>
          <w:color w:val="2E75B6"/>
          <w:sz w:val="28"/>
          <w:szCs w:val="28"/>
        </w:rPr>
        <w:t xml:space="preserve">3.1  ePassport Architecture</w:t>
      </w:r>
    </w:p>
    <w:p>
      <w:pPr>
        <w:spacing w:after="200" w:before="0"/>
        <w:ind w:firstLine="720"/>
        <w:jc w:val="both"/>
      </w:pPr>
      <w:r>
        <w:rPr>
          <w:rFonts w:ascii="Times New Roman" w:cs="Times New Roman" w:eastAsia="Times New Roman" w:hAnsi="Times New Roman"/>
          <w:color w:val="111111"/>
          <w:sz w:val="24"/>
          <w:szCs w:val="24"/>
        </w:rPr>
        <w:t xml:space="preserve">An ICAO 9303-compliant ePassport consists of three principal components: the physical booklet with its printed biographical data page, the Machine Readable Zone (MRZ) — two lines of OCR-readable text encoding a condensed version of the holder's data — and the embedded contactless integrated circuit chip. The chip communicates with reader terminals over an ISO/IEC 14443 Type A or Type B radio-frequency interface operating at 13.56 MHz, at ranges nominally not exceeding 10 cm.</w:t>
      </w:r>
    </w:p>
    <w:p>
      <w:pPr>
        <w:spacing w:after="200" w:before="0"/>
        <w:ind w:firstLine="720"/>
        <w:jc w:val="both"/>
      </w:pPr>
      <w:r>
        <w:rPr>
          <w:rFonts w:ascii="Times New Roman" w:cs="Times New Roman" w:eastAsia="Times New Roman" w:hAnsi="Times New Roman"/>
          <w:color w:val="111111"/>
          <w:sz w:val="24"/>
          <w:szCs w:val="24"/>
        </w:rPr>
        <w:t xml:space="preserve">The chip exposes a logical data structure organised as a hierarchy of Data Groups. DG1 replicates the MRZ data in digital form. DG2 stores the holder's face image in JPEG2000 or JPEG format. DG3 and DG4, where present, store fingerprint and iris biometric data respectively and are subject to Extended Access Control. DG14 contains the chip's active authentication public key, and DG15 supports the passive authentication verification chain. The Security Object (SOD) stored on the chip contains cryptographic hashes of all data groups, signed by the Document Signer certificate.</w:t>
      </w:r>
    </w:p>
    <w:p>
      <w:pPr>
        <w:spacing w:after="200" w:before="0"/>
        <w:ind w:firstLine="720"/>
        <w:jc w:val="both"/>
      </w:pPr>
      <w:r>
        <w:rPr>
          <w:rFonts w:ascii="Times New Roman" w:cs="Times New Roman" w:eastAsia="Times New Roman" w:hAnsi="Times New Roman"/>
          <w:color w:val="111111"/>
          <w:sz w:val="24"/>
          <w:szCs w:val="24"/>
        </w:rPr>
        <w:t xml:space="preserve">Access to the chip's data is governed by a layered access control architecture. At the outermost layer, PACE (or BAC in older documents) prevents the chip from responding to commands without prior establishment of a secure channel keyed from the MRZ. Once the secure channel is established, the terminal may read DG1 and DG2 freely. Access to DG3 and DG4 requires successful completion of EAC, which involves terminal certificate verification and chip authentication. Active Authentication may be performed at any point after BAC/PACE to verify chip genuineness.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760"/>
        <w:gridCol w:w="1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Protocol</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Threat Addressed</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Standard</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BAC / PACE</w:t>
            </w:r>
          </w:p>
        </w:tc>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RFID Skimming, Eavesdropping</w:t>
            </w:r>
          </w:p>
        </w:tc>
        <w:tc>
          <w:tcPr>
            <w:tcW w:type="dxa" w:w="2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MRZ-derived key, DH key agreement</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Part 11</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Passive Authentication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Data Forgery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PKI signature chain verification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Part 12</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Active Authentication</w:t>
            </w:r>
          </w:p>
        </w:tc>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Chip Cloning</w:t>
            </w:r>
          </w:p>
        </w:tc>
        <w:tc>
          <w:tcPr>
            <w:tcW w:type="dxa" w:w="2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Challenge-response with chip private key</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§6.1</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Extended Access Control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Biometric Theft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Terminal certificate + chip authentication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BSI TR-03110</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Random UID</w:t>
            </w:r>
          </w:p>
        </w:tc>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Holder Tracing</w:t>
            </w:r>
          </w:p>
        </w:tc>
        <w:tc>
          <w:tcPr>
            <w:tcW w:type="dxa" w:w="2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Randomised chip identifier per session</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ISO/IEC 14443-3</w:t>
            </w:r>
          </w:p>
        </w:tc>
      </w:tr>
    </w:tbl>
    <w:p>
      <w:pPr>
        <w:spacing w:before="200"/>
      </w:pPr>
      <w:r>
        <w:t xml:space="preserve"/>
      </w:r>
    </w:p>
    <w:p>
      <w:pPr>
        <w:pStyle w:val="Heading2"/>
        <w:spacing w:after="160" w:before="400"/>
      </w:pPr>
      <w:r>
        <w:rPr>
          <w:rFonts w:ascii="Arial" w:cs="Arial" w:eastAsia="Arial" w:hAnsi="Arial"/>
          <w:b/>
          <w:bCs/>
          <w:color w:val="2E75B6"/>
          <w:sz w:val="28"/>
          <w:szCs w:val="28"/>
        </w:rPr>
        <w:t xml:space="preserve">3.2  Threat Modelling: STRIDE and DREAD</w:t>
      </w:r>
    </w:p>
    <w:p>
      <w:pPr>
        <w:spacing w:after="200" w:before="0"/>
        <w:ind w:firstLine="720"/>
        <w:jc w:val="both"/>
      </w:pPr>
      <w:r>
        <w:rPr>
          <w:rFonts w:ascii="Times New Roman" w:cs="Times New Roman" w:eastAsia="Times New Roman" w:hAnsi="Times New Roman"/>
          <w:color w:val="111111"/>
          <w:sz w:val="24"/>
          <w:szCs w:val="24"/>
        </w:rPr>
        <w:t xml:space="preserve">Two complementary frameworks are employed for the systematic identification and prioritisation of ePassport threats. The STRIDE model, developed by Shostack (2014) and originally introduced at Microsoft, categorises threats according to six types: Spoofing of identity, Tampering with data, Repudiation of actions, Information disclosure, Denial of service, and Elevation of privilege. Applied to the ePassport domain, STRIDE provides a structured checklist that ensures completeness in threat identification: for each component of the ePassport architecture, the analyst considers what spoofing, tampering, information disclosure, and elevation of privilege attacks are feasible.</w:t>
      </w:r>
    </w:p>
    <w:p>
      <w:pPr>
        <w:spacing w:after="200" w:before="0"/>
        <w:ind w:firstLine="720"/>
        <w:jc w:val="both"/>
      </w:pPr>
      <w:r>
        <w:rPr>
          <w:rFonts w:ascii="Times New Roman" w:cs="Times New Roman" w:eastAsia="Times New Roman" w:hAnsi="Times New Roman"/>
          <w:color w:val="111111"/>
          <w:sz w:val="24"/>
          <w:szCs w:val="24"/>
        </w:rPr>
        <w:t xml:space="preserve">DREAD (Damage potential, Reproducibility, Exploitability, Affected users, Discoverability) provides a complementary scoring mechanism for prioritising identified threats. Each threat is scored from 1 to 10 on each DREAD dimension; the average score provides a relative severity ranking. While DREAD scoring involves subjective judgements that limit its use as a precise metric, it provides a useful first-order prioritisation that guides the depth of treatment accorded to each threat in the formal framework developed in Chapter 4.</w:t>
      </w:r>
    </w:p>
    <w:p>
      <w:pPr>
        <w:spacing w:after="200" w:before="0"/>
        <w:ind w:firstLine="720"/>
        <w:jc w:val="both"/>
      </w:pPr>
      <w:r>
        <w:rPr>
          <w:rFonts w:ascii="Times New Roman" w:cs="Times New Roman" w:eastAsia="Times New Roman" w:hAnsi="Times New Roman"/>
          <w:color w:val="111111"/>
          <w:sz w:val="24"/>
          <w:szCs w:val="24"/>
        </w:rPr>
        <w:t xml:space="preserve">The application of STRIDE to the ePassport architecture yields six primary threat categories that are addressed in the formal model: RFID Skimming (Information Disclosure against the RF interface); Eavesdropping (Information Disclosure against the communication channel); Chip Cloning (Spoofing of document identity); Data Forgery (Tampering with data groups); Holder Tracing (Information Disclosure enabling linkability); and Biometric Theft (Elevation of privilege to access EAC-protected data groups). These six threats form the leaf nodes of the attack side of the ADT developed in Chapter 4.</w:t>
      </w:r>
    </w:p>
    <w:p>
      <w:pPr>
        <w:pStyle w:val="Heading2"/>
        <w:spacing w:after="160" w:before="400"/>
      </w:pPr>
      <w:r>
        <w:rPr>
          <w:rFonts w:ascii="Arial" w:cs="Arial" w:eastAsia="Arial" w:hAnsi="Arial"/>
          <w:b/>
          <w:bCs/>
          <w:color w:val="2E75B6"/>
          <w:sz w:val="28"/>
          <w:szCs w:val="28"/>
        </w:rPr>
        <w:t xml:space="preserve">3.3  Research Design</w:t>
      </w:r>
    </w:p>
    <w:p>
      <w:pPr>
        <w:spacing w:after="200" w:before="0"/>
        <w:ind w:firstLine="720"/>
        <w:jc w:val="both"/>
      </w:pPr>
      <w:r>
        <w:rPr>
          <w:rFonts w:ascii="Times New Roman" w:cs="Times New Roman" w:eastAsia="Times New Roman" w:hAnsi="Times New Roman"/>
          <w:color w:val="111111"/>
          <w:sz w:val="24"/>
          <w:szCs w:val="24"/>
        </w:rPr>
        <w:t xml:space="preserve">This dissertation adopts a mixed-methods research design, combining formal methods (for the theoretical contribution) with empirical user studies (for the evaluation). The overall approach can be characterised as an artefact-centred research design (Hevner et al., 2004), in which the primary research contribution is a designed artefact — the interactive visualisation tool — evaluated against explicit utility criteria.</w:t>
      </w:r>
    </w:p>
    <w:p>
      <w:pPr>
        <w:spacing w:after="200" w:before="0"/>
        <w:ind w:firstLine="720"/>
        <w:jc w:val="both"/>
      </w:pPr>
      <w:r>
        <w:rPr>
          <w:rFonts w:ascii="Times New Roman" w:cs="Times New Roman" w:eastAsia="Times New Roman" w:hAnsi="Times New Roman"/>
          <w:color w:val="111111"/>
          <w:sz w:val="24"/>
          <w:szCs w:val="24"/>
        </w:rPr>
        <w:t xml:space="preserve">The formal component of the research draws on the Design Science Research methodology (DSRM) framework of Peffers et al. (2007), which structures artefact-centred research as a six-phase process: problem identification and motivation, objective definition, design and development, demonstration, evaluation, and communication. This dissertation follows this structure: Chapters 1 and 2 address problem identification and motivation; Chapter 4 addresses design; Chapter 5 addresses development and demonstration; Chapter 6 addresses evaluation.</w:t>
      </w:r>
    </w:p>
    <w:p>
      <w:pPr>
        <w:spacing w:after="200" w:before="0"/>
        <w:ind w:firstLine="720"/>
        <w:jc w:val="both"/>
      </w:pPr>
      <w:r>
        <w:rPr>
          <w:rFonts w:ascii="Times New Roman" w:cs="Times New Roman" w:eastAsia="Times New Roman" w:hAnsi="Times New Roman"/>
          <w:color w:val="111111"/>
          <w:sz w:val="24"/>
          <w:szCs w:val="24"/>
        </w:rPr>
        <w:t xml:space="preserve">The empirical component of the research employs a quasi-experimental design with a mixed participant sample. Two groups of participants are recruited: a specialist group comprising postgraduate students and researchers with formal training in cybersecurity or formal methods, and a non-specialist group comprising individuals with general technical backgrounds but without specialised security knowledge. Both groups interact with the visualisation tool and complete a standardised usability and comprehension assessment. The two-group design enables comparison of the tool's effectiveness across different levels of prior knowledge, addressing the research objective of evaluating usability for diverse stakeholder groups.</w:t>
      </w:r>
    </w:p>
    <w:p>
      <w:pPr>
        <w:pStyle w:val="Heading2"/>
        <w:spacing w:after="160" w:before="400"/>
      </w:pPr>
      <w:r>
        <w:rPr>
          <w:rFonts w:ascii="Arial" w:cs="Arial" w:eastAsia="Arial" w:hAnsi="Arial"/>
          <w:b/>
          <w:bCs/>
          <w:color w:val="2E75B6"/>
          <w:sz w:val="28"/>
          <w:szCs w:val="28"/>
        </w:rPr>
        <w:t xml:space="preserve">3.4  Data Collection Plan</w:t>
      </w:r>
    </w:p>
    <w:p>
      <w:pPr>
        <w:spacing w:after="200" w:before="0"/>
        <w:ind w:firstLine="720"/>
        <w:jc w:val="both"/>
      </w:pPr>
      <w:r>
        <w:rPr>
          <w:rFonts w:ascii="Times New Roman" w:cs="Times New Roman" w:eastAsia="Times New Roman" w:hAnsi="Times New Roman"/>
          <w:color w:val="111111"/>
          <w:sz w:val="24"/>
          <w:szCs w:val="24"/>
        </w:rPr>
        <w:t xml:space="preserve">Data collection for the evaluation component proceeds in two phases. In the first phase, participants complete a pre-study background questionnaire capturing their level of expertise in cybersecurity, familiarity with formal methods, and prior knowledge of ePassport technology. This questionnaire provides the basis for group assignment and enables statistical control for prior knowledge in the analysis.</w:t>
      </w:r>
    </w:p>
    <w:p>
      <w:pPr>
        <w:spacing w:after="200" w:before="0"/>
        <w:ind w:firstLine="720"/>
        <w:jc w:val="both"/>
      </w:pPr>
      <w:r>
        <w:rPr>
          <w:rFonts w:ascii="Times New Roman" w:cs="Times New Roman" w:eastAsia="Times New Roman" w:hAnsi="Times New Roman"/>
          <w:color w:val="111111"/>
          <w:sz w:val="24"/>
          <w:szCs w:val="24"/>
        </w:rPr>
        <w:t xml:space="preserve">In the second phase, participants interact with the visualisation tool for a fixed period of twenty minutes, following a structured task scenario that requires them to: identify which attacks are currently defeated in the default configuration; predict the consequence of disabling a specified defence mechanism; and explain the logical relationship between a given attack and its countering defence. Following the task period, participants complete the System Usability Scale (SUS) (Brooke, 1996) — a validated 10-item instrument measuring overall usability — together with four comprehension questions assessing their understanding of the ADT and argumentation content presented by the tool. A sub-sample of participants (target: six individuals, three from each group) then participate in semi-structured interviews exploring their experience of the tool in greater depth.</w:t>
      </w:r>
    </w:p>
    <w:p>
      <w:pPr>
        <w:pStyle w:val="Heading2"/>
        <w:spacing w:after="160" w:before="400"/>
      </w:pPr>
      <w:r>
        <w:rPr>
          <w:rFonts w:ascii="Arial" w:cs="Arial" w:eastAsia="Arial" w:hAnsi="Arial"/>
          <w:b/>
          <w:bCs/>
          <w:color w:val="2E75B6"/>
          <w:sz w:val="28"/>
          <w:szCs w:val="28"/>
        </w:rPr>
        <w:t xml:space="preserve">3.5  Ethical Considerations</w:t>
      </w:r>
    </w:p>
    <w:p>
      <w:pPr>
        <w:spacing w:after="200" w:before="0"/>
        <w:ind w:firstLine="720"/>
        <w:jc w:val="both"/>
      </w:pPr>
      <w:r>
        <w:rPr>
          <w:rFonts w:ascii="Times New Roman" w:cs="Times New Roman" w:eastAsia="Times New Roman" w:hAnsi="Times New Roman"/>
          <w:color w:val="111111"/>
          <w:sz w:val="24"/>
          <w:szCs w:val="24"/>
        </w:rPr>
        <w:t xml:space="preserve">The research involves human participants and therefore requires ethical approval from the University of Strathclyde Ethics Committee prior to data collection. The following ethical safeguards are implemented. All participation is voluntary; participants are informed of their right to withdraw at any time without consequence. No personally identifiable information is collected beyond the background questionnaire; questionnaire responses are anonymised before analysis by assigning each participant a numeric identifier. Interview recordings are stored on password-protected university systems and deleted following transcription. Data is retained for the duration of the dissertation project and for a period of five years thereafter, in accordance with the University's data retention policy. Participants are debriefed following the study session.</w:t>
      </w:r>
    </w:p>
    <w:p>
      <w:pPr>
        <w:spacing w:before="300"/>
      </w:pPr>
      <w:r>
        <w:t xml:space="preserve"/>
      </w:r>
    </w:p>
    <w:p>
      <w:pPr>
        <w:pStyle w:val="Heading2"/>
        <w:spacing w:after="160" w:before="400"/>
      </w:pPr>
      <w:r>
        <w:rPr>
          <w:rFonts w:ascii="Arial" w:cs="Arial" w:eastAsia="Arial" w:hAnsi="Arial"/>
          <w:b/>
          <w:bCs/>
          <w:color w:val="2E75B6"/>
          <w:sz w:val="28"/>
          <w:szCs w:val="28"/>
        </w:rPr>
        <w:t xml:space="preserve">3.6  References</w:t>
      </w:r>
    </w:p>
    <w:p>
      <w:pPr>
        <w:spacing w:after="80" w:before="80"/>
        <w:ind w:left="720" w:hanging="720"/>
        <w:jc w:val="both"/>
      </w:pPr>
      <w:r>
        <w:rPr>
          <w:rFonts w:ascii="Times New Roman" w:cs="Times New Roman" w:eastAsia="Times New Roman" w:hAnsi="Times New Roman"/>
          <w:color w:val="333333"/>
          <w:sz w:val="20"/>
          <w:szCs w:val="20"/>
        </w:rPr>
        <w:t xml:space="preserve">Brooke, J. (1996) 'SUS: A quick and dirty usability scale', in Jordan, P.W. et al. (eds.) Usability Evaluation in Industry. London: Taylor &amp; Francis, pp. 189–194.</w:t>
      </w:r>
    </w:p>
    <w:p>
      <w:pPr>
        <w:spacing w:after="80" w:before="80"/>
        <w:ind w:left="720" w:hanging="720"/>
        <w:jc w:val="both"/>
      </w:pPr>
      <w:r>
        <w:rPr>
          <w:rFonts w:ascii="Times New Roman" w:cs="Times New Roman" w:eastAsia="Times New Roman" w:hAnsi="Times New Roman"/>
          <w:color w:val="333333"/>
          <w:sz w:val="20"/>
          <w:szCs w:val="20"/>
        </w:rPr>
        <w:t xml:space="preserve">Bundesamt fuer Sicherheit in der Informationstechnik (BSI) (2015) Technical Guideline TR-03110: Advanced Security Mechanisms for Machine Readable Travel Documents. Version 2.20. Bonn: BSI.</w:t>
      </w:r>
    </w:p>
    <w:p>
      <w:pPr>
        <w:spacing w:after="80" w:before="80"/>
        <w:ind w:left="720" w:hanging="720"/>
        <w:jc w:val="both"/>
      </w:pPr>
      <w:r>
        <w:rPr>
          <w:rFonts w:ascii="Times New Roman" w:cs="Times New Roman" w:eastAsia="Times New Roman" w:hAnsi="Times New Roman"/>
          <w:color w:val="333333"/>
          <w:sz w:val="20"/>
          <w:szCs w:val="20"/>
        </w:rPr>
        <w:t xml:space="preserve">Hevner, A.R., March, S.T., Park, J. and Ram, S. (2004) 'Design science in information systems research', MIS Quarterly, 28(1), pp. 75–105.</w:t>
      </w:r>
    </w:p>
    <w:p>
      <w:pPr>
        <w:spacing w:after="80" w:before="80"/>
        <w:ind w:left="720" w:hanging="720"/>
        <w:jc w:val="both"/>
      </w:pPr>
      <w:r>
        <w:rPr>
          <w:rFonts w:ascii="Times New Roman" w:cs="Times New Roman" w:eastAsia="Times New Roman" w:hAnsi="Times New Roman"/>
          <w:color w:val="333333"/>
          <w:sz w:val="20"/>
          <w:szCs w:val="20"/>
        </w:rPr>
        <w:t xml:space="preserve">ICAO (2021) Doc 9303: Machine Readable Travel Documents. 8th edn. Montreal: International Civil Aviation Organisation.</w:t>
      </w:r>
    </w:p>
    <w:p>
      <w:pPr>
        <w:spacing w:after="80" w:before="80"/>
        <w:ind w:left="720" w:hanging="720"/>
        <w:jc w:val="both"/>
      </w:pPr>
      <w:r>
        <w:rPr>
          <w:rFonts w:ascii="Times New Roman" w:cs="Times New Roman" w:eastAsia="Times New Roman" w:hAnsi="Times New Roman"/>
          <w:color w:val="333333"/>
          <w:sz w:val="20"/>
          <w:szCs w:val="20"/>
        </w:rPr>
        <w:t xml:space="preserve">Peffers, K., Tuunanen, T., Rothenberger, M.A. and Chatterjee, S. (2007) 'A design science research methodology for information systems research', Journal of Management Information Systems, 24(3), pp. 45–77.</w:t>
      </w:r>
    </w:p>
    <w:p>
      <w:pPr>
        <w:spacing w:after="80" w:before="80"/>
        <w:ind w:left="720" w:hanging="720"/>
        <w:jc w:val="both"/>
      </w:pPr>
      <w:r>
        <w:rPr>
          <w:rFonts w:ascii="Times New Roman" w:cs="Times New Roman" w:eastAsia="Times New Roman" w:hAnsi="Times New Roman"/>
          <w:color w:val="333333"/>
          <w:sz w:val="20"/>
          <w:szCs w:val="20"/>
        </w:rPr>
        <w:t xml:space="preserve">Shostack, A. (2014) Threat Modeling: Designing for Security. Indianapolis: Wiley.</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jc w:val="center"/>
    </w:pPr>
    <w:r>
      <w:rPr>
        <w:rFonts w:ascii="Arial" w:cs="Arial" w:eastAsia="Arial" w:hAnsi="Arial"/>
        <w:color w:val="999999"/>
        <w:sz w:val="18"/>
        <w:szCs w:val="18"/>
      </w:rPr>
      <w:t xml:space="preserve">Ronith Naveen Kumar  |  202357131  |  Chapter 3: Background and Methodology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2026-05-20T11:47:32.680Z</dcterms:created>
  <dcterms:modified xsi:type="dcterms:W3CDTF">2026-05-20T11:47:32.680Z</dcterms:modified>
</cp:coreProperties>
</file>

<file path=docProps/custom.xml><?xml version="1.0" encoding="utf-8"?>
<Properties xmlns="http://schemas.openxmlformats.org/officeDocument/2006/custom-properties" xmlns:vt="http://schemas.openxmlformats.org/officeDocument/2006/docPropsVTypes"/>
</file>