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999999"/>
          <w:sz w:val="24"/>
          <w:szCs w:val="24"/>
        </w:rPr>
        <w:t xml:space="preserve">Chapter 4</w:t>
      </w:r>
    </w:p>
    <w:p>
      <w:pPr>
        <w:pBdr>
          <w:bottom w:val="single" w:color="2E75B6" w:sz="12" w:space="8"/>
        </w:pBdr>
        <w:spacing w:after="60" w:before="0"/>
      </w:pPr>
      <w:r>
        <w:rPr>
          <w:rFonts w:ascii="Arial" w:cs="Arial" w:eastAsia="Arial" w:hAnsi="Arial"/>
          <w:b/>
          <w:bCs/>
          <w:color w:val="1F3864"/>
          <w:sz w:val="52"/>
          <w:szCs w:val="52"/>
        </w:rPr>
        <w:t xml:space="preserve">Argumentation Framework Design</w:t>
      </w:r>
    </w:p>
    <w:p>
      <w:pPr>
        <w:spacing w:before="320"/>
      </w:pPr>
      <w:r>
        <w:t xml:space="preserve"/>
      </w:r>
    </w:p>
    <w:p>
      <w:pPr>
        <w:spacing w:after="200" w:before="0"/>
        <w:ind w:firstLine="720"/>
        <w:jc w:val="both"/>
      </w:pPr>
      <w:r>
        <w:rPr>
          <w:rFonts w:ascii="Times New Roman" w:cs="Times New Roman" w:eastAsia="Times New Roman" w:hAnsi="Times New Roman"/>
          <w:color w:val="111111"/>
          <w:sz w:val="24"/>
          <w:szCs w:val="24"/>
        </w:rPr>
        <w:t xml:space="preserve">This chapter develops the formal argumentation framework that constitutes the theoretical core of this dissertation. Section 4.1 specifies the ePassport threat taxonomy derived from the STRIDE analysis of Chapter 3. Section 4.2 maps the relevant defence mechanisms to attack nodes and formalises the defeat relation. Section 4.3 presents the complete Attack-Defence Tree model. Section 4.4 defines the argumentation labelling semantics applied to the model. Section 4.5 validates the framework by tracing through representative security scenarios.</w:t>
      </w:r>
    </w:p>
    <w:p>
      <w:pPr>
        <w:pStyle w:val="Heading2"/>
        <w:spacing w:after="160" w:before="400"/>
      </w:pPr>
      <w:r>
        <w:rPr>
          <w:rFonts w:ascii="Arial" w:cs="Arial" w:eastAsia="Arial" w:hAnsi="Arial"/>
          <w:b/>
          <w:bCs/>
          <w:color w:val="2E75B6"/>
          <w:sz w:val="28"/>
          <w:szCs w:val="28"/>
        </w:rPr>
        <w:t xml:space="preserve">4.1  ePassport Threat Taxonomy</w:t>
      </w:r>
    </w:p>
    <w:p>
      <w:pPr>
        <w:spacing w:after="200" w:before="0"/>
        <w:ind w:firstLine="720"/>
        <w:jc w:val="both"/>
      </w:pPr>
      <w:r>
        <w:rPr>
          <w:rFonts w:ascii="Times New Roman" w:cs="Times New Roman" w:eastAsia="Times New Roman" w:hAnsi="Times New Roman"/>
          <w:color w:val="111111"/>
          <w:sz w:val="24"/>
          <w:szCs w:val="24"/>
        </w:rPr>
        <w:t xml:space="preserve">The systematic application of STRIDE to the ePassport architecture described in Chapter 3 yields six primary attack categories. These six attacks are organised into three attack vectors corresponding to the principal layers of the ePassport security architecture: RF Interface Attacks, which exploit the contactless communication channel; Data Integrity Attacks, which target the authenticity and immutability of chip data; and Privacy Attacks, which seek to identify, trace, or de-anonymise document 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1360"/>
        <w:gridCol w:w="20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Attack</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Vector</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STRIDE Category</w:t>
            </w:r>
          </w:p>
        </w:tc>
        <w:tc>
          <w:tcPr>
            <w:tcW w:type="dxa" w:w="13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DREAD Score</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ICAO Reference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 Interface</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Information Disclosure</w:t>
            </w:r>
          </w:p>
        </w:tc>
        <w:tc>
          <w:tcPr>
            <w:tcW w:type="dxa" w:w="1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7.2</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§4.2</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Eavesdropping</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 Interface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Information Disclosure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6.4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§4.3</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Chip Cloning</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Integrity</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Spoofing</w:t>
            </w:r>
          </w:p>
        </w:tc>
        <w:tc>
          <w:tcPr>
            <w:tcW w:type="dxa" w:w="1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9.1</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§6.1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Forgery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Integrity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Tampering</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8.8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12</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Holder Tracing</w:t>
            </w:r>
          </w:p>
        </w:tc>
        <w:tc>
          <w:tcPr>
            <w:tcW w:type="dxa" w:w="1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Privacy</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Information Disclosure</w:t>
            </w:r>
          </w:p>
        </w:tc>
        <w:tc>
          <w:tcPr>
            <w:tcW w:type="dxa" w:w="13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7.6</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ISO/IEC 14443-3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Biometric Theft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Privacy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Elevation of Privilege</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9.4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BSI TR-03110</w:t>
            </w:r>
          </w:p>
        </w:tc>
      </w:tr>
    </w:tbl>
    <w:p>
      <w:pPr>
        <w:spacing w:before="200"/>
      </w:pPr>
      <w:r>
        <w:t xml:space="preserve"/>
      </w:r>
    </w:p>
    <w:p>
      <w:pPr>
        <w:spacing w:after="200" w:before="0"/>
        <w:ind w:firstLine="720"/>
        <w:jc w:val="both"/>
      </w:pPr>
      <w:r>
        <w:rPr>
          <w:rFonts w:ascii="Times New Roman" w:cs="Times New Roman" w:eastAsia="Times New Roman" w:hAnsi="Times New Roman"/>
          <w:color w:val="111111"/>
          <w:sz w:val="24"/>
          <w:szCs w:val="24"/>
        </w:rPr>
        <w:t xml:space="preserve">RFID Skimming denotes the unauthorised reading of ePassport chip data by a reader operating without the holder's knowledge or consent. The attack exploits the contactless nature of the RFID interface: an attacker with a concealed reader in proximity to the document can attempt to initiate a chip session. Eavesdropping denotes the interception of the RF communication between a legitimate reader and the chip, enabling the extraction of data without direct chip access.</w:t>
      </w:r>
    </w:p>
    <w:p>
      <w:pPr>
        <w:spacing w:after="200" w:before="0"/>
        <w:ind w:firstLine="720"/>
        <w:jc w:val="both"/>
      </w:pPr>
      <w:r>
        <w:rPr>
          <w:rFonts w:ascii="Times New Roman" w:cs="Times New Roman" w:eastAsia="Times New Roman" w:hAnsi="Times New Roman"/>
          <w:color w:val="111111"/>
          <w:sz w:val="24"/>
          <w:szCs w:val="24"/>
        </w:rPr>
        <w:t xml:space="preserve">Chip Cloning represents a critical attack against document identity: the attacker copies all accessible data from a genuine chip to a blank writable chip, producing a functional replica. Data Forgery denotes the modification of data group content — most critically, the substitution of biometric data — combined with the regeneration of a consistent Security Object, in the absence of the genuine Document Signer key. Holder Tracing exploits static chip identifiers or distinguishable chip responses to build a location and interaction history for a specific document. Biometric Theft represents the extraction of DG3 or DG4 fingerprint or iris data from a chip whose EAC protection has been bypassed or whose terminal certificate has been compromised.</w:t>
      </w:r>
    </w:p>
    <w:p>
      <w:pPr>
        <w:pStyle w:val="Heading2"/>
        <w:spacing w:after="160" w:before="400"/>
      </w:pPr>
      <w:r>
        <w:rPr>
          <w:rFonts w:ascii="Arial" w:cs="Arial" w:eastAsia="Arial" w:hAnsi="Arial"/>
          <w:b/>
          <w:bCs/>
          <w:color w:val="2E75B6"/>
          <w:sz w:val="28"/>
          <w:szCs w:val="28"/>
        </w:rPr>
        <w:t xml:space="preserve">4.2  Defence Mapping and Defeat Relations</w:t>
      </w:r>
    </w:p>
    <w:p>
      <w:pPr>
        <w:spacing w:after="200" w:before="0"/>
        <w:ind w:firstLine="720"/>
        <w:jc w:val="both"/>
      </w:pPr>
      <w:r>
        <w:rPr>
          <w:rFonts w:ascii="Times New Roman" w:cs="Times New Roman" w:eastAsia="Times New Roman" w:hAnsi="Times New Roman"/>
          <w:color w:val="111111"/>
          <w:sz w:val="24"/>
          <w:szCs w:val="24"/>
        </w:rPr>
        <w:t xml:space="preserve">Five defence mechanisms are formally specified in the framework, each derived from the ICAO 9303 and BSI TR-03110 standard suite. Each defence is assigned to one or more attack nodes via a defeat relation, written d defeats a, denoting that the activation of defence d renders attack a infeasible. The defeat relation captures the logical dependency between countermeasure deployment and attack viability.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160"/>
        <w:gridCol w:w="2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Defence</w:t>
            </w:r>
          </w:p>
        </w:tc>
        <w:tc>
          <w:tcPr>
            <w:tcW w:type="dxa" w:w="28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Defeats (Attack)</w:t>
            </w:r>
          </w:p>
        </w:tc>
        <w:tc>
          <w:tcPr>
            <w:tcW w:type="dxa" w:w="216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Standard</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BAC / PACE</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RFID Skimming, Eavesdropping</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MRZ-key secure channel</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11</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Active Authentication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Chip Cloning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Challenge-response, chip private key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§6.1</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Passive Authentication / PKI</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Data Forgery</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Document Signer certificate chain</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ICAO 9303 Part 12</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Random UID</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Holder Tracing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Session-randomised chip identifier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ISO/IEC 14443-3</w:t>
            </w:r>
          </w:p>
        </w:tc>
      </w:tr>
      <w:tr>
        <w:tc>
          <w:tcPr>
            <w:tcW w:type="dxa" w:w="2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Extended Access Control</w:t>
            </w:r>
          </w:p>
        </w:tc>
        <w:tc>
          <w:tcPr>
            <w:tcW w:type="dxa" w:w="28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Biometric Theft</w:t>
            </w:r>
          </w:p>
        </w:tc>
        <w:tc>
          <w:tcPr>
            <w:tcW w:type="dxa" w:w="216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Terminal certificate + chip authentication</w:t>
            </w:r>
          </w:p>
        </w:tc>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tcPr>
          <w:p>
            <w:r>
              <w:rPr>
                <w:rFonts w:ascii="Times New Roman" w:cs="Times New Roman" w:eastAsia="Times New Roman" w:hAnsi="Times New Roman"/>
                <w:color w:val="111111"/>
                <w:sz w:val="20"/>
                <w:szCs w:val="20"/>
              </w:rPr>
              <w:t xml:space="preserve">BSI TR-03110</w:t>
            </w:r>
          </w:p>
        </w:tc>
      </w:tr>
    </w:tbl>
    <w:p>
      <w:pPr>
        <w:spacing w:before="200"/>
      </w:pPr>
      <w:r>
        <w:t xml:space="preserve"/>
      </w:r>
    </w:p>
    <w:p>
      <w:pPr>
        <w:spacing w:after="200" w:before="0"/>
        <w:ind w:firstLine="720"/>
        <w:jc w:val="both"/>
      </w:pPr>
      <w:r>
        <w:rPr>
          <w:rFonts w:ascii="Times New Roman" w:cs="Times New Roman" w:eastAsia="Times New Roman" w:hAnsi="Times New Roman"/>
          <w:color w:val="111111"/>
          <w:sz w:val="24"/>
          <w:szCs w:val="24"/>
        </w:rPr>
        <w:t xml:space="preserve">It is important to note that the defeat relation as specified here is interpreted in the strong sense: a defence d defeats an attack a if and only if the successful deployment of d is sufficient to render a infeasible, under the assumption that all other protocol components function as specified. This specification excludes partial defeats and compositional weaknesses — such as the residual eavesdropping vulnerability of BAC noted by Carluccio et al. (2006) — which are acknowledged as limitations of the current model and addressed in Chapter 7's discussion of future work.</w:t>
      </w:r>
    </w:p>
    <w:p>
      <w:pPr>
        <w:pStyle w:val="Heading2"/>
        <w:spacing w:after="160" w:before="400"/>
      </w:pPr>
      <w:r>
        <w:rPr>
          <w:rFonts w:ascii="Arial" w:cs="Arial" w:eastAsia="Arial" w:hAnsi="Arial"/>
          <w:b/>
          <w:bCs/>
          <w:color w:val="2E75B6"/>
          <w:sz w:val="28"/>
          <w:szCs w:val="28"/>
        </w:rPr>
        <w:t xml:space="preserve">4.3  Formal Attack-Defence Tree Model</w:t>
      </w:r>
    </w:p>
    <w:p>
      <w:pPr>
        <w:spacing w:after="200" w:before="0"/>
        <w:ind w:firstLine="720"/>
        <w:jc w:val="both"/>
      </w:pPr>
      <w:r>
        <w:rPr>
          <w:rFonts w:ascii="Times New Roman" w:cs="Times New Roman" w:eastAsia="Times New Roman" w:hAnsi="Times New Roman"/>
          <w:color w:val="111111"/>
          <w:sz w:val="24"/>
          <w:szCs w:val="24"/>
        </w:rPr>
        <w:t xml:space="preserve">The complete ADT for the ePassport security analysis is formally specified as follows. Let the attack node set A = {Goal, RFInterface, DataIntegrity, Privacy, Skimming, Eavesdropping, Cloning, Forgery, Tracing, BiometricTheft} and the defence node set D = {PACE, ActiveAuth, PKI, RandomUID, EAC}. The root goal node Goal is an OR-node composed of the three attack vector nodes RFInterface, DataIntegrity, and Privacy. Each vector node is also an OR-node over its respective leaf attacks.</w:t>
      </w:r>
    </w:p>
    <w:p>
      <w:pPr>
        <w:spacing w:after="200" w:before="0"/>
        <w:ind w:firstLine="720"/>
        <w:jc w:val="both"/>
      </w:pPr>
      <w:r>
        <w:rPr>
          <w:rFonts w:ascii="Times New Roman" w:cs="Times New Roman" w:eastAsia="Times New Roman" w:hAnsi="Times New Roman"/>
          <w:color w:val="111111"/>
          <w:sz w:val="24"/>
          <w:szCs w:val="24"/>
        </w:rPr>
        <w:t xml:space="preserve">Formally, the ADT is the tuple T = (A, D, comp_A, comp_D, defeats) where comp_A assigns AND/OR to each internal attack node, comp_D assigns AND/OR to each internal defence node, and defeats is the binary relation over D x A defined in Section 4.2. The root attack node Goal is satisfied (attacker succeeds) if and only if at least one of its children is satisfied — i.e., at least one attack vector is viable. Each vector node is satisfied if at least one of its constituent leaf attacks is satisfied. A leaf attack node is satisfied if and only if it is not defeated by any active defence node, where a defence node is active if and only if the corresponding countermeasure has been deployed in the evaluated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CCCCC" w:sz="1"/>
              <w:left w:val="single" w:color="CCCCCC" w:sz="1"/>
              <w:bottom w:val="single" w:color="CCCCCC" w:sz="1"/>
              <w:right w:val="single" w:color="CCCCCC" w:sz="1"/>
            </w:tcBorders>
            <w:shd w:fill="8B0000"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Formal Definition</w:t>
            </w:r>
          </w:p>
        </w:tc>
        <w:tc>
          <w:tcPr>
            <w:tcW w:type="dxa" w:w="7960"/>
            <w:tcBorders>
              <w:top w:val="single" w:color="CCCCCC" w:sz="1"/>
              <w:left w:val="single" w:color="CCCCCC" w:sz="1"/>
              <w:bottom w:val="single" w:color="CCCCCC" w:sz="1"/>
              <w:right w:val="single" w:color="CCCCCC" w:sz="1"/>
            </w:tcBorders>
            <w:shd w:fill="FDE8E8" w:val="clear"/>
            <w:tcMar>
              <w:top w:type="dxa" w:w="120"/>
              <w:left w:type="dxa" w:w="200"/>
              <w:bottom w:type="dxa" w:w="120"/>
              <w:right w:type="dxa" w:w="200"/>
            </w:tcMar>
          </w:tcPr>
          <w:p>
            <w:pPr>
              <w:jc w:val="both"/>
            </w:pPr>
            <w:r>
              <w:rPr>
                <w:rFonts w:ascii="Times New Roman" w:cs="Times New Roman" w:eastAsia="Times New Roman" w:hAnsi="Times New Roman"/>
                <w:i/>
                <w:iCs/>
                <w:color w:val="111111"/>
                <w:sz w:val="22"/>
                <w:szCs w:val="22"/>
              </w:rPr>
              <w:t xml:space="preserve">Attack node a is IN (viable) iff no defence d in D such that (d defeats a) is active. Attack node a is OUT iff there exists at least one active defence d such that (d defeats a). The root security goal is OUT iff all leaf attack nodes are OUT.</w:t>
            </w:r>
          </w:p>
        </w:tc>
      </w:tr>
    </w:tbl>
    <w:p>
      <w:pPr>
        <w:spacing w:before="200"/>
      </w:pPr>
      <w:r>
        <w:t xml:space="preserve"/>
      </w:r>
    </w:p>
    <w:p>
      <w:pPr>
        <w:pStyle w:val="Heading2"/>
        <w:spacing w:after="160" w:before="400"/>
      </w:pPr>
      <w:r>
        <w:rPr>
          <w:rFonts w:ascii="Arial" w:cs="Arial" w:eastAsia="Arial" w:hAnsi="Arial"/>
          <w:b/>
          <w:bCs/>
          <w:color w:val="2E75B6"/>
          <w:sz w:val="28"/>
          <w:szCs w:val="28"/>
        </w:rPr>
        <w:t xml:space="preserve">4.4  Argumentation Labelling Semantics</w:t>
      </w:r>
    </w:p>
    <w:p>
      <w:pPr>
        <w:spacing w:after="200" w:before="0"/>
        <w:ind w:firstLine="720"/>
        <w:jc w:val="both"/>
      </w:pPr>
      <w:r>
        <w:rPr>
          <w:rFonts w:ascii="Times New Roman" w:cs="Times New Roman" w:eastAsia="Times New Roman" w:hAnsi="Times New Roman"/>
          <w:color w:val="111111"/>
          <w:sz w:val="24"/>
          <w:szCs w:val="24"/>
        </w:rPr>
        <w:t xml:space="preserve">The ADT is interpreted as a Dung-style abstract argumentation framework (Dung, 1995) by treating each node — both attack and defence — as an argument, and the defeat relation as the attack relation. This interpretation enables the application of Dung's labelling semantics to compute a complete, deterministic labelling of the framework.</w:t>
      </w:r>
    </w:p>
    <w:p>
      <w:pPr>
        <w:spacing w:after="200" w:before="0"/>
        <w:ind w:firstLine="720"/>
        <w:jc w:val="both"/>
      </w:pPr>
      <w:r>
        <w:rPr>
          <w:rFonts w:ascii="Times New Roman" w:cs="Times New Roman" w:eastAsia="Times New Roman" w:hAnsi="Times New Roman"/>
          <w:color w:val="111111"/>
          <w:sz w:val="24"/>
          <w:szCs w:val="24"/>
        </w:rPr>
        <w:t xml:space="preserve">Formally, define the argumentation framework AF = (Ar, att) where Ar = A union D and att is defined as: for each (d, a) in defeats, (d, a) is in att (a defence attacks the corresponding attack argument). No other attack relations are defined. Under the grounded semantics, the labelling function Lab: Ar -&gt; {IN, OUT, UNDECIDED} is computed as follows. A defence argument d is labelled IN if it is active in the evaluated configuration and is not itself attacked by any argument labelled IN (defence arguments have no attackers in the present model, so all active defences are IN). An attack argument a is labelled OUT if any argument that attacks it — i.e., any defence that defeats it — is labelled IN. An attack argument is labelled IN if no argument attacking it is labelled IN. No argument is labelled UNDECIDED under the current model structure, as the absence of odd-length attack cycles guarantees that the grounded and preferred semantics coincide.</w:t>
      </w:r>
    </w:p>
    <w:p>
      <w:pPr>
        <w:spacing w:after="200" w:before="0"/>
        <w:ind w:firstLine="720"/>
        <w:jc w:val="both"/>
      </w:pPr>
      <w:r>
        <w:rPr>
          <w:rFonts w:ascii="Times New Roman" w:cs="Times New Roman" w:eastAsia="Times New Roman" w:hAnsi="Times New Roman"/>
          <w:color w:val="111111"/>
          <w:sz w:val="24"/>
          <w:szCs w:val="24"/>
        </w:rPr>
        <w:t xml:space="preserve">This labelling has a direct security interpretation. An attack argument labelled IN represents a viable attack: the attacker can achieve the corresponding sub-goal in the current defensive configuration. An attack argument labelled OUT represents a defeated attack. The security goal is OUT — the system is secure against the modelled threat — if and only if the root Goal argument is labelled OUT under the grounded semantics, which requires all its OR-children to be OUT, which requires every leaf attack to be OUT, which requires every leaf attack to be countered by at least one active defence.</w:t>
      </w:r>
    </w:p>
    <w:p>
      <w:pPr>
        <w:pStyle w:val="Heading2"/>
        <w:spacing w:after="160" w:before="400"/>
      </w:pPr>
      <w:r>
        <w:rPr>
          <w:rFonts w:ascii="Arial" w:cs="Arial" w:eastAsia="Arial" w:hAnsi="Arial"/>
          <w:b/>
          <w:bCs/>
          <w:color w:val="2E75B6"/>
          <w:sz w:val="28"/>
          <w:szCs w:val="28"/>
        </w:rPr>
        <w:t xml:space="preserve">4.5  Framework Validation: Scenario Analysis</w:t>
      </w:r>
    </w:p>
    <w:p>
      <w:pPr>
        <w:pStyle w:val="Heading3"/>
        <w:spacing w:after="120" w:before="280"/>
      </w:pPr>
      <w:r>
        <w:rPr>
          <w:rFonts w:ascii="Arial" w:cs="Arial" w:eastAsia="Arial" w:hAnsi="Arial"/>
          <w:b/>
          <w:bCs/>
          <w:color w:val="2C5F8A"/>
          <w:sz w:val="24"/>
          <w:szCs w:val="24"/>
        </w:rPr>
        <w:t xml:space="preserve">4.5.1  Scenario 1: Full Defence Deployment</w:t>
      </w:r>
    </w:p>
    <w:p>
      <w:pPr>
        <w:spacing w:after="200" w:before="0"/>
        <w:ind w:firstLine="720"/>
        <w:jc w:val="both"/>
      </w:pPr>
      <w:r>
        <w:rPr>
          <w:rFonts w:ascii="Times New Roman" w:cs="Times New Roman" w:eastAsia="Times New Roman" w:hAnsi="Times New Roman"/>
          <w:color w:val="111111"/>
          <w:sz w:val="24"/>
          <w:szCs w:val="24"/>
        </w:rPr>
        <w:t xml:space="preserve">Consider the configuration in which all five defences are active: PACE, Active Authentication, PKI/PA, Random UID, and EAC. Applying the labelling function: PACE is IN and defeats Skimming and Eavesdropping, labelling both OUT. Active Authentication is IN and defeats Cloning, labelling it OUT. PKI/PA is IN and defeats Forgery, labelling it OUT. Random UID is IN and defeats Tracing, labelling it OUT. EAC is IN and defeats Biometric Theft, labelling it OUT. All six leaf attacks are OUT; all three vector nodes are OUT (OR-composition with all children OUT); the root Goal is OUT. The system is secure against all modelled threats.</w:t>
      </w:r>
    </w:p>
    <w:p>
      <w:pPr>
        <w:pStyle w:val="Heading3"/>
        <w:spacing w:after="120" w:before="280"/>
      </w:pPr>
      <w:r>
        <w:rPr>
          <w:rFonts w:ascii="Arial" w:cs="Arial" w:eastAsia="Arial" w:hAnsi="Arial"/>
          <w:b/>
          <w:bCs/>
          <w:color w:val="2C5F8A"/>
          <w:sz w:val="24"/>
          <w:szCs w:val="24"/>
        </w:rPr>
        <w:t xml:space="preserve">4.5.2  Scenario 2: Passive Authentication Disabled</w:t>
      </w:r>
    </w:p>
    <w:p>
      <w:pPr>
        <w:spacing w:after="200" w:before="0"/>
        <w:ind w:firstLine="720"/>
        <w:jc w:val="both"/>
      </w:pPr>
      <w:r>
        <w:rPr>
          <w:rFonts w:ascii="Times New Roman" w:cs="Times New Roman" w:eastAsia="Times New Roman" w:hAnsi="Times New Roman"/>
          <w:color w:val="111111"/>
          <w:sz w:val="24"/>
          <w:szCs w:val="24"/>
        </w:rPr>
        <w:t xml:space="preserve">Consider the configuration in which PKI/PA is inactive but all other defences remain active. The labelling function now assigns PKI/PA as inactive — neither IN nor a contributing defence. Forgery has no active defeating defence; it is labelled IN. The DataIntegrity vector node is an OR-node with one child (Cloning) labelled OUT and one child (Forgery) labelled IN; by OR-composition, DataIntegrity is IN. The root Goal is an OR-node with DataIntegrity labelled IN; therefore Goal is IN. The system is not secure: an attacker can forge document data. This result correctly captures the practical implication of deploying an ePassport without a functioning passive authentication chain.</w:t>
      </w:r>
    </w:p>
    <w:p>
      <w:pPr>
        <w:pStyle w:val="Heading3"/>
        <w:spacing w:after="120" w:before="280"/>
      </w:pPr>
      <w:r>
        <w:rPr>
          <w:rFonts w:ascii="Arial" w:cs="Arial" w:eastAsia="Arial" w:hAnsi="Arial"/>
          <w:b/>
          <w:bCs/>
          <w:color w:val="2C5F8A"/>
          <w:sz w:val="24"/>
          <w:szCs w:val="24"/>
        </w:rPr>
        <w:t xml:space="preserve">4.5.3  Scenario 3: Legacy Document Without EAC</w:t>
      </w:r>
    </w:p>
    <w:p>
      <w:pPr>
        <w:spacing w:after="200" w:before="0"/>
        <w:ind w:firstLine="720"/>
        <w:jc w:val="both"/>
      </w:pPr>
      <w:r>
        <w:rPr>
          <w:rFonts w:ascii="Times New Roman" w:cs="Times New Roman" w:eastAsia="Times New Roman" w:hAnsi="Times New Roman"/>
          <w:color w:val="111111"/>
          <w:sz w:val="24"/>
          <w:szCs w:val="24"/>
        </w:rPr>
        <w:t xml:space="preserve">Consider an early-generation ePassport that implements BAC but not PACE, Active Authentication, PKI/PA, or EAC. Random UID is also absent. In this configuration: BAC defeats Skimming and Eavesdropping (both OUT). Cloning has no defeating defence (Active Auth inactive): IN. Forgery has no defeating defence (PKI inactive): IN. Tracing has no defeating defence (Random UID inactive): IN. Biometric Theft: DG3 and DG4 absent on a first-generation document, so this attack is inapplicable; excluded from the model for this scenario. Root Goal: IN (Cloning, Forgery, Tracing all viable). This correctly characterises the well-documented vulnerabilities of first-generation ePassports identified in the literature (Juels, Molnar and Wagner, 2005; Carluccio et al., 2006).</w:t>
      </w:r>
    </w:p>
    <w:p>
      <w:pPr>
        <w:spacing w:before="300"/>
      </w:pPr>
      <w:r>
        <w:t xml:space="preserve"/>
      </w:r>
    </w:p>
    <w:p>
      <w:pPr>
        <w:pStyle w:val="Heading2"/>
        <w:spacing w:after="160" w:before="400"/>
      </w:pPr>
      <w:r>
        <w:rPr>
          <w:rFonts w:ascii="Arial" w:cs="Arial" w:eastAsia="Arial" w:hAnsi="Arial"/>
          <w:b/>
          <w:bCs/>
          <w:color w:val="2E75B6"/>
          <w:sz w:val="28"/>
          <w:szCs w:val="28"/>
        </w:rPr>
        <w:t xml:space="preserve">4.6  References</w:t>
      </w:r>
    </w:p>
    <w:p>
      <w:pPr>
        <w:spacing w:after="80" w:before="80"/>
        <w:ind w:left="720" w:hanging="720"/>
        <w:jc w:val="both"/>
      </w:pPr>
      <w:r>
        <w:rPr>
          <w:rFonts w:ascii="Times New Roman" w:cs="Times New Roman" w:eastAsia="Times New Roman" w:hAnsi="Times New Roman"/>
          <w:color w:val="333333"/>
          <w:sz w:val="20"/>
          <w:szCs w:val="20"/>
        </w:rPr>
        <w:t xml:space="preserve">Carluccio, D., Lemke, K., Paar, C. and Sadeghi, A.R. (2006) 'E-passport: The global traceability or how to feel like a UPS package', in Workshop on RFID Security, pp. 391–408.</w:t>
      </w:r>
    </w:p>
    <w:p>
      <w:pPr>
        <w:spacing w:after="80" w:before="80"/>
        <w:ind w:left="720" w:hanging="720"/>
        <w:jc w:val="both"/>
      </w:pPr>
      <w:r>
        <w:rPr>
          <w:rFonts w:ascii="Times New Roman" w:cs="Times New Roman" w:eastAsia="Times New Roman" w:hAnsi="Times New Roman"/>
          <w:color w:val="333333"/>
          <w:sz w:val="20"/>
          <w:szCs w:val="20"/>
        </w:rPr>
        <w:t xml:space="preserve">Dung, P.M. (1995) 'On the acceptability of arguments and its fundamental role in nonmonotonic reasoning, logic programming and n-person games', Artificial Intelligence, 77(2), pp. 321–357.</w:t>
      </w:r>
    </w:p>
    <w:p>
      <w:pPr>
        <w:spacing w:after="80" w:before="80"/>
        <w:ind w:left="720" w:hanging="720"/>
        <w:jc w:val="both"/>
      </w:pPr>
      <w:r>
        <w:rPr>
          <w:rFonts w:ascii="Times New Roman" w:cs="Times New Roman" w:eastAsia="Times New Roman" w:hAnsi="Times New Roman"/>
          <w:color w:val="333333"/>
          <w:sz w:val="20"/>
          <w:szCs w:val="20"/>
        </w:rPr>
        <w:t xml:space="preserve">ICAO (2021) Doc 9303: Machine Readable Travel Documents. 8th edn. Montreal: International Civil Aviation Organisation.</w:t>
      </w:r>
    </w:p>
    <w:p>
      <w:pPr>
        <w:spacing w:after="80" w:before="80"/>
        <w:ind w:left="720" w:hanging="720"/>
        <w:jc w:val="both"/>
      </w:pPr>
      <w:r>
        <w:rPr>
          <w:rFonts w:ascii="Times New Roman" w:cs="Times New Roman" w:eastAsia="Times New Roman" w:hAnsi="Times New Roman"/>
          <w:color w:val="333333"/>
          <w:sz w:val="20"/>
          <w:szCs w:val="20"/>
        </w:rPr>
        <w:t xml:space="preserve">Juels, A., Molnar, D. and Wagner, D. (2005) 'Security and privacy issues in e-passports', in First International Conference on Security and Privacy for Emerging Areas in Communications Networks, pp. 74–88.</w:t>
      </w:r>
    </w:p>
    <w:p>
      <w:pPr>
        <w:spacing w:after="80" w:before="80"/>
        <w:ind w:left="720" w:hanging="720"/>
        <w:jc w:val="both"/>
      </w:pPr>
      <w:r>
        <w:rPr>
          <w:rFonts w:ascii="Times New Roman" w:cs="Times New Roman" w:eastAsia="Times New Roman" w:hAnsi="Times New Roman"/>
          <w:color w:val="333333"/>
          <w:sz w:val="20"/>
          <w:szCs w:val="20"/>
        </w:rPr>
        <w:t xml:space="preserve">Kordy, B., Mauw, S., Radomirovic, S. and Schweitzer, P. (2010) 'Foundations of attack-defence trees', in Formal Aspects of Security and Trust. Springer, pp. 80–95.</w:t>
      </w:r>
    </w:p>
    <w:sectPr>
      <w:footerReference w:type="default" r:id="rId7"/>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8"/>
      </w:pBdr>
      <w:jc w:val="center"/>
    </w:pPr>
    <w:r>
      <w:rPr>
        <w:rFonts w:ascii="Arial" w:cs="Arial" w:eastAsia="Arial" w:hAnsi="Arial"/>
        <w:color w:val="999999"/>
        <w:sz w:val="18"/>
        <w:szCs w:val="18"/>
      </w:rPr>
      <w:t xml:space="preserve">Ronith Naveen Kumar  |  202357131  |  Chapter 4: Argumentation Framework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2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2026-05-20T11:47:32.710Z</dcterms:created>
  <dcterms:modified xsi:type="dcterms:W3CDTF">2026-05-20T11:47:32.710Z</dcterms:modified>
</cp:coreProperties>
</file>

<file path=docProps/custom.xml><?xml version="1.0" encoding="utf-8"?>
<Properties xmlns="http://schemas.openxmlformats.org/officeDocument/2006/custom-properties" xmlns:vt="http://schemas.openxmlformats.org/officeDocument/2006/docPropsVTypes"/>
</file>