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color w:val="999999"/>
          <w:sz w:val="24"/>
          <w:szCs w:val="24"/>
        </w:rPr>
        <w:t xml:space="preserve">Chapter 5</w:t>
      </w:r>
    </w:p>
    <w:p>
      <w:pPr>
        <w:pBdr>
          <w:bottom w:val="single" w:color="2E75B6" w:sz="12" w:space="8"/>
        </w:pBdr>
        <w:spacing w:after="60" w:before="0"/>
      </w:pPr>
      <w:r>
        <w:rPr>
          <w:rFonts w:ascii="Arial" w:cs="Arial" w:eastAsia="Arial" w:hAnsi="Arial"/>
          <w:b/>
          <w:bCs/>
          <w:color w:val="1F3864"/>
          <w:sz w:val="52"/>
          <w:szCs w:val="52"/>
        </w:rPr>
        <w:t xml:space="preserve">Prototype Implementation</w:t>
      </w:r>
    </w:p>
    <w:p>
      <w:pPr>
        <w:spacing w:before="320"/>
      </w:pPr>
      <w:r>
        <w:t xml:space="preserve"/>
      </w:r>
    </w:p>
    <w:p>
      <w:pPr>
        <w:spacing w:after="200" w:before="0"/>
        <w:ind w:firstLine="720"/>
        <w:jc w:val="both"/>
      </w:pPr>
      <w:r>
        <w:rPr>
          <w:rFonts w:ascii="Times New Roman" w:cs="Times New Roman" w:eastAsia="Times New Roman" w:hAnsi="Times New Roman"/>
          <w:color w:val="111111"/>
          <w:sz w:val="24"/>
          <w:szCs w:val="24"/>
        </w:rPr>
        <w:t xml:space="preserve">This chapter describes the design and development of the interactive visualisation prototype. Section 5.1 specifies the functional and non-functional requirements. Section 5.2 describes the system architecture. Section 5.3 details the visualisation design decisions. Section 5.4 presents the argumentation reasoning engine. Section 5.5 describes the user interface structure. Section 5.6 provides a feature walkthrough of the completed prototype.</w:t>
      </w:r>
    </w:p>
    <w:p>
      <w:pPr>
        <w:pStyle w:val="Heading2"/>
        <w:spacing w:after="160" w:before="400"/>
      </w:pPr>
      <w:r>
        <w:rPr>
          <w:rFonts w:ascii="Arial" w:cs="Arial" w:eastAsia="Arial" w:hAnsi="Arial"/>
          <w:b/>
          <w:bCs/>
          <w:color w:val="2E75B6"/>
          <w:sz w:val="28"/>
          <w:szCs w:val="28"/>
        </w:rPr>
        <w:t xml:space="preserve">5.1  System Requirements</w:t>
      </w:r>
    </w:p>
    <w:p>
      <w:pPr>
        <w:pStyle w:val="Heading3"/>
        <w:spacing w:after="120" w:before="280"/>
      </w:pPr>
      <w:r>
        <w:rPr>
          <w:rFonts w:ascii="Arial" w:cs="Arial" w:eastAsia="Arial" w:hAnsi="Arial"/>
          <w:b/>
          <w:bCs/>
          <w:color w:val="2C5F8A"/>
          <w:sz w:val="24"/>
          <w:szCs w:val="24"/>
        </w:rPr>
        <w:t xml:space="preserve">5.1.1  Functional Requirements</w:t>
      </w:r>
    </w:p>
    <w:p>
      <w:pPr>
        <w:spacing w:after="200" w:before="0"/>
        <w:ind w:firstLine="720"/>
        <w:jc w:val="both"/>
      </w:pPr>
      <w:r>
        <w:rPr>
          <w:rFonts w:ascii="Times New Roman" w:cs="Times New Roman" w:eastAsia="Times New Roman" w:hAnsi="Times New Roman"/>
          <w:color w:val="111111"/>
          <w:sz w:val="24"/>
          <w:szCs w:val="24"/>
        </w:rPr>
        <w:t xml:space="preserve">The prototype must satisfy the following functional requirements, derived from the research objectives and the formal framework developed in Chapter 4:</w:t>
      </w:r>
    </w:p>
    <w:p>
      <w:pPr>
        <w:pStyle w:val="ListParagraph"/>
        <w:numPr>
          <w:ilvl w:val="0"/>
          <w:numId w:val="2"/>
        </w:numPr>
        <w:spacing w:after="80" w:before="80"/>
      </w:pPr>
      <w:r>
        <w:rPr>
          <w:rFonts w:ascii="Times New Roman" w:cs="Times New Roman" w:eastAsia="Times New Roman" w:hAnsi="Times New Roman"/>
          <w:sz w:val="24"/>
          <w:szCs w:val="24"/>
        </w:rPr>
        <w:t xml:space="preserve">FR1 — ADT Visualisation: The system shall render the complete ePassport Attack-Defence Tree as an interactive graphical diagram, displaying all attack nodes, defence nodes, and defeat relations.</w:t>
      </w:r>
    </w:p>
    <w:p>
      <w:pPr>
        <w:pStyle w:val="ListParagraph"/>
        <w:numPr>
          <w:ilvl w:val="0"/>
          <w:numId w:val="2"/>
        </w:numPr>
        <w:spacing w:after="80" w:before="80"/>
      </w:pPr>
      <w:r>
        <w:rPr>
          <w:rFonts w:ascii="Times New Roman" w:cs="Times New Roman" w:eastAsia="Times New Roman" w:hAnsi="Times New Roman"/>
          <w:sz w:val="24"/>
          <w:szCs w:val="24"/>
        </w:rPr>
        <w:t xml:space="preserve">FR2 — Defence Toggle: The system shall allow users to enable or disable individual defence mechanisms through an interactive control element.</w:t>
      </w:r>
    </w:p>
    <w:p>
      <w:pPr>
        <w:pStyle w:val="ListParagraph"/>
        <w:numPr>
          <w:ilvl w:val="0"/>
          <w:numId w:val="2"/>
        </w:numPr>
        <w:spacing w:after="80" w:before="80"/>
      </w:pPr>
      <w:r>
        <w:rPr>
          <w:rFonts w:ascii="Times New Roman" w:cs="Times New Roman" w:eastAsia="Times New Roman" w:hAnsi="Times New Roman"/>
          <w:sz w:val="24"/>
          <w:szCs w:val="24"/>
        </w:rPr>
        <w:t xml:space="preserve">FR3 — Dynamic Labelling: Upon each change to the defensive configuration, the system shall automatically recompute the argumentation labelling for all nodes and update the visual representation accordingly.</w:t>
      </w:r>
    </w:p>
    <w:p>
      <w:pPr>
        <w:pStyle w:val="ListParagraph"/>
        <w:numPr>
          <w:ilvl w:val="0"/>
          <w:numId w:val="2"/>
        </w:numPr>
        <w:spacing w:after="80" w:before="80"/>
      </w:pPr>
      <w:r>
        <w:rPr>
          <w:rFonts w:ascii="Times New Roman" w:cs="Times New Roman" w:eastAsia="Times New Roman" w:hAnsi="Times New Roman"/>
          <w:sz w:val="24"/>
          <w:szCs w:val="24"/>
        </w:rPr>
        <w:t xml:space="preserve">FR4 — Node Detail: The system shall display detailed information for any selected node, including the node name, type, description, severity rating, and relevant standards reference.</w:t>
      </w:r>
    </w:p>
    <w:p>
      <w:pPr>
        <w:pStyle w:val="ListParagraph"/>
        <w:numPr>
          <w:ilvl w:val="0"/>
          <w:numId w:val="2"/>
        </w:numPr>
        <w:spacing w:after="80" w:before="80"/>
      </w:pPr>
      <w:r>
        <w:rPr>
          <w:rFonts w:ascii="Times New Roman" w:cs="Times New Roman" w:eastAsia="Times New Roman" w:hAnsi="Times New Roman"/>
          <w:sz w:val="24"/>
          <w:szCs w:val="24"/>
        </w:rPr>
        <w:t xml:space="preserve">FR5 — Threat Matrix: The system shall provide an alternative tabular view summarising all attacks, their DREAD scores, their countering defences, and their current status.</w:t>
      </w:r>
    </w:p>
    <w:p>
      <w:pPr>
        <w:pStyle w:val="ListParagraph"/>
        <w:numPr>
          <w:ilvl w:val="0"/>
          <w:numId w:val="2"/>
        </w:numPr>
        <w:spacing w:after="80" w:before="80"/>
      </w:pPr>
      <w:r>
        <w:rPr>
          <w:rFonts w:ascii="Times New Roman" w:cs="Times New Roman" w:eastAsia="Times New Roman" w:hAnsi="Times New Roman"/>
          <w:sz w:val="24"/>
          <w:szCs w:val="24"/>
        </w:rPr>
        <w:t xml:space="preserve">FR6 — Security Status Summary: The system shall display a plain-language security assessment reflecting the current overall status of the security goal argument.</w:t>
      </w:r>
    </w:p>
    <w:p>
      <w:pPr>
        <w:pStyle w:val="Heading3"/>
        <w:spacing w:after="120" w:before="280"/>
      </w:pPr>
      <w:r>
        <w:rPr>
          <w:rFonts w:ascii="Arial" w:cs="Arial" w:eastAsia="Arial" w:hAnsi="Arial"/>
          <w:b/>
          <w:bCs/>
          <w:color w:val="2C5F8A"/>
          <w:sz w:val="24"/>
          <w:szCs w:val="24"/>
        </w:rPr>
        <w:t xml:space="preserve">5.1.2  Non-Functional Requirements</w:t>
      </w:r>
    </w:p>
    <w:p>
      <w:pPr>
        <w:spacing w:after="200" w:before="0"/>
        <w:ind w:firstLine="720"/>
        <w:jc w:val="both"/>
      </w:pPr>
      <w:r>
        <w:rPr>
          <w:rFonts w:ascii="Times New Roman" w:cs="Times New Roman" w:eastAsia="Times New Roman" w:hAnsi="Times New Roman"/>
          <w:color w:val="111111"/>
          <w:sz w:val="24"/>
          <w:szCs w:val="24"/>
        </w:rPr>
        <w:t xml:space="preserve">The prototype must also satisfy the following non-functional requirements:</w:t>
      </w:r>
    </w:p>
    <w:p>
      <w:pPr>
        <w:pStyle w:val="ListParagraph"/>
        <w:numPr>
          <w:ilvl w:val="0"/>
          <w:numId w:val="2"/>
        </w:numPr>
        <w:spacing w:after="80" w:before="80"/>
      </w:pPr>
      <w:r>
        <w:rPr>
          <w:rFonts w:ascii="Times New Roman" w:cs="Times New Roman" w:eastAsia="Times New Roman" w:hAnsi="Times New Roman"/>
          <w:sz w:val="24"/>
          <w:szCs w:val="24"/>
        </w:rPr>
        <w:t xml:space="preserve">NFR1 — Accessibility: The system shall run in any modern web browser without requiring software installation.</w:t>
      </w:r>
    </w:p>
    <w:p>
      <w:pPr>
        <w:pStyle w:val="ListParagraph"/>
        <w:numPr>
          <w:ilvl w:val="0"/>
          <w:numId w:val="2"/>
        </w:numPr>
        <w:spacing w:after="80" w:before="80"/>
      </w:pPr>
      <w:r>
        <w:rPr>
          <w:rFonts w:ascii="Times New Roman" w:cs="Times New Roman" w:eastAsia="Times New Roman" w:hAnsi="Times New Roman"/>
          <w:sz w:val="24"/>
          <w:szCs w:val="24"/>
        </w:rPr>
        <w:t xml:space="preserve">NFR2 — Portability: The system shall be deliverable as a single self-contained HTML file with no external dependencies.</w:t>
      </w:r>
    </w:p>
    <w:p>
      <w:pPr>
        <w:pStyle w:val="ListParagraph"/>
        <w:numPr>
          <w:ilvl w:val="0"/>
          <w:numId w:val="2"/>
        </w:numPr>
        <w:spacing w:after="80" w:before="80"/>
      </w:pPr>
      <w:r>
        <w:rPr>
          <w:rFonts w:ascii="Times New Roman" w:cs="Times New Roman" w:eastAsia="Times New Roman" w:hAnsi="Times New Roman"/>
          <w:sz w:val="24"/>
          <w:szCs w:val="24"/>
        </w:rPr>
        <w:t xml:space="preserve">NFR3 — Responsiveness: Dynamic recomputation of argumentation labels shall complete within 100 milliseconds of a user interaction on the reference hardware.</w:t>
      </w:r>
    </w:p>
    <w:p>
      <w:pPr>
        <w:pStyle w:val="ListParagraph"/>
        <w:numPr>
          <w:ilvl w:val="0"/>
          <w:numId w:val="2"/>
        </w:numPr>
        <w:spacing w:after="80" w:before="80"/>
      </w:pPr>
      <w:r>
        <w:rPr>
          <w:rFonts w:ascii="Times New Roman" w:cs="Times New Roman" w:eastAsia="Times New Roman" w:hAnsi="Times New Roman"/>
          <w:sz w:val="24"/>
          <w:szCs w:val="24"/>
        </w:rPr>
        <w:t xml:space="preserve">NFR4 — Usability: The system shall be operable by users without prior knowledge of formal methods or argumentation theory.</w:t>
      </w:r>
    </w:p>
    <w:p>
      <w:pPr>
        <w:pStyle w:val="Heading2"/>
        <w:spacing w:after="160" w:before="400"/>
      </w:pPr>
      <w:r>
        <w:rPr>
          <w:rFonts w:ascii="Arial" w:cs="Arial" w:eastAsia="Arial" w:hAnsi="Arial"/>
          <w:b/>
          <w:bCs/>
          <w:color w:val="2E75B6"/>
          <w:sz w:val="28"/>
          <w:szCs w:val="28"/>
        </w:rPr>
        <w:t xml:space="preserve">5.2  System Architecture</w:t>
      </w:r>
    </w:p>
    <w:p>
      <w:pPr>
        <w:spacing w:after="200" w:before="0"/>
        <w:ind w:firstLine="720"/>
        <w:jc w:val="both"/>
      </w:pPr>
      <w:r>
        <w:rPr>
          <w:rFonts w:ascii="Times New Roman" w:cs="Times New Roman" w:eastAsia="Times New Roman" w:hAnsi="Times New Roman"/>
          <w:color w:val="111111"/>
          <w:sz w:val="24"/>
          <w:szCs w:val="24"/>
        </w:rPr>
        <w:t xml:space="preserve">The prototype is implemented as a single-page web application using HTML5, CSS3, and vanilla JavaScript, with SVG used for all graphical rendering. The choice of a single-file HTML implementation directly serves NFR1 and NFR2: the prototype can be opened in any browser without server infrastructure, installed software, or network connectivity, and can be submitted as a research deliverable without deployment overhead.</w:t>
      </w:r>
    </w:p>
    <w:p>
      <w:pPr>
        <w:spacing w:after="200" w:before="0"/>
        <w:ind w:firstLine="720"/>
        <w:jc w:val="both"/>
      </w:pPr>
      <w:r>
        <w:rPr>
          <w:rFonts w:ascii="Times New Roman" w:cs="Times New Roman" w:eastAsia="Times New Roman" w:hAnsi="Times New Roman"/>
          <w:color w:val="111111"/>
          <w:sz w:val="24"/>
          <w:szCs w:val="24"/>
        </w:rPr>
        <w:t xml:space="preserve">The system comprises three logical layers. The data layer defines the node graph as a JavaScript object structure: each node has a unique identifier, a type (attack, defence, or goal), a composition operator (AND or OR), a set of child node identifiers, and — for defence nodes — a set of attack node identifiers it defeats. This data structure is a direct programmatic representation of the formal ADT specified in Chapter 4. The reasoning layer implements the grounded labelling algorithm as a pure function over the node graph and the current set of active defences, returning a labelling map from node identifiers to IN/OUT/UNDECIDED status. The presentation layer renders the labelled graph as an SVG diagram and updates the DOM in response to user interactions.</w:t>
      </w:r>
    </w:p>
    <w:p>
      <w:pPr>
        <w:spacing w:after="200" w:before="0"/>
        <w:ind w:firstLine="720"/>
        <w:jc w:val="both"/>
      </w:pPr>
      <w:r>
        <w:rPr>
          <w:rFonts w:ascii="Times New Roman" w:cs="Times New Roman" w:eastAsia="Times New Roman" w:hAnsi="Times New Roman"/>
          <w:color w:val="111111"/>
          <w:sz w:val="24"/>
          <w:szCs w:val="24"/>
        </w:rPr>
        <w:t xml:space="preserve">The separation of the reasoning layer from the presentation layer is an intentional architectural decision that supports testability and extensibility: the labelling algorithm can be tested independently of the visual rendering, and alternative visualisation front-ends — for instance, a force-directed layout or a radial tree — could be substituted without modifying the core reasoning logic.</w:t>
      </w:r>
    </w:p>
    <w:p>
      <w:pPr>
        <w:pStyle w:val="Heading2"/>
        <w:spacing w:after="160" w:before="400"/>
      </w:pPr>
      <w:r>
        <w:rPr>
          <w:rFonts w:ascii="Arial" w:cs="Arial" w:eastAsia="Arial" w:hAnsi="Arial"/>
          <w:b/>
          <w:bCs/>
          <w:color w:val="2E75B6"/>
          <w:sz w:val="28"/>
          <w:szCs w:val="28"/>
        </w:rPr>
        <w:t xml:space="preserve">5.3  Visualisation Design</w:t>
      </w:r>
    </w:p>
    <w:p>
      <w:pPr>
        <w:spacing w:after="200" w:before="0"/>
        <w:ind w:firstLine="720"/>
        <w:jc w:val="both"/>
      </w:pPr>
      <w:r>
        <w:rPr>
          <w:rFonts w:ascii="Times New Roman" w:cs="Times New Roman" w:eastAsia="Times New Roman" w:hAnsi="Times New Roman"/>
          <w:color w:val="111111"/>
          <w:sz w:val="24"/>
          <w:szCs w:val="24"/>
        </w:rPr>
        <w:t xml:space="preserve">The ADT is rendered as a top-down hierarchical tree with the root security goal at the apex. The tree is laid out using a recursive depth-first algorithm that computes the horizontal position of each node based on the width of its subtree, ensuring that nodes do not overlap and that defeat edges — rendered as dashed curves connecting defence nodes to their target attack nodes — do not obscure node labels.</w:t>
      </w:r>
    </w:p>
    <w:p>
      <w:pPr>
        <w:spacing w:after="200" w:before="0"/>
        <w:ind w:firstLine="720"/>
        <w:jc w:val="both"/>
      </w:pPr>
      <w:r>
        <w:rPr>
          <w:rFonts w:ascii="Times New Roman" w:cs="Times New Roman" w:eastAsia="Times New Roman" w:hAnsi="Times New Roman"/>
          <w:color w:val="111111"/>
          <w:sz w:val="24"/>
          <w:szCs w:val="24"/>
        </w:rPr>
        <w:t xml:space="preserve">Node visual encoding is designed to convey both the node type and its current argumentation status at a glance. Attack nodes are rendered as rounded rectangles with a red-tinted fill when labelled IN (viable) and a green-tinted fill when labelled OUT (defeated). Defence nodes are rendered as hexagons: active defences with a teal fill, inactive defences with a grey fill. The root goal node is rendered as a larger rounded rectangle with a prominent colour change — red for IN, green for OUT — to provide an immediate high-level security status indicator. Node labels, severity badges, and standards references are rendered as text within or adjacent to each node shape.</w:t>
      </w:r>
    </w:p>
    <w:p>
      <w:pPr>
        <w:spacing w:after="200" w:before="0"/>
        <w:ind w:firstLine="720"/>
        <w:jc w:val="both"/>
      </w:pPr>
      <w:r>
        <w:rPr>
          <w:rFonts w:ascii="Times New Roman" w:cs="Times New Roman" w:eastAsia="Times New Roman" w:hAnsi="Times New Roman"/>
          <w:color w:val="111111"/>
          <w:sz w:val="24"/>
          <w:szCs w:val="24"/>
        </w:rPr>
        <w:t xml:space="preserve">Defeat edges are rendered as dashed curved arrows in a contrasting teal colour, connecting each defence node to each attack node it defeats. The use of dashed rather than solid lines distinguishes defeat edges from the solid hierarchical edges of the tree structure. The arrow direction — from defence to attack — encodes the causal direction of the defeat relation.</w:t>
      </w:r>
    </w:p>
    <w:p>
      <w:pPr>
        <w:pStyle w:val="Heading2"/>
        <w:spacing w:after="160" w:before="400"/>
      </w:pPr>
      <w:r>
        <w:rPr>
          <w:rFonts w:ascii="Arial" w:cs="Arial" w:eastAsia="Arial" w:hAnsi="Arial"/>
          <w:b/>
          <w:bCs/>
          <w:color w:val="2E75B6"/>
          <w:sz w:val="28"/>
          <w:szCs w:val="28"/>
        </w:rPr>
        <w:t xml:space="preserve">5.4  Argumentation Reasoning Engine</w:t>
      </w:r>
    </w:p>
    <w:p>
      <w:pPr>
        <w:spacing w:after="200" w:before="0"/>
        <w:ind w:firstLine="720"/>
        <w:jc w:val="both"/>
      </w:pPr>
      <w:r>
        <w:rPr>
          <w:rFonts w:ascii="Times New Roman" w:cs="Times New Roman" w:eastAsia="Times New Roman" w:hAnsi="Times New Roman"/>
          <w:color w:val="111111"/>
          <w:sz w:val="24"/>
          <w:szCs w:val="24"/>
        </w:rPr>
        <w:t xml:space="preserve">The grounded labelling algorithm is implemented as a JavaScript function computeLabelling(graph, activeDefences) that takes the node graph and the current set of active defence identifiers and returns a Map from node identifiers to label values. The algorithm proceeds in three phases.</w:t>
      </w:r>
    </w:p>
    <w:p>
      <w:pPr>
        <w:spacing w:after="200" w:before="0"/>
        <w:ind w:firstLine="720"/>
        <w:jc w:val="both"/>
      </w:pPr>
      <w:r>
        <w:rPr>
          <w:rFonts w:ascii="Times New Roman" w:cs="Times New Roman" w:eastAsia="Times New Roman" w:hAnsi="Times New Roman"/>
          <w:color w:val="111111"/>
          <w:sz w:val="24"/>
          <w:szCs w:val="24"/>
        </w:rPr>
        <w:t xml:space="preserve">In the first phase, all defence nodes are labelled. Active defence nodes are labelled IN. Inactive defence nodes receive no label (equivalent to UNDECIDED, though in practice this distinction does not arise in the current model).</w:t>
      </w:r>
    </w:p>
    <w:p>
      <w:pPr>
        <w:spacing w:after="200" w:before="0"/>
        <w:ind w:firstLine="720"/>
        <w:jc w:val="both"/>
      </w:pPr>
      <w:r>
        <w:rPr>
          <w:rFonts w:ascii="Times New Roman" w:cs="Times New Roman" w:eastAsia="Times New Roman" w:hAnsi="Times New Roman"/>
          <w:color w:val="111111"/>
          <w:sz w:val="24"/>
          <w:szCs w:val="24"/>
        </w:rPr>
        <w:t xml:space="preserve">In the second phase, leaf attack nodes are labelled. For each leaf attack node a, the algorithm checks whether any of its defeating defences — those d such that (d, a) is in the defeat relation — is labelled IN. If any defeating defence is IN, the attack node is labelled OUT. Otherwise, it is labelled IN.</w:t>
      </w:r>
    </w:p>
    <w:p>
      <w:pPr>
        <w:spacing w:after="200" w:before="0"/>
        <w:ind w:firstLine="720"/>
        <w:jc w:val="both"/>
      </w:pPr>
      <w:r>
        <w:rPr>
          <w:rFonts w:ascii="Times New Roman" w:cs="Times New Roman" w:eastAsia="Times New Roman" w:hAnsi="Times New Roman"/>
          <w:color w:val="111111"/>
          <w:sz w:val="24"/>
          <w:szCs w:val="24"/>
        </w:rPr>
        <w:t xml:space="preserve">In the third phase, internal attack nodes are labelled bottom-up. For OR-nodes, the node is labelled IN if any child is labelled IN, and OUT if all children are labelled OUT. For AND-nodes, the node is labelled IN if all children are labelled IN, and OUT if any child is labelled OUT. The root goal node is computed in this phase as an OR-node over its three vector children.</w:t>
      </w:r>
    </w:p>
    <w:p>
      <w:pPr>
        <w:spacing w:after="200" w:before="0"/>
        <w:ind w:firstLine="720"/>
        <w:jc w:val="both"/>
      </w:pPr>
      <w:r>
        <w:rPr>
          <w:rFonts w:ascii="Times New Roman" w:cs="Times New Roman" w:eastAsia="Times New Roman" w:hAnsi="Times New Roman"/>
          <w:color w:val="111111"/>
          <w:sz w:val="24"/>
          <w:szCs w:val="24"/>
        </w:rPr>
        <w:t xml:space="preserve">The complete labelling computation runs in O(n) time where n is the number of nodes, as each node is visited exactly once. For the current ePassport model with 15 nodes, this ensures that relabelling in response to user interactions is imperceptible, satisfying NFR3. The algorithm generalises straightforwardly to larger models with additional attacks and defences.</w:t>
      </w:r>
    </w:p>
    <w:p>
      <w:pPr>
        <w:pStyle w:val="Heading2"/>
        <w:spacing w:after="160" w:before="400"/>
      </w:pPr>
      <w:r>
        <w:rPr>
          <w:rFonts w:ascii="Arial" w:cs="Arial" w:eastAsia="Arial" w:hAnsi="Arial"/>
          <w:b/>
          <w:bCs/>
          <w:color w:val="2E75B6"/>
          <w:sz w:val="28"/>
          <w:szCs w:val="28"/>
        </w:rPr>
        <w:t xml:space="preserve">5.5  User Interface Structure</w:t>
      </w:r>
    </w:p>
    <w:p>
      <w:pPr>
        <w:spacing w:after="200" w:before="0"/>
        <w:ind w:firstLine="720"/>
        <w:jc w:val="both"/>
      </w:pPr>
      <w:r>
        <w:rPr>
          <w:rFonts w:ascii="Times New Roman" w:cs="Times New Roman" w:eastAsia="Times New Roman" w:hAnsi="Times New Roman"/>
          <w:color w:val="111111"/>
          <w:sz w:val="24"/>
          <w:szCs w:val="24"/>
        </w:rPr>
        <w:t xml:space="preserve">The prototype user interface is organised into three tabs, accessible from a persistent navigation bar. The primary tab — the Attack-Defence Tree view — displays the SVG tree visualisation with defence toggle checkboxes in an adjacent control panel. Clicking any node opens a detail panel below the tree displaying the node's full description, DREAD score, standards references, and current label. Changes to the toggle checkboxes immediately trigger a recomputation and re-render of the labelling, with a smooth colour transition animation that draws attention to the nodes whose status has changed.</w:t>
      </w:r>
    </w:p>
    <w:p>
      <w:pPr>
        <w:spacing w:after="200" w:before="0"/>
        <w:ind w:firstLine="720"/>
        <w:jc w:val="both"/>
      </w:pPr>
      <w:r>
        <w:rPr>
          <w:rFonts w:ascii="Times New Roman" w:cs="Times New Roman" w:eastAsia="Times New Roman" w:hAnsi="Times New Roman"/>
          <w:color w:val="111111"/>
          <w:sz w:val="24"/>
          <w:szCs w:val="24"/>
        </w:rPr>
        <w:t xml:space="preserve">The second tab — the Threat Matrix — presents the same information in a structured table format. Each row corresponds to one of the six leaf attack nodes; columns show the attack name, vector category, DREAD score, countering defence, and current status. This view serves users who prefer tabular data and enables quick identification of currently undefeated attacks. A row highlighted in red indicates a viable attack; green indicates a defeated attack.</w:t>
      </w:r>
    </w:p>
    <w:p>
      <w:pPr>
        <w:spacing w:after="200" w:before="0"/>
        <w:ind w:firstLine="720"/>
        <w:jc w:val="both"/>
      </w:pPr>
      <w:r>
        <w:rPr>
          <w:rFonts w:ascii="Times New Roman" w:cs="Times New Roman" w:eastAsia="Times New Roman" w:hAnsi="Times New Roman"/>
          <w:color w:val="111111"/>
          <w:sz w:val="24"/>
          <w:szCs w:val="24"/>
        </w:rPr>
        <w:t xml:space="preserve">The third tab — the Argumentation Status panel — displays the complete labelling of all nodes in the framework, alongside a plain-language security assessment explaining the current configuration's security implications. This panel is designed for users who wish to understand the logical structure of the argumentation without interacting directly with the graphical tree.</w:t>
      </w:r>
    </w:p>
    <w:p>
      <w:pPr>
        <w:pStyle w:val="Heading2"/>
        <w:spacing w:after="160" w:before="400"/>
      </w:pPr>
      <w:r>
        <w:rPr>
          <w:rFonts w:ascii="Arial" w:cs="Arial" w:eastAsia="Arial" w:hAnsi="Arial"/>
          <w:b/>
          <w:bCs/>
          <w:color w:val="2E75B6"/>
          <w:sz w:val="28"/>
          <w:szCs w:val="28"/>
        </w:rPr>
        <w:t xml:space="preserve">5.6  Prototype Walkthrough</w:t>
      </w:r>
    </w:p>
    <w:p>
      <w:pPr>
        <w:spacing w:after="200" w:before="0"/>
        <w:ind w:firstLine="720"/>
        <w:jc w:val="both"/>
      </w:pPr>
      <w:r>
        <w:rPr>
          <w:rFonts w:ascii="Times New Roman" w:cs="Times New Roman" w:eastAsia="Times New Roman" w:hAnsi="Times New Roman"/>
          <w:color w:val="111111"/>
          <w:sz w:val="24"/>
          <w:szCs w:val="24"/>
        </w:rPr>
        <w:t xml:space="preserve">The default configuration on tool launch presents all five defences as active, with all attack nodes labelled OUT and the root Goal node labelled OUT and rendered in green, accompanied by the status message: 'The ePassport is secure against all six modelled threats in the current configuration.' This default state communicates the design intent of the full ICAO 9303 protocol suite when correctly deployed.</w:t>
      </w:r>
    </w:p>
    <w:p>
      <w:pPr>
        <w:spacing w:after="200" w:before="0"/>
        <w:ind w:firstLine="720"/>
        <w:jc w:val="both"/>
      </w:pPr>
      <w:r>
        <w:rPr>
          <w:rFonts w:ascii="Times New Roman" w:cs="Times New Roman" w:eastAsia="Times New Roman" w:hAnsi="Times New Roman"/>
          <w:color w:val="111111"/>
          <w:sz w:val="24"/>
          <w:szCs w:val="24"/>
        </w:rPr>
        <w:t xml:space="preserve">If the user unchecks the Extended Access Control toggle, the Biometric Theft attack node immediately changes from green (OUT) to red (IN). The Privacy vector node changes to red; the root Goal node changes to red; and the status message updates to: 'Warning: Biometric Theft is currently viable. EAC must be enabled to protect fingerprint and iris data.' The detail panel for the Biometric Theft node, if open, updates to reflect its new IN status and provides a reference to BSI TR-03110 and a description of the attack's implications.</w:t>
      </w:r>
    </w:p>
    <w:p>
      <w:pPr>
        <w:spacing w:after="200" w:before="0"/>
        <w:ind w:firstLine="720"/>
        <w:jc w:val="both"/>
      </w:pPr>
      <w:r>
        <w:rPr>
          <w:rFonts w:ascii="Times New Roman" w:cs="Times New Roman" w:eastAsia="Times New Roman" w:hAnsi="Times New Roman"/>
          <w:color w:val="111111"/>
          <w:sz w:val="24"/>
          <w:szCs w:val="24"/>
        </w:rPr>
        <w:t xml:space="preserve">This interactive feedback loop — enabling the user to directly observe the logical consequences of removing a defence mechanism — is the central contribution of the prototype to the research objective of improving comprehension of ePassport security arguments.</w:t>
      </w:r>
    </w:p>
    <w:p>
      <w:pPr>
        <w:spacing w:before="300"/>
      </w:pPr>
      <w:r>
        <w:t xml:space="preserve"/>
      </w:r>
    </w:p>
    <w:p>
      <w:pPr>
        <w:pStyle w:val="Heading2"/>
        <w:spacing w:after="160" w:before="400"/>
      </w:pPr>
      <w:r>
        <w:rPr>
          <w:rFonts w:ascii="Arial" w:cs="Arial" w:eastAsia="Arial" w:hAnsi="Arial"/>
          <w:b/>
          <w:bCs/>
          <w:color w:val="2E75B6"/>
          <w:sz w:val="28"/>
          <w:szCs w:val="28"/>
        </w:rPr>
        <w:t xml:space="preserve">5.7  References</w:t>
      </w:r>
    </w:p>
    <w:p>
      <w:pPr>
        <w:spacing w:after="80" w:before="80"/>
        <w:ind w:left="720" w:hanging="720"/>
        <w:jc w:val="both"/>
      </w:pPr>
      <w:r>
        <w:rPr>
          <w:rFonts w:ascii="Times New Roman" w:cs="Times New Roman" w:eastAsia="Times New Roman" w:hAnsi="Times New Roman"/>
          <w:color w:val="333333"/>
          <w:sz w:val="20"/>
          <w:szCs w:val="20"/>
        </w:rPr>
        <w:t xml:space="preserve">Bundesamt fuer Sicherheit in der Informationstechnik (BSI) (2015) Technical Guideline TR-03110: Advanced Security Mechanisms for Machine Readable Travel Documents. Version 2.20. Bonn: BSI.</w:t>
      </w:r>
    </w:p>
    <w:p>
      <w:pPr>
        <w:spacing w:after="80" w:before="80"/>
        <w:ind w:left="720" w:hanging="720"/>
        <w:jc w:val="both"/>
      </w:pPr>
      <w:r>
        <w:rPr>
          <w:rFonts w:ascii="Times New Roman" w:cs="Times New Roman" w:eastAsia="Times New Roman" w:hAnsi="Times New Roman"/>
          <w:color w:val="333333"/>
          <w:sz w:val="20"/>
          <w:szCs w:val="20"/>
        </w:rPr>
        <w:t xml:space="preserve">Dung, P.M. (1995) 'On the acceptability of arguments and its fundamental role in nonmonotonic reasoning, logic programming and n-person games', Artificial Intelligence, 77(2), pp. 321–357.</w:t>
      </w:r>
    </w:p>
    <w:p>
      <w:pPr>
        <w:spacing w:after="80" w:before="80"/>
        <w:ind w:left="720" w:hanging="720"/>
        <w:jc w:val="both"/>
      </w:pPr>
      <w:r>
        <w:rPr>
          <w:rFonts w:ascii="Times New Roman" w:cs="Times New Roman" w:eastAsia="Times New Roman" w:hAnsi="Times New Roman"/>
          <w:color w:val="333333"/>
          <w:sz w:val="20"/>
          <w:szCs w:val="20"/>
        </w:rPr>
        <w:t xml:space="preserve">ICAO (2021) Doc 9303: Machine Readable Travel Documents. 8th edn. Montreal: International Civil Aviation Organisation.</w:t>
      </w:r>
    </w:p>
    <w:p>
      <w:pPr>
        <w:spacing w:after="80" w:before="80"/>
        <w:ind w:left="720" w:hanging="720"/>
        <w:jc w:val="both"/>
      </w:pPr>
      <w:r>
        <w:rPr>
          <w:rFonts w:ascii="Times New Roman" w:cs="Times New Roman" w:eastAsia="Times New Roman" w:hAnsi="Times New Roman"/>
          <w:color w:val="333333"/>
          <w:sz w:val="20"/>
          <w:szCs w:val="20"/>
        </w:rPr>
        <w:t xml:space="preserve">Kordy, B., Mauw, S., Radomirovic, S. and Schweitzer, P. (2012) 'Attack-defence trees', Journal of Logic and Computation, 24(1), pp. 55–87.</w:t>
      </w:r>
    </w:p>
    <w:sectPr>
      <w:footerReference w:type="default" r:id="rId7"/>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8"/>
      </w:pBdr>
      <w:jc w:val="center"/>
    </w:pPr>
    <w:r>
      <w:rPr>
        <w:rFonts w:ascii="Arial" w:cs="Arial" w:eastAsia="Arial" w:hAnsi="Arial"/>
        <w:color w:val="999999"/>
        <w:sz w:val="18"/>
        <w:szCs w:val="18"/>
      </w:rPr>
      <w:t xml:space="preserve">Ronith Naveen Kumar  |  202357131  |  Chapter 5: Prototype Implementation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sz w:val="36"/>
      <w:szCs w:val="36"/>
    </w:rPr>
  </w:style>
  <w:style w:type="paragraph" w:styleId="Heading2">
    <w:name w:val="Heading 2"/>
    <w:basedOn w:val="Normal"/>
    <w:next w:val="Normal"/>
    <w:qFormat/>
    <w:pPr>
      <w:spacing w:after="160" w:before="360"/>
      <w:outlineLvl w:val="1"/>
    </w:pPr>
    <w:rPr>
      <w:rFonts w:ascii="Arial" w:cs="Arial" w:eastAsia="Arial" w:hAnsi="Arial"/>
      <w:b/>
      <w:bCs/>
      <w:sz w:val="28"/>
      <w:szCs w:val="28"/>
    </w:rPr>
  </w:style>
  <w:style w:type="paragraph" w:styleId="Heading3">
    <w:name w:val="Heading 3"/>
    <w:basedOn w:val="Normal"/>
    <w:next w:val="Normal"/>
    <w:qFormat/>
    <w:pPr>
      <w:spacing w:after="12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2026-05-20T11:47:32.721Z</dcterms:created>
  <dcterms:modified xsi:type="dcterms:W3CDTF">2026-05-20T11:47:32.721Z</dcterms:modified>
</cp:coreProperties>
</file>

<file path=docProps/custom.xml><?xml version="1.0" encoding="utf-8"?>
<Properties xmlns="http://schemas.openxmlformats.org/officeDocument/2006/custom-properties" xmlns:vt="http://schemas.openxmlformats.org/officeDocument/2006/docPropsVTypes"/>
</file>