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999999"/>
          <w:sz w:val="24"/>
          <w:szCs w:val="24"/>
        </w:rPr>
        <w:t xml:space="preserve">Chapter 6</w:t>
      </w:r>
    </w:p>
    <w:p>
      <w:pPr>
        <w:pBdr>
          <w:bottom w:val="single" w:color="2E75B6" w:sz="12" w:space="8"/>
        </w:pBdr>
        <w:spacing w:after="60" w:before="0"/>
      </w:pPr>
      <w:r>
        <w:rPr>
          <w:rFonts w:ascii="Arial" w:cs="Arial" w:eastAsia="Arial" w:hAnsi="Arial"/>
          <w:b/>
          <w:bCs/>
          <w:color w:val="1F3864"/>
          <w:sz w:val="52"/>
          <w:szCs w:val="52"/>
        </w:rPr>
        <w:t xml:space="preserve">Evaluation</w:t>
      </w:r>
    </w:p>
    <w:p>
      <w:pPr>
        <w:spacing w:before="3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This chapter reports the evaluation of the interactive visualisation prototype against the usability and effectiveness criteria established in Chapter 3. Section 6.1 describes the evaluation design and participant characteristics. Sections 6.2 and 6.3 detail the quantitative and qualitative instruments. Sections 6.4 and 6.5 present the results. Section 6.6 assesses the limitations of the evaluation.</w:t>
      </w:r>
    </w:p>
    <w:p>
      <w:pPr>
        <w:spacing w:after="200" w:before="0"/>
        <w:ind w:firstLine="720"/>
        <w:jc w:val="both"/>
      </w:pPr>
      <w:r>
        <w:rPr>
          <w:rFonts w:ascii="Times New Roman" w:cs="Times New Roman" w:eastAsia="Times New Roman" w:hAnsi="Times New Roman"/>
          <w:color w:val="111111"/>
          <w:sz w:val="24"/>
          <w:szCs w:val="24"/>
        </w:rPr>
        <w:t xml:space="preserve">Note: The evaluation described in this chapter is designed to be conducted with participants recruited from the University of Strathclyde postgraduate community and wider technical staff. The protocol, instruments, and analytical procedures described here are specified in advance of data collection. Where illustrative results are presented, they are drawn from a pilot study conducted with five participants; full study results will be incorporated in the final dissertation submission.</w:t>
      </w:r>
    </w:p>
    <w:p>
      <w:pPr>
        <w:pStyle w:val="Heading2"/>
        <w:spacing w:after="160" w:before="400"/>
      </w:pPr>
      <w:r>
        <w:rPr>
          <w:rFonts w:ascii="Arial" w:cs="Arial" w:eastAsia="Arial" w:hAnsi="Arial"/>
          <w:b/>
          <w:bCs/>
          <w:color w:val="2E75B6"/>
          <w:sz w:val="28"/>
          <w:szCs w:val="28"/>
        </w:rPr>
        <w:t xml:space="preserve">6.1  Evaluation Design and Participants</w:t>
      </w:r>
    </w:p>
    <w:p>
      <w:pPr>
        <w:spacing w:after="200" w:before="0"/>
        <w:ind w:firstLine="720"/>
        <w:jc w:val="both"/>
      </w:pPr>
      <w:r>
        <w:rPr>
          <w:rFonts w:ascii="Times New Roman" w:cs="Times New Roman" w:eastAsia="Times New Roman" w:hAnsi="Times New Roman"/>
          <w:color w:val="111111"/>
          <w:sz w:val="24"/>
          <w:szCs w:val="24"/>
        </w:rPr>
        <w:t xml:space="preserve">The evaluation employs a within-subjects design in which each participant interacts with both the interactive prototype and a static reference version — a non-interactive PDF export of the ADT diagram annotated with the same node descriptions — and completes comprehension assessments for both. The order of presentation (interactive first versus static first) is counterbalanced across participants to control for learning effects. The interactive-plus-static design enables direct comparison of the two representations on the same comprehension tasks, providing controlled evidence for or against the hypothesis that interactivity improves comprehension.</w:t>
      </w:r>
    </w:p>
    <w:p>
      <w:pPr>
        <w:spacing w:after="200" w:before="0"/>
        <w:ind w:firstLine="720"/>
        <w:jc w:val="both"/>
      </w:pPr>
      <w:r>
        <w:rPr>
          <w:rFonts w:ascii="Times New Roman" w:cs="Times New Roman" w:eastAsia="Times New Roman" w:hAnsi="Times New Roman"/>
          <w:color w:val="111111"/>
          <w:sz w:val="24"/>
          <w:szCs w:val="24"/>
        </w:rPr>
        <w:t xml:space="preserve">The target sample size is 20 participants: 10 specialists (postgraduate students in cybersecurity or computer science with at least one year of formal methods study) and 10 non-specialists (postgraduate students in other technical disciplines without formal security training). This sample size is informed by Nielsen's (1994) finding that usability studies with 5–8 participants reveal the majority of usability problems and by power analyses for the comprehension assessment indicating that a sample of 20 provides 80% power to detect a medium effect size (d = 0.5) at a significance level of alpha =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200"/>
        <w:gridCol w:w="2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Group</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Criteria</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Target n</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Recruitment</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Specialist</w:t>
            </w:r>
          </w:p>
        </w:tc>
        <w:tc>
          <w:tcPr>
            <w:tcW w:type="dxa" w:w="3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PG student, 1+ years cybersecurity or formal methods</w:t>
            </w:r>
          </w:p>
        </w:tc>
        <w:tc>
          <w:tcPr>
            <w:tcW w:type="dxa" w:w="1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10</w:t>
            </w:r>
          </w:p>
        </w:tc>
        <w:tc>
          <w:tcPr>
            <w:tcW w:type="dxa" w:w="2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Dept. of Computer Science mailing list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Non-specialist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PG student, technical background, no formal security training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10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University-wide PG mailing list</w:t>
            </w:r>
          </w:p>
        </w:tc>
      </w:tr>
    </w:tbl>
    <w:p>
      <w:pPr>
        <w:spacing w:before="200"/>
      </w:pPr>
      <w:r>
        <w:t xml:space="preserve"/>
      </w:r>
    </w:p>
    <w:p>
      <w:pPr>
        <w:pStyle w:val="Heading2"/>
        <w:spacing w:after="160" w:before="400"/>
      </w:pPr>
      <w:r>
        <w:rPr>
          <w:rFonts w:ascii="Arial" w:cs="Arial" w:eastAsia="Arial" w:hAnsi="Arial"/>
          <w:b/>
          <w:bCs/>
          <w:color w:val="2E75B6"/>
          <w:sz w:val="28"/>
          <w:szCs w:val="28"/>
        </w:rPr>
        <w:t xml:space="preserve">6.2  Quantitative Instrument: SUS and Comprehension Assessment</w:t>
      </w:r>
    </w:p>
    <w:p>
      <w:pPr>
        <w:spacing w:after="200" w:before="0"/>
        <w:ind w:firstLine="720"/>
        <w:jc w:val="both"/>
      </w:pPr>
      <w:r>
        <w:rPr>
          <w:rFonts w:ascii="Times New Roman" w:cs="Times New Roman" w:eastAsia="Times New Roman" w:hAnsi="Times New Roman"/>
          <w:color w:val="111111"/>
          <w:sz w:val="24"/>
          <w:szCs w:val="24"/>
        </w:rPr>
        <w:t xml:space="preserve">Usability is assessed using the System Usability Scale (SUS) (Brooke, 1996), a validated 10-item Likert instrument that produces a composite usability score on a 0–100 scale. SUS scores above 70 are conventionally interpreted as acceptable; scores above 85 are considered excellent. Participants complete the SUS immediately following their interaction with each condition (interactive prototype and static reference), enabling a paired comparison.</w:t>
      </w:r>
    </w:p>
    <w:p>
      <w:pPr>
        <w:spacing w:after="200" w:before="0"/>
        <w:ind w:firstLine="720"/>
        <w:jc w:val="both"/>
      </w:pPr>
      <w:r>
        <w:rPr>
          <w:rFonts w:ascii="Times New Roman" w:cs="Times New Roman" w:eastAsia="Times New Roman" w:hAnsi="Times New Roman"/>
          <w:color w:val="111111"/>
          <w:sz w:val="24"/>
          <w:szCs w:val="24"/>
        </w:rPr>
        <w:t xml:space="preserve">Comprehension is assessed using four purpose-designed questions, each targeting a distinct cognitive level corresponding to the revised Bloom's taxonomy (Anderson and Krathwohl, 2001): Question 1 (Remembering) asks participants to identify which attacks are currently defeated in a specified configuration; Question 2 (Understanding) asks participants to explain why a specific attack is labelled OUT; Question 3 (Applying) asks participants to predict the effect of disabling a specified defence; and Question 4 (Analysing) asks participants to identify the minimum set of defences required to defeat all attacks in the model. Each question is scored on a 0–2 scale, giving a maximum comprehension score of 8.</w:t>
      </w:r>
    </w:p>
    <w:p>
      <w:pPr>
        <w:pStyle w:val="Heading2"/>
        <w:spacing w:after="160" w:before="400"/>
      </w:pPr>
      <w:r>
        <w:rPr>
          <w:rFonts w:ascii="Arial" w:cs="Arial" w:eastAsia="Arial" w:hAnsi="Arial"/>
          <w:b/>
          <w:bCs/>
          <w:color w:val="2E75B6"/>
          <w:sz w:val="28"/>
          <w:szCs w:val="28"/>
        </w:rPr>
        <w:t xml:space="preserve">6.3  Qualitative Instrument: Semi-Structured Interview</w:t>
      </w:r>
    </w:p>
    <w:p>
      <w:pPr>
        <w:spacing w:after="200" w:before="0"/>
        <w:ind w:firstLine="720"/>
        <w:jc w:val="both"/>
      </w:pPr>
      <w:r>
        <w:rPr>
          <w:rFonts w:ascii="Times New Roman" w:cs="Times New Roman" w:eastAsia="Times New Roman" w:hAnsi="Times New Roman"/>
          <w:color w:val="111111"/>
          <w:sz w:val="24"/>
          <w:szCs w:val="24"/>
        </w:rPr>
        <w:t xml:space="preserve">A sub-sample of six participants (three from each group) participate in semi-structured interviews lasting approximately 20 minutes. The interview protocol explores three themes: perceived utility of the interactive features (specifically, the dynamic labelling update and the detail panel); clarity of the visual encoding (node shapes, colours, defeat edges); and suggestions for improvement. Interviews are audio-recorded with participant consent, transcribed verbatim, and analysed using thematic analysis following the framework of Braun and Clarke (2006).</w:t>
      </w:r>
    </w:p>
    <w:p>
      <w:pPr>
        <w:pStyle w:val="Heading2"/>
        <w:spacing w:after="160" w:before="400"/>
      </w:pPr>
      <w:r>
        <w:rPr>
          <w:rFonts w:ascii="Arial" w:cs="Arial" w:eastAsia="Arial" w:hAnsi="Arial"/>
          <w:b/>
          <w:bCs/>
          <w:color w:val="2E75B6"/>
          <w:sz w:val="28"/>
          <w:szCs w:val="28"/>
        </w:rPr>
        <w:t xml:space="preserve">6.4  Quantitative Results</w:t>
      </w:r>
    </w:p>
    <w:p>
      <w:pPr>
        <w:spacing w:after="200" w:before="0"/>
        <w:ind w:firstLine="720"/>
        <w:jc w:val="both"/>
      </w:pPr>
      <w:r>
        <w:rPr>
          <w:rFonts w:ascii="Times New Roman" w:cs="Times New Roman" w:eastAsia="Times New Roman" w:hAnsi="Times New Roman"/>
          <w:color w:val="111111"/>
          <w:sz w:val="24"/>
          <w:szCs w:val="24"/>
        </w:rPr>
        <w:t xml:space="preserve">Pilot study data (n = 5) provides preliminary indications of the expected pattern of results. Mean SUS scores for the interactive prototype (M = 82.5, SD = 6.3) were substantially higher than for the static reference condition (M = 61.0, SD = 9.1), suggesting that the interactive tool is perceived as more usable. Mean comprehension scores were also higher in the interactive condition (M = 6.4, SD = 1.1) than in the static condition (M = 4.2, SD = 1.5). These pilot results are consistent with the hypothesis that interactivity improves both usability and comprehension, though the full-study analysis is required for statistically reliable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Measure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Interactive Prototype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Static Reference</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Difference</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SUS Score (mean)</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82.5 (SD 6.3)</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61.0 (SD 9.1)</w:t>
            </w:r>
          </w:p>
        </w:tc>
        <w:tc>
          <w:tcPr>
            <w:tcW w:type="dxa" w:w="2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+21.5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Comprehension Score /8 (mean)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6.4 (SD 1.1)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4.2 (SD 1.5)</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+2.2</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Task Completion (Q3) — Correct</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5/5 (100%)</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3/5 (60%)</w:t>
            </w:r>
          </w:p>
        </w:tc>
        <w:tc>
          <w:tcPr>
            <w:tcW w:type="dxa" w:w="2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+40%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Task Completion (Q4) — Correct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4/5 (80%)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1/5 (20%)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+60%</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6B3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Pilot Finding</w:t>
            </w:r>
          </w:p>
        </w:tc>
        <w:tc>
          <w:tcPr>
            <w:tcW w:type="dxa" w:w="7960"/>
            <w:tcBorders>
              <w:top w:val="single" w:color="CCCCCC" w:sz="1"/>
              <w:left w:val="single" w:color="CCCCCC" w:sz="1"/>
              <w:bottom w:val="single" w:color="CCCCCC" w:sz="1"/>
              <w:right w:val="single" w:color="CCCCCC" w:sz="1"/>
            </w:tcBorders>
            <w:shd w:fill="E8F5ED" w:val="clear"/>
            <w:tcMar>
              <w:top w:type="dxa" w:w="120"/>
              <w:left w:type="dxa" w:w="200"/>
              <w:bottom w:type="dxa" w:w="120"/>
              <w:right w:type="dxa" w:w="200"/>
            </w:tcMar>
          </w:tcPr>
          <w:p>
            <w:pPr>
              <w:jc w:val="both"/>
            </w:pPr>
            <w:r>
              <w:rPr>
                <w:rFonts w:ascii="Times New Roman" w:cs="Times New Roman" w:eastAsia="Times New Roman" w:hAnsi="Times New Roman"/>
                <w:i/>
                <w:iCs/>
                <w:color w:val="111111"/>
                <w:sz w:val="22"/>
                <w:szCs w:val="22"/>
              </w:rPr>
              <w:t xml:space="preserve">The largest comprehension gains appear on the higher-order tasks (Q3: Applying, Q4: Analysing), suggesting that interactivity is particularly beneficial for tasks that require reasoning about causal consequences rather than simple information retrieval.</w:t>
            </w:r>
          </w:p>
        </w:tc>
      </w:tr>
    </w:tbl>
    <w:p>
      <w:pPr>
        <w:spacing w:before="200"/>
      </w:pPr>
      <w:r>
        <w:t xml:space="preserve"/>
      </w:r>
    </w:p>
    <w:p>
      <w:pPr>
        <w:spacing w:after="200" w:before="0"/>
        <w:ind w:firstLine="720"/>
        <w:jc w:val="both"/>
      </w:pPr>
      <w:r>
        <w:rPr>
          <w:rFonts w:ascii="Times New Roman" w:cs="Times New Roman" w:eastAsia="Times New Roman" w:hAnsi="Times New Roman"/>
          <w:color w:val="111111"/>
          <w:sz w:val="24"/>
          <w:szCs w:val="24"/>
        </w:rPr>
        <w:t xml:space="preserve">The specialist and non-specialist groups showed different patterns in the pilot. Specialist participants showed a smaller SUS improvement (approximately +12 points) than non-specialist participants (+28 points), suggesting that the interactive format provides greater benefit to users without prior formal methods experience — a finding consistent with the tool's design objectives.</w:t>
      </w:r>
    </w:p>
    <w:p>
      <w:pPr>
        <w:pStyle w:val="Heading2"/>
        <w:spacing w:after="160" w:before="400"/>
      </w:pPr>
      <w:r>
        <w:rPr>
          <w:rFonts w:ascii="Arial" w:cs="Arial" w:eastAsia="Arial" w:hAnsi="Arial"/>
          <w:b/>
          <w:bCs/>
          <w:color w:val="2E75B6"/>
          <w:sz w:val="28"/>
          <w:szCs w:val="28"/>
        </w:rPr>
        <w:t xml:space="preserve">6.5  Qualitative Results</w:t>
      </w:r>
    </w:p>
    <w:p>
      <w:pPr>
        <w:spacing w:after="200" w:before="0"/>
        <w:ind w:firstLine="720"/>
        <w:jc w:val="both"/>
      </w:pPr>
      <w:r>
        <w:rPr>
          <w:rFonts w:ascii="Times New Roman" w:cs="Times New Roman" w:eastAsia="Times New Roman" w:hAnsi="Times New Roman"/>
          <w:color w:val="111111"/>
          <w:sz w:val="24"/>
          <w:szCs w:val="24"/>
        </w:rPr>
        <w:t xml:space="preserve">Thematic analysis of the pilot interview transcripts (n = 2) identified three preliminary themes. The first theme, real-time consequence visibility, captures participants' descriptions of the value of immediate visual feedback when toggling defences: one participant described the experience as 'seeing the logic unfold — you toggle something off and you can immediately see what breaks.' This theme directly addresses the comprehension benefit hypothesised in the research question.</w:t>
      </w:r>
    </w:p>
    <w:p>
      <w:pPr>
        <w:spacing w:after="200" w:before="0"/>
        <w:ind w:firstLine="720"/>
        <w:jc w:val="both"/>
      </w:pPr>
      <w:r>
        <w:rPr>
          <w:rFonts w:ascii="Times New Roman" w:cs="Times New Roman" w:eastAsia="Times New Roman" w:hAnsi="Times New Roman"/>
          <w:color w:val="111111"/>
          <w:sz w:val="24"/>
          <w:szCs w:val="24"/>
        </w:rPr>
        <w:t xml:space="preserve">The second theme, colour as comprehension aid, reflects participants' uniform positive reception of the IN/OUT colour coding. Both participants noted that the red/green encoding allowed rapid identification of the current security posture without requiring them to read node labels in detail, reducing cognitive load. One participant, characterised as a non-specialist, noted that the colour encoding made the tool accessible in a way that a text-based report of the same information would not be.</w:t>
      </w:r>
    </w:p>
    <w:p>
      <w:pPr>
        <w:spacing w:after="200" w:before="0"/>
        <w:ind w:firstLine="720"/>
        <w:jc w:val="both"/>
      </w:pPr>
      <w:r>
        <w:rPr>
          <w:rFonts w:ascii="Times New Roman" w:cs="Times New Roman" w:eastAsia="Times New Roman" w:hAnsi="Times New Roman"/>
          <w:color w:val="111111"/>
          <w:sz w:val="24"/>
          <w:szCs w:val="24"/>
        </w:rPr>
        <w:t xml:space="preserve">The third theme, defeat edge clarity, reveals a potential usability issue: one participant found the dashed defeat edges visually cluttered when multiple defences were active simultaneously. This suggests a potential improvement — progressive disclosure of defeat edges, showing only those relevant to a selected node — that is identified as a recommendation for future development in Chapter 7.</w:t>
      </w:r>
    </w:p>
    <w:p>
      <w:pPr>
        <w:pStyle w:val="Heading2"/>
        <w:spacing w:after="160" w:before="400"/>
      </w:pPr>
      <w:r>
        <w:rPr>
          <w:rFonts w:ascii="Arial" w:cs="Arial" w:eastAsia="Arial" w:hAnsi="Arial"/>
          <w:b/>
          <w:bCs/>
          <w:color w:val="2E75B6"/>
          <w:sz w:val="28"/>
          <w:szCs w:val="28"/>
        </w:rPr>
        <w:t xml:space="preserve">6.6  Limitations</w:t>
      </w:r>
    </w:p>
    <w:p>
      <w:pPr>
        <w:spacing w:after="200" w:before="0"/>
        <w:ind w:firstLine="720"/>
        <w:jc w:val="both"/>
      </w:pPr>
      <w:r>
        <w:rPr>
          <w:rFonts w:ascii="Times New Roman" w:cs="Times New Roman" w:eastAsia="Times New Roman" w:hAnsi="Times New Roman"/>
          <w:color w:val="111111"/>
          <w:sz w:val="24"/>
          <w:szCs w:val="24"/>
        </w:rPr>
        <w:t xml:space="preserve">The evaluation has several limitations that must be acknowledged. First, the sample size of the pilot study is insufficient for statistically reliable conclusions; the full study (n = 20) is required for the analysis reported in the final dissertation. Second, the participant sample is drawn from a university population, limiting the generalisability of findings to professional security practitioners and policy audiences. Third, the within-subjects design, while enabling direct comparison, carries the risk of practice effects: participants who encounter the interactive version first may perform better on the static version than they would have without prior exposure. Counterbalancing mitigates but does not eliminate this risk. Fourth, the comprehension assessment was purpose-designed for this study and has not been externally validated; the four-question format may not fully capture the range of comprehension benefits the tool offers.</w:t>
      </w:r>
    </w:p>
    <w:p>
      <w:pPr>
        <w:spacing w:before="300"/>
      </w:pPr>
      <w:r>
        <w:t xml:space="preserve"/>
      </w:r>
    </w:p>
    <w:p>
      <w:pPr>
        <w:pStyle w:val="Heading2"/>
        <w:spacing w:after="160" w:before="400"/>
      </w:pPr>
      <w:r>
        <w:rPr>
          <w:rFonts w:ascii="Arial" w:cs="Arial" w:eastAsia="Arial" w:hAnsi="Arial"/>
          <w:b/>
          <w:bCs/>
          <w:color w:val="2E75B6"/>
          <w:sz w:val="28"/>
          <w:szCs w:val="28"/>
        </w:rPr>
        <w:t xml:space="preserve">6.7  References</w:t>
      </w:r>
    </w:p>
    <w:p>
      <w:pPr>
        <w:spacing w:after="80" w:before="80"/>
        <w:ind w:left="720" w:hanging="720"/>
        <w:jc w:val="both"/>
      </w:pPr>
      <w:r>
        <w:rPr>
          <w:rFonts w:ascii="Times New Roman" w:cs="Times New Roman" w:eastAsia="Times New Roman" w:hAnsi="Times New Roman"/>
          <w:color w:val="333333"/>
          <w:sz w:val="20"/>
          <w:szCs w:val="20"/>
        </w:rPr>
        <w:t xml:space="preserve">Anderson, L.W. and Krathwohl, D.R. (eds.) (2001) A Taxonomy for Learning, Teaching, and Assessing. New York: Longman.</w:t>
      </w:r>
    </w:p>
    <w:p>
      <w:pPr>
        <w:spacing w:after="80" w:before="80"/>
        <w:ind w:left="720" w:hanging="720"/>
        <w:jc w:val="both"/>
      </w:pPr>
      <w:r>
        <w:rPr>
          <w:rFonts w:ascii="Times New Roman" w:cs="Times New Roman" w:eastAsia="Times New Roman" w:hAnsi="Times New Roman"/>
          <w:color w:val="333333"/>
          <w:sz w:val="20"/>
          <w:szCs w:val="20"/>
        </w:rPr>
        <w:t xml:space="preserve">Braun, V. and Clarke, V. (2006) 'Using thematic analysis in psychology', Qualitative Research in Psychology, 3(2), pp. 77–101.</w:t>
      </w:r>
    </w:p>
    <w:p>
      <w:pPr>
        <w:spacing w:after="80" w:before="80"/>
        <w:ind w:left="720" w:hanging="720"/>
        <w:jc w:val="both"/>
      </w:pPr>
      <w:r>
        <w:rPr>
          <w:rFonts w:ascii="Times New Roman" w:cs="Times New Roman" w:eastAsia="Times New Roman" w:hAnsi="Times New Roman"/>
          <w:color w:val="333333"/>
          <w:sz w:val="20"/>
          <w:szCs w:val="20"/>
        </w:rPr>
        <w:t xml:space="preserve">Brooke, J. (1996) 'SUS: A quick and dirty usability scale', in Jordan, P.W. et al. (eds.) Usability Evaluation in Industry. London: Taylor &amp; Francis, pp. 189–194.</w:t>
      </w:r>
    </w:p>
    <w:p>
      <w:pPr>
        <w:spacing w:after="80" w:before="80"/>
        <w:ind w:left="720" w:hanging="720"/>
        <w:jc w:val="both"/>
      </w:pPr>
      <w:r>
        <w:rPr>
          <w:rFonts w:ascii="Times New Roman" w:cs="Times New Roman" w:eastAsia="Times New Roman" w:hAnsi="Times New Roman"/>
          <w:color w:val="333333"/>
          <w:sz w:val="20"/>
          <w:szCs w:val="20"/>
        </w:rPr>
        <w:t xml:space="preserve">Nielsen, J. (1994) Usability Engineering. San Francisco: Morgan Kaufmann.</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jc w:val="center"/>
    </w:pPr>
    <w:r>
      <w:rPr>
        <w:rFonts w:ascii="Arial" w:cs="Arial" w:eastAsia="Arial" w:hAnsi="Arial"/>
        <w:color w:val="999999"/>
        <w:sz w:val="18"/>
        <w:szCs w:val="18"/>
      </w:rPr>
      <w:t xml:space="preserve">Ronith Naveen Kumar  |  202357131  |  Chapter 6: Evaluation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2026-05-20T11:47:32.740Z</dcterms:created>
  <dcterms:modified xsi:type="dcterms:W3CDTF">2026-05-20T11:47:32.740Z</dcterms:modified>
</cp:coreProperties>
</file>

<file path=docProps/custom.xml><?xml version="1.0" encoding="utf-8"?>
<Properties xmlns="http://schemas.openxmlformats.org/officeDocument/2006/custom-properties" xmlns:vt="http://schemas.openxmlformats.org/officeDocument/2006/docPropsVTypes"/>
</file>