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999999"/>
          <w:sz w:val="24"/>
          <w:szCs w:val="24"/>
        </w:rPr>
        <w:t xml:space="preserve">Chapter 7</w:t>
      </w:r>
    </w:p>
    <w:p>
      <w:pPr>
        <w:pBdr>
          <w:bottom w:val="single" w:color="2E75B6" w:sz="12" w:space="8"/>
        </w:pBdr>
        <w:spacing w:after="60" w:before="0"/>
      </w:pPr>
      <w:r>
        <w:rPr>
          <w:rFonts w:ascii="Arial" w:cs="Arial" w:eastAsia="Arial" w:hAnsi="Arial"/>
          <w:b/>
          <w:bCs/>
          <w:color w:val="1F3864"/>
          <w:sz w:val="52"/>
          <w:szCs w:val="52"/>
        </w:rPr>
        <w:t xml:space="preserve">Discussion</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chapter interprets the findings reported in Chapter 6 in the context of the research objectives defined in Chapter 1. Section 7.1 reviews each objective in turn. Section 7.2 compares the prototype with existing tools. Section 7.3 and 7.4 reflect on the theoretical and practical contributions of the work. Section 7.5 discusses unexpected or noteworthy findings.</w:t>
      </w:r>
    </w:p>
    <w:p>
      <w:pPr>
        <w:pStyle w:val="Heading2"/>
        <w:spacing w:after="160" w:before="400"/>
      </w:pPr>
      <w:r>
        <w:rPr>
          <w:rFonts w:ascii="Arial" w:cs="Arial" w:eastAsia="Arial" w:hAnsi="Arial"/>
          <w:b/>
          <w:bCs/>
          <w:color w:val="2E75B6"/>
          <w:sz w:val="28"/>
          <w:szCs w:val="28"/>
        </w:rPr>
        <w:t xml:space="preserve">7.1  Research Objective Review</w:t>
      </w:r>
    </w:p>
    <w:p>
      <w:pPr>
        <w:pStyle w:val="Heading3"/>
        <w:spacing w:after="120" w:before="280"/>
      </w:pPr>
      <w:r>
        <w:rPr>
          <w:rFonts w:ascii="Arial" w:cs="Arial" w:eastAsia="Arial" w:hAnsi="Arial"/>
          <w:b/>
          <w:bCs/>
          <w:color w:val="2C5F8A"/>
          <w:sz w:val="24"/>
          <w:szCs w:val="24"/>
        </w:rPr>
        <w:t xml:space="preserve">7.1.1  Objective 1: Threat and Vulnerability Analysis</w:t>
      </w:r>
    </w:p>
    <w:p>
      <w:pPr>
        <w:spacing w:after="200" w:before="0"/>
        <w:ind w:firstLine="720"/>
        <w:jc w:val="both"/>
      </w:pPr>
      <w:r>
        <w:rPr>
          <w:rFonts w:ascii="Times New Roman" w:cs="Times New Roman" w:eastAsia="Times New Roman" w:hAnsi="Times New Roman"/>
          <w:color w:val="111111"/>
          <w:sz w:val="24"/>
          <w:szCs w:val="24"/>
        </w:rPr>
        <w:t xml:space="preserve">The first objective — to systematically analyse the security threats and vulnerabilities of ePassport systems — was addressed in Chapters 3 and 4. The STRIDE-based analysis yielded a taxonomy of six attacks organised across three attack vectors, each grounded in references to the ICAO 9303 standard and the empirical security literature. The DREAD scoring provides a relative severity ranking that prioritises Biometric Theft (9.4) and Chip Cloning (9.1) as the highest-severity threats, consistent with the assessments of Juels, Molnar and Wagner (2005) and subsequent authors. This objective was fully achieved.</w:t>
      </w:r>
    </w:p>
    <w:p>
      <w:pPr>
        <w:pStyle w:val="Heading3"/>
        <w:spacing w:after="120" w:before="280"/>
      </w:pPr>
      <w:r>
        <w:rPr>
          <w:rFonts w:ascii="Arial" w:cs="Arial" w:eastAsia="Arial" w:hAnsi="Arial"/>
          <w:b/>
          <w:bCs/>
          <w:color w:val="2C5F8A"/>
          <w:sz w:val="24"/>
          <w:szCs w:val="24"/>
        </w:rPr>
        <w:t xml:space="preserve">7.1.2  Objective 2: Formal Visualisation Framework</w:t>
      </w:r>
    </w:p>
    <w:p>
      <w:pPr>
        <w:spacing w:after="200" w:before="0"/>
        <w:ind w:firstLine="720"/>
        <w:jc w:val="both"/>
      </w:pPr>
      <w:r>
        <w:rPr>
          <w:rFonts w:ascii="Times New Roman" w:cs="Times New Roman" w:eastAsia="Times New Roman" w:hAnsi="Times New Roman"/>
          <w:color w:val="111111"/>
          <w:sz w:val="24"/>
          <w:szCs w:val="24"/>
        </w:rPr>
        <w:t xml:space="preserve">The second objective — to develop a formal framework for logical security arguments — was addressed in Chapter 4. The framework specifies the ADT as a formal tuple, defines the defeat relation between defence and attack nodes, and applies Dung's (1995) grounded semantics to compute a complete argumentation labelling. The scenario analysis in Section 4.5 validates the framework against three representative security configurations, confirming that the labelling produces security verdicts consistent with the documented behaviour of ePassport protocols. This objective was fully achieved.</w:t>
      </w:r>
    </w:p>
    <w:p>
      <w:pPr>
        <w:pStyle w:val="Heading3"/>
        <w:spacing w:after="120" w:before="280"/>
      </w:pPr>
      <w:r>
        <w:rPr>
          <w:rFonts w:ascii="Arial" w:cs="Arial" w:eastAsia="Arial" w:hAnsi="Arial"/>
          <w:b/>
          <w:bCs/>
          <w:color w:val="2C5F8A"/>
          <w:sz w:val="24"/>
          <w:szCs w:val="24"/>
        </w:rPr>
        <w:t xml:space="preserve">7.1.3  Objective 3: Prototype Implementation</w:t>
      </w:r>
    </w:p>
    <w:p>
      <w:pPr>
        <w:spacing w:after="200" w:before="0"/>
        <w:ind w:firstLine="720"/>
        <w:jc w:val="both"/>
      </w:pPr>
      <w:r>
        <w:rPr>
          <w:rFonts w:ascii="Times New Roman" w:cs="Times New Roman" w:eastAsia="Times New Roman" w:hAnsi="Times New Roman"/>
          <w:color w:val="111111"/>
          <w:sz w:val="24"/>
          <w:szCs w:val="24"/>
        </w:rPr>
        <w:t xml:space="preserve">The third objective — to design and implement an interactive prototype visualisation tool — was addressed in Chapter 5. The prototype satisfies all six functional requirements and all four non-functional requirements specified in Section 5.1. The separation of the reasoning layer from the presentation layer, and the single-file HTML delivery format, ensure that the tool is both architecturally sound and practically deployable. This objective was fully achieved.</w:t>
      </w:r>
    </w:p>
    <w:p>
      <w:pPr>
        <w:pStyle w:val="Heading3"/>
        <w:spacing w:after="120" w:before="280"/>
      </w:pPr>
      <w:r>
        <w:rPr>
          <w:rFonts w:ascii="Arial" w:cs="Arial" w:eastAsia="Arial" w:hAnsi="Arial"/>
          <w:b/>
          <w:bCs/>
          <w:color w:val="2C5F8A"/>
          <w:sz w:val="24"/>
          <w:szCs w:val="24"/>
        </w:rPr>
        <w:t xml:space="preserve">7.1.4  Objective 4: Evaluation</w:t>
      </w:r>
    </w:p>
    <w:p>
      <w:pPr>
        <w:spacing w:after="200" w:before="0"/>
        <w:ind w:firstLine="720"/>
        <w:jc w:val="both"/>
      </w:pPr>
      <w:r>
        <w:rPr>
          <w:rFonts w:ascii="Times New Roman" w:cs="Times New Roman" w:eastAsia="Times New Roman" w:hAnsi="Times New Roman"/>
          <w:color w:val="111111"/>
          <w:sz w:val="24"/>
          <w:szCs w:val="24"/>
        </w:rPr>
        <w:t xml:space="preserve">The fourth objective — to evaluate the effectiveness and usability of the visualisation approach — was addressed in Chapter 6. The pilot study results are consistent with the hypothesis that the interactive tool improves both usability (SUS improvement of +21.5 points) and comprehension (mean score improvement of +2.2 out of 8 points) compared with static reference materials. The full study results, to be incorporated in the final submission, will determine whether these improvements are statistically reliable. This objective is substantially achieved, with completion pending full study analysis.</w:t>
      </w:r>
    </w:p>
    <w:p>
      <w:pPr>
        <w:pStyle w:val="Heading2"/>
        <w:spacing w:after="160" w:before="400"/>
      </w:pPr>
      <w:r>
        <w:rPr>
          <w:rFonts w:ascii="Arial" w:cs="Arial" w:eastAsia="Arial" w:hAnsi="Arial"/>
          <w:b/>
          <w:bCs/>
          <w:color w:val="2E75B6"/>
          <w:sz w:val="28"/>
          <w:szCs w:val="28"/>
        </w:rPr>
        <w:t xml:space="preserve">7.2  Comparison with Existing Tools</w:t>
      </w:r>
    </w:p>
    <w:p>
      <w:pPr>
        <w:spacing w:after="200" w:before="0"/>
        <w:ind w:firstLine="720"/>
        <w:jc w:val="both"/>
      </w:pPr>
      <w:r>
        <w:rPr>
          <w:rFonts w:ascii="Times New Roman" w:cs="Times New Roman" w:eastAsia="Times New Roman" w:hAnsi="Times New Roman"/>
          <w:color w:val="111111"/>
          <w:sz w:val="24"/>
          <w:szCs w:val="24"/>
        </w:rPr>
        <w:t xml:space="preserve">The prototype compares favourably with the two most closely related existing tools in the following respects. ADTool (Gadyatskaya et al., 2016) provides a more feature-complete ADT analysis environment, supporting multiple attribute domains, tree editing, and quantitative analysis. However, it requires desktop installation, produces static output diagrams, and does not implement argumentation labelling semantics. The present prototype surpasses ADTool on accessibility (browser-based, zero-install), on dynamic reasoning (real-time labelling update), and on the argumentation-theoretic foundation of its analysis.</w:t>
      </w:r>
    </w:p>
    <w:p>
      <w:pPr>
        <w:spacing w:after="200" w:before="0"/>
        <w:ind w:firstLine="720"/>
        <w:jc w:val="both"/>
      </w:pPr>
      <w:r>
        <w:rPr>
          <w:rFonts w:ascii="Times New Roman" w:cs="Times New Roman" w:eastAsia="Times New Roman" w:hAnsi="Times New Roman"/>
          <w:color w:val="111111"/>
          <w:sz w:val="24"/>
          <w:szCs w:val="24"/>
        </w:rPr>
        <w:t xml:space="preserve">Compared with general-purpose diagramming tools (Visio, Lucidchart), the prototype provides formal semantic content that these tools entirely lack: a Visio diagram of an attack tree is a graphical artefact with no computational substrate, whereas the prototype's SVG rendering is generated from and tightly coupled to a formal data model that drives the reasoning engine. The prototype's comprehension advantage — particularly on higher-order comprehension tasks — is directly attributable to this coupling.</w:t>
      </w:r>
    </w:p>
    <w:p>
      <w:pPr>
        <w:spacing w:after="200" w:before="0"/>
        <w:ind w:firstLine="720"/>
        <w:jc w:val="both"/>
      </w:pPr>
      <w:r>
        <w:rPr>
          <w:rFonts w:ascii="Times New Roman" w:cs="Times New Roman" w:eastAsia="Times New Roman" w:hAnsi="Times New Roman"/>
          <w:color w:val="111111"/>
          <w:sz w:val="24"/>
          <w:szCs w:val="24"/>
        </w:rPr>
        <w:t xml:space="preserve">The principal advantage of the static reference condition over the prototype is the familiarity of the format: participants with experience reading formal diagrams may find a static ADT diagram easier to process initially because it conforms to established conventions. The SUS score differential between specialist and non-specialist groups (approximately +12 versus +28 points) is consistent with this interpretation. Future work should investigate whether specialist users also benefit from interactivity over longer exposure periods or for more complex models.</w:t>
      </w:r>
    </w:p>
    <w:p>
      <w:pPr>
        <w:pStyle w:val="Heading2"/>
        <w:spacing w:after="160" w:before="400"/>
      </w:pPr>
      <w:r>
        <w:rPr>
          <w:rFonts w:ascii="Arial" w:cs="Arial" w:eastAsia="Arial" w:hAnsi="Arial"/>
          <w:b/>
          <w:bCs/>
          <w:color w:val="2E75B6"/>
          <w:sz w:val="28"/>
          <w:szCs w:val="28"/>
        </w:rPr>
        <w:t xml:space="preserve">7.3  Theoretical Contributions</w:t>
      </w:r>
    </w:p>
    <w:p>
      <w:pPr>
        <w:spacing w:after="200" w:before="0"/>
        <w:ind w:firstLine="720"/>
        <w:jc w:val="both"/>
      </w:pPr>
      <w:r>
        <w:rPr>
          <w:rFonts w:ascii="Times New Roman" w:cs="Times New Roman" w:eastAsia="Times New Roman" w:hAnsi="Times New Roman"/>
          <w:color w:val="111111"/>
          <w:sz w:val="24"/>
          <w:szCs w:val="24"/>
        </w:rPr>
        <w:t xml:space="preserve">The primary theoretical contribution of this dissertation is the explicit operationalisation of Dung's grounded labelling semantics as a dynamic reasoning engine for ADTs, implemented in an interactive visualisation system. While the theoretical connection between ADTs and argumentation frameworks has been noted in the literature (Kordy et al., 2012), this dissertation provides — to the best of the author's knowledge — the first implemented system that makes this connection executable and visually explorable. The contribution is at the interface of formal argumentation theory and security visualisation, a combination that has not previously been the subject of a systematic implementation and evaluation.</w:t>
      </w:r>
    </w:p>
    <w:p>
      <w:pPr>
        <w:spacing w:after="200" w:before="0"/>
        <w:ind w:firstLine="720"/>
        <w:jc w:val="both"/>
      </w:pPr>
      <w:r>
        <w:rPr>
          <w:rFonts w:ascii="Times New Roman" w:cs="Times New Roman" w:eastAsia="Times New Roman" w:hAnsi="Times New Roman"/>
          <w:color w:val="111111"/>
          <w:sz w:val="24"/>
          <w:szCs w:val="24"/>
        </w:rPr>
        <w:t xml:space="preserve">A secondary theoretical contribution is the formal specification of the ePassport ADT as a fully grounded model: the specification in Chapter 4 is precise enough to serve as a replication baseline for future work extending the model to additional threats (e.g., side-channel attacks on chip hardware, biometric spoofing at the application layer) or to other document types governed by related standards.</w:t>
      </w:r>
    </w:p>
    <w:p>
      <w:pPr>
        <w:pStyle w:val="Heading2"/>
        <w:spacing w:after="160" w:before="400"/>
      </w:pPr>
      <w:r>
        <w:rPr>
          <w:rFonts w:ascii="Arial" w:cs="Arial" w:eastAsia="Arial" w:hAnsi="Arial"/>
          <w:b/>
          <w:bCs/>
          <w:color w:val="2E75B6"/>
          <w:sz w:val="28"/>
          <w:szCs w:val="28"/>
        </w:rPr>
        <w:t xml:space="preserve">7.4  Practical Contributions</w:t>
      </w:r>
    </w:p>
    <w:p>
      <w:pPr>
        <w:spacing w:after="200" w:before="0"/>
        <w:ind w:firstLine="720"/>
        <w:jc w:val="both"/>
      </w:pPr>
      <w:r>
        <w:rPr>
          <w:rFonts w:ascii="Times New Roman" w:cs="Times New Roman" w:eastAsia="Times New Roman" w:hAnsi="Times New Roman"/>
          <w:color w:val="111111"/>
          <w:sz w:val="24"/>
          <w:szCs w:val="24"/>
        </w:rPr>
        <w:t xml:space="preserve">The tool has three practical application contexts identified by pilot study participants and the literature. For security education, the tool enables instructors to walk students through the logical consequences of removing individual protocol layers, providing an experiential understanding that static lecture slides cannot replicate. For compliance auditing, the tool provides a structured checklist of the ICAO 9303 protocol requirements mapped to the threat taxonomy, enabling auditors to verify that a deployment configuration addresses every modelled threat. For policy communication, the tool provides a visual summary of the ePassport security architecture accessible to policymakers without formal methods training, supporting evidence-based policy decisions about document procurement and protocol requirements.</w:t>
      </w:r>
    </w:p>
    <w:p>
      <w:pPr>
        <w:pStyle w:val="Heading2"/>
        <w:spacing w:after="160" w:before="400"/>
      </w:pPr>
      <w:r>
        <w:rPr>
          <w:rFonts w:ascii="Arial" w:cs="Arial" w:eastAsia="Arial" w:hAnsi="Arial"/>
          <w:b/>
          <w:bCs/>
          <w:color w:val="2E75B6"/>
          <w:sz w:val="28"/>
          <w:szCs w:val="28"/>
        </w:rPr>
        <w:t xml:space="preserve">7.5  Unexpected Findings</w:t>
      </w:r>
    </w:p>
    <w:p>
      <w:pPr>
        <w:spacing w:after="200" w:before="0"/>
        <w:ind w:firstLine="720"/>
        <w:jc w:val="both"/>
      </w:pPr>
      <w:r>
        <w:rPr>
          <w:rFonts w:ascii="Times New Roman" w:cs="Times New Roman" w:eastAsia="Times New Roman" w:hAnsi="Times New Roman"/>
          <w:color w:val="111111"/>
          <w:sz w:val="24"/>
          <w:szCs w:val="24"/>
        </w:rPr>
        <w:t xml:space="preserve">Two findings from the pilot study were not anticipated in the research design. First, the magnitude of the comprehension gain on higher-order tasks (Q3 and Q4) substantially exceeded the gain on lower-order tasks (Q1 and Q2). This suggests that the primary cognitive benefit of interactivity is not in making information more accessible — the static diagram conveys the same information — but in supporting causal and counterfactual reasoning. The act of toggling a defence and observing the consequence appears to trigger a form of cognitive engagement with the causal structure of the model that passive diagram reading does not elicit.</w:t>
      </w:r>
    </w:p>
    <w:p>
      <w:pPr>
        <w:spacing w:after="200" w:before="0"/>
        <w:ind w:firstLine="720"/>
        <w:jc w:val="both"/>
      </w:pPr>
      <w:r>
        <w:rPr>
          <w:rFonts w:ascii="Times New Roman" w:cs="Times New Roman" w:eastAsia="Times New Roman" w:hAnsi="Times New Roman"/>
          <w:color w:val="111111"/>
          <w:sz w:val="24"/>
          <w:szCs w:val="24"/>
        </w:rPr>
        <w:t xml:space="preserve">Second, several non-specialist participants reported that the colour coding of the root Goal node — the large green or red indicator at the apex of the tree — was the primary driver of their comprehension: they described a strategy of 'make the top node go green by toggling defences' that effectively operationalised the security objective as a game. This gamification effect was not intended by the design but may be a significant contributor to the non-specialist comprehension advantage. Future design iterations might deliberately exploit this effect by adding a tutorial mode that guides users through a sequence of defensive configurations.</w:t>
      </w:r>
    </w:p>
    <w:p>
      <w:pPr>
        <w:spacing w:before="300"/>
      </w:pPr>
      <w:r>
        <w:t xml:space="preserve"/>
      </w:r>
    </w:p>
    <w:p>
      <w:pPr>
        <w:pStyle w:val="Heading2"/>
        <w:spacing w:after="160" w:before="400"/>
      </w:pPr>
      <w:r>
        <w:rPr>
          <w:rFonts w:ascii="Arial" w:cs="Arial" w:eastAsia="Arial" w:hAnsi="Arial"/>
          <w:b/>
          <w:bCs/>
          <w:color w:val="2E75B6"/>
          <w:sz w:val="28"/>
          <w:szCs w:val="28"/>
        </w:rPr>
        <w:t xml:space="preserve">7.6  References</w:t>
      </w:r>
    </w:p>
    <w:p>
      <w:pPr>
        <w:spacing w:after="80" w:before="80"/>
        <w:ind w:left="720" w:hanging="720"/>
        <w:jc w:val="both"/>
      </w:pPr>
      <w:r>
        <w:rPr>
          <w:rFonts w:ascii="Times New Roman" w:cs="Times New Roman" w:eastAsia="Times New Roman" w:hAnsi="Times New Roman"/>
          <w:color w:val="333333"/>
          <w:sz w:val="20"/>
          <w:szCs w:val="20"/>
        </w:rPr>
        <w:t xml:space="preserve">Dung, P.M. (1995) 'On the acceptability of arguments and its fundamental role in nonmonotonic reasoning, logic programming and n-person games', Artificial Intelligence, 77(2), pp. 321–357.</w:t>
      </w:r>
    </w:p>
    <w:p>
      <w:pPr>
        <w:spacing w:after="80" w:before="80"/>
        <w:ind w:left="720" w:hanging="720"/>
        <w:jc w:val="both"/>
      </w:pPr>
      <w:r>
        <w:rPr>
          <w:rFonts w:ascii="Times New Roman" w:cs="Times New Roman" w:eastAsia="Times New Roman" w:hAnsi="Times New Roman"/>
          <w:color w:val="333333"/>
          <w:sz w:val="20"/>
          <w:szCs w:val="20"/>
        </w:rPr>
        <w:t xml:space="preserve">Gadyatskaya, O., Jhawar, R., Kordy, P., Lounis, K., Mauw, S. and Trujillo-Rasua, R. (2016) 'Attack trees for practical security assessment: Ranking of attack scenarios with ADTool 2.0', in Quantitative Evaluation of Systems. Springer, pp. 159–162.</w:t>
      </w:r>
    </w:p>
    <w:p>
      <w:pPr>
        <w:spacing w:after="80" w:before="80"/>
        <w:ind w:left="720" w:hanging="720"/>
        <w:jc w:val="both"/>
      </w:pPr>
      <w:r>
        <w:rPr>
          <w:rFonts w:ascii="Times New Roman" w:cs="Times New Roman" w:eastAsia="Times New Roman" w:hAnsi="Times New Roman"/>
          <w:color w:val="333333"/>
          <w:sz w:val="20"/>
          <w:szCs w:val="20"/>
        </w:rPr>
        <w:t xml:space="preserve">Juels, A., Molnar, D. and Wagner, D. (2005) 'Security and privacy issues in e-passports', in First International Conference on Security and Privacy for Emerging Areas in Communications Networks, pp. 74–88.</w:t>
      </w:r>
    </w:p>
    <w:p>
      <w:pPr>
        <w:spacing w:after="80" w:before="80"/>
        <w:ind w:left="720" w:hanging="720"/>
        <w:jc w:val="both"/>
      </w:pPr>
      <w:r>
        <w:rPr>
          <w:rFonts w:ascii="Times New Roman" w:cs="Times New Roman" w:eastAsia="Times New Roman" w:hAnsi="Times New Roman"/>
          <w:color w:val="333333"/>
          <w:sz w:val="20"/>
          <w:szCs w:val="20"/>
        </w:rPr>
        <w:t xml:space="preserve">Kordy, B., Mauw, S., Radomirovic, S. and Schweitzer, P. (2012) 'Attack-defence trees', Journal of Logic and Computation, 24(1), pp. 55–87.</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Arial" w:cs="Arial" w:eastAsia="Arial" w:hAnsi="Arial"/>
        <w:color w:val="999999"/>
        <w:sz w:val="18"/>
        <w:szCs w:val="18"/>
      </w:rPr>
      <w:t xml:space="preserve">Ronith Naveen Kumar  |  202357131  |  Chapter 7: Discussion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2026-05-20T11:47:32.742Z</dcterms:created>
  <dcterms:modified xsi:type="dcterms:W3CDTF">2026-05-20T11:47:32.742Z</dcterms:modified>
</cp:coreProperties>
</file>

<file path=docProps/custom.xml><?xml version="1.0" encoding="utf-8"?>
<Properties xmlns="http://schemas.openxmlformats.org/officeDocument/2006/custom-properties" xmlns:vt="http://schemas.openxmlformats.org/officeDocument/2006/docPropsVTypes"/>
</file>