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00"/>
      </w:pPr>
      <w:r>
        <w:rPr>
          <w:rFonts w:ascii="Times New Roman" w:hAnsi="Times New Roman" w:eastAsia="Times New Roman"/>
          <w:b/>
          <w:color w:val="000000"/>
          <w:sz w:val="36"/>
        </w:rPr>
        <w:t>Supporting Information</w:t>
      </w:r>
    </w:p>
    <w:p>
      <w:pPr>
        <w:spacing w:after="100"/>
      </w:pPr>
      <w:r>
        <w:rPr>
          <w:rFonts w:ascii="Times New Roman" w:hAnsi="Times New Roman" w:eastAsia="Times New Roman"/>
          <w:b/>
          <w:color w:val="000000"/>
          <w:sz w:val="24"/>
        </w:rPr>
        <w:t>NOSTOS Prevents Silent Acquisition- and Scale-Specific Failure in Quantitative Microscopy</w:t>
      </w:r>
    </w:p>
    <w:p>
      <w:pPr>
        <w:spacing w:after="160"/>
      </w:pPr>
      <w:r>
        <w:rPr>
          <w:rFonts w:ascii="Times New Roman" w:hAnsi="Times New Roman" w:eastAsia="Times New Roman"/>
          <w:i/>
          <w:color w:val="000000"/>
          <w:sz w:val="20"/>
        </w:rPr>
        <w:t>Yan Jun Lin</w:t>
      </w:r>
    </w:p>
    <w:p>
      <w:pPr>
        <w:spacing w:after="140" w:line="259" w:lineRule="auto"/>
      </w:pPr>
      <w:r>
        <w:rPr>
          <w:rFonts w:ascii="Times New Roman" w:hAnsi="Times New Roman" w:eastAsia="Times New Roman"/>
          <w:color w:val="000000"/>
          <w:sz w:val="18"/>
        </w:rPr>
        <w:t>This file reports estimator-level validations that support implementation breadth but are not pooled with the four main selective-validity experiments. Every value is read directly from a frozen JSON receipt; public images are not redistributed in the software archive.</w:t>
      </w:r>
    </w:p>
    <w:p>
      <w:pPr>
        <w:pStyle w:val="Heading1"/>
        <w:keepNext/>
      </w:pPr>
      <w:r>
        <w:t>S1. Synthetic truth and perturbation validation</w:t>
      </w:r>
    </w:p>
    <w:p>
      <w:pPr>
        <w:spacing w:after="60" w:line="259" w:lineRule="auto"/>
      </w:pPr>
      <w:r>
        <w:rPr>
          <w:rFonts w:ascii="Times New Roman" w:hAnsi="Times New Roman" w:eastAsia="Times New Roman"/>
          <w:color w:val="000000"/>
          <w:sz w:val="18"/>
        </w:rPr>
        <w:t>Nine analytic constructs encoded programmed orientation, spectral scale, blob, tube, sheet, thickness, roughness, network structure and spatial heterogeneity. Eight primary perturbations were applied to the orientation-scale construct. The five module gates evaluated structure tensor, Hessian morphology, local thickness, network survival and directional spatial range. Mask dilation and erosion were evaluated as sensitivities because invariance to an altered mask is not scientifically expected.</w:t>
      </w:r>
    </w:p>
    <w:p>
      <w:pPr>
        <w:keepNext/>
        <w:spacing w:before="80" w:after="60"/>
      </w:pPr>
      <w:r>
        <w:rPr>
          <w:rFonts w:ascii="Times New Roman" w:hAnsi="Times New Roman" w:eastAsia="Times New Roman"/>
          <w:b/>
          <w:color w:val="000000"/>
          <w:sz w:val="16"/>
        </w:rPr>
        <w:t>Table S1. Exact programmed-perturbation results.</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1814"/>
        <w:gridCol w:w="1814"/>
        <w:gridCol w:w="1814"/>
        <w:gridCol w:w="1814"/>
        <w:gridCol w:w="1814"/>
      </w:tblGrid>
      <w:tr>
        <w:trPr>
          <w:tblHeader w:val="true"/>
          <w:cantSplit/>
        </w:trPr>
        <w:tc>
          <w:tcPr>
            <w:tcW w:type="dxa" w:w="181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Perturbation</w:t>
            </w:r>
          </w:p>
        </w:tc>
        <w:tc>
          <w:tcPr>
            <w:tcW w:type="dxa" w:w="181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Magnitude</w:t>
            </w:r>
          </w:p>
        </w:tc>
        <w:tc>
          <w:tcPr>
            <w:tcW w:type="dxa" w:w="181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Angular error</w:t>
            </w:r>
          </w:p>
        </w:tc>
        <w:tc>
          <w:tcPr>
            <w:tcW w:type="dxa" w:w="181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Scale error</w:t>
            </w:r>
          </w:p>
        </w:tc>
        <w:tc>
          <w:tcPr>
            <w:tcW w:type="dxa" w:w="181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Gate</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rotation</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17</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0.0001°</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2.986%</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resampling</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0.75</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0.0001°</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0.772%</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crop</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0.8</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0.0005°</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0.211%</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blur</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1</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0.0000°</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0.772%</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noise</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0.1</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0.0098°</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0.772%</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contrast</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0.65</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0.0000°</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0.772%</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psf</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0.75</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0.0000°</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0.772%</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r>
        <w:trPr>
          <w:cantSplit/>
        </w:trPr>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partial volume</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0.0003°</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0.772%</w:t>
            </w:r>
          </w:p>
        </w:tc>
        <w:tc>
          <w:tcPr>
            <w:tcW w:type="dxa" w:w="1814"/>
            <w:tcMar>
              <w:top w:w="55" w:type="dxa"/>
              <w:start w:w="65" w:type="dxa"/>
              <w:bottom w:w="55" w:type="dxa"/>
              <w:end w:w="65" w:type="dxa"/>
            </w:tcMar>
            <w:vAlign w:val="center"/>
          </w:tcPr>
          <w:p>
            <w:pPr>
              <w:spacing w:after="0"/>
            </w:pPr>
            <w:r/>
            <w:r>
              <w:rPr>
                <w:rFonts w:ascii="Times New Roman" w:hAnsi="Times New Roman" w:eastAsia="Times New Roman"/>
                <w:color w:val="000000"/>
                <w:sz w:val="14"/>
              </w:rPr>
              <w:t>pass</w:t>
            </w:r>
          </w:p>
        </w:tc>
      </w:tr>
    </w:tbl>
    <w:p>
      <w:pPr>
        <w:spacing w:after="20"/>
      </w:pPr>
    </w:p>
    <w:p>
      <w:pPr>
        <w:keepNext/>
        <w:spacing w:before="80" w:after="60"/>
      </w:pPr>
      <w:r>
        <w:rPr>
          <w:rFonts w:ascii="Times New Roman" w:hAnsi="Times New Roman" w:eastAsia="Times New Roman"/>
          <w:b/>
          <w:color w:val="000000"/>
          <w:sz w:val="16"/>
        </w:rPr>
        <w:t>Table S2. Frozen module-by-perturbation gate counts.</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2268"/>
        <w:gridCol w:w="2268"/>
        <w:gridCol w:w="2268"/>
        <w:gridCol w:w="2268"/>
      </w:tblGrid>
      <w:tr>
        <w:trPr>
          <w:tblHeader w:val="true"/>
          <w:cantSplit/>
        </w:trPr>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Module</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Required</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Passed</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Mask sensitivities</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tensor</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5</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5</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hessian</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12</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12</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geometry</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2</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2</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2</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network</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1</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1</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spatial</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4</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4</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w:t>
            </w:r>
          </w:p>
        </w:tc>
      </w:tr>
    </w:tbl>
    <w:p>
      <w:pPr>
        <w:spacing w:after="20"/>
      </w:pPr>
    </w:p>
    <w:p>
      <w:pPr>
        <w:keepNext/>
        <w:spacing w:before="100" w:after="40"/>
        <w:jc w:val="center"/>
      </w:pPr>
      <w:r>
        <w:drawing>
          <wp:inline xmlns:a="http://schemas.openxmlformats.org/drawingml/2006/main" xmlns:pic="http://schemas.openxmlformats.org/drawingml/2006/picture">
            <wp:extent cx="5715000" cy="3312056"/>
            <wp:docPr id="1" name="Picture 1" descr="Programmed synthetic phantoms, exact perturbation errors, module-by-perturbation support matrix and monotonic network erosion survival." title="Figure S1"/>
            <wp:cNvGraphicFramePr>
              <a:graphicFrameLocks noChangeAspect="1"/>
            </wp:cNvGraphicFramePr>
            <a:graphic>
              <a:graphicData uri="http://schemas.openxmlformats.org/drawingml/2006/picture">
                <pic:pic>
                  <pic:nvPicPr>
                    <pic:cNvPr id="0" name="figure_s1_synthetic_validation.png"/>
                    <pic:cNvPicPr/>
                  </pic:nvPicPr>
                  <pic:blipFill>
                    <a:blip r:embed="rId17"/>
                    <a:stretch>
                      <a:fillRect/>
                    </a:stretch>
                  </pic:blipFill>
                  <pic:spPr>
                    <a:xfrm>
                      <a:off x="0" y="0"/>
                      <a:ext cx="5715000" cy="3312056"/>
                    </a:xfrm>
                    <a:prstGeom prst="rect"/>
                  </pic:spPr>
                </pic:pic>
              </a:graphicData>
            </a:graphic>
          </wp:inline>
        </w:drawing>
      </w:r>
    </w:p>
    <w:p>
      <w:pPr>
        <w:pStyle w:val="Caption"/>
        <w:keepLines/>
        <w:spacing w:after="140"/>
      </w:pPr>
      <w:r>
        <w:rPr>
          <w:rFonts w:ascii="Times New Roman" w:hAnsi="Times New Roman" w:eastAsia="Times New Roman"/>
          <w:b/>
          <w:color w:val="000000"/>
          <w:sz w:val="15"/>
        </w:rPr>
        <w:t xml:space="preserve">Figure S1. </w:t>
      </w:r>
      <w:r>
        <w:rPr>
          <w:rFonts w:ascii="Times New Roman" w:hAnsi="Times New Roman" w:eastAsia="Times New Roman"/>
          <w:color w:val="000000"/>
          <w:sz w:val="15"/>
        </w:rPr>
        <w:t>Synthetic operating-envelope validation. a, Programmed analytic constructs. b, Angular and physical-scale errors under the eight primary perturbations. c, Required module-by-perturbation cells; teal denotes a passed required cell and grey denotes a combination not declared by the protocol. d, Monotonic network survival under erosion. All 24 required module tests passed; the two mask-error experiments were retained as sensitivity analyses.</w:t>
      </w:r>
    </w:p>
    <w:p>
      <w:pPr>
        <w:pStyle w:val="Heading1"/>
        <w:keepNext/>
      </w:pPr>
      <w:r>
        <w:t>S2. External network measurement on STARE reference masks</w:t>
      </w:r>
    </w:p>
    <w:p>
      <w:pPr>
        <w:spacing w:after="60" w:line="259" w:lineRule="auto"/>
      </w:pPr>
      <w:r>
        <w:rPr>
          <w:rFonts w:ascii="Times New Roman" w:hAnsi="Times New Roman" w:eastAsia="Times New Roman"/>
          <w:color w:val="000000"/>
          <w:sz w:val="18"/>
        </w:rPr>
        <w:t>Twenty STARE reference masks were analyzed as binary networks. NOSTOS and the independent scikit-image skeletonize comparator used the same mask support. Sampling changes preserved both network erosion survival and skeleton length. The result validates endpoint implementation on supplied masks; it does not validate automatic vessel segmentation or infer vascular biology.</w:t>
      </w:r>
    </w:p>
    <w:p>
      <w:pPr>
        <w:keepNext/>
        <w:spacing w:before="80" w:after="60"/>
      </w:pPr>
      <w:r>
        <w:rPr>
          <w:rFonts w:ascii="Times New Roman" w:hAnsi="Times New Roman" w:eastAsia="Times New Roman"/>
          <w:b/>
          <w:color w:val="000000"/>
          <w:sz w:val="16"/>
        </w:rPr>
        <w:t>Table S3. STARE network endpoint confirmation.</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2268"/>
        <w:gridCol w:w="2268"/>
        <w:gridCol w:w="2268"/>
        <w:gridCol w:w="2268"/>
      </w:tblGrid>
      <w:tr>
        <w:trPr>
          <w:tblHeader w:val="true"/>
          <w:cantSplit/>
        </w:trPr>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Endpoint</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Independent images</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Agreement</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Additional diagnostic</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erosion-survival AUC</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20</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Spearman ρ = 0.988</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inter-annotator ρ = 0.874</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skeleton length</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20</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Spearman ρ = 0.995</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median relative error = 0.018</w:t>
            </w:r>
          </w:p>
        </w:tc>
      </w:tr>
    </w:tbl>
    <w:p>
      <w:pPr>
        <w:spacing w:after="20"/>
      </w:pPr>
    </w:p>
    <w:p>
      <w:pPr>
        <w:pStyle w:val="Heading1"/>
        <w:keepNext/>
      </w:pPr>
      <w:r>
        <w:t>S3. External trabecular-bone local thickness</w:t>
      </w:r>
    </w:p>
    <w:p>
      <w:pPr>
        <w:spacing w:after="60" w:line="259" w:lineRule="auto"/>
      </w:pPr>
      <w:r>
        <w:rPr>
          <w:rFonts w:ascii="Times New Roman" w:hAnsi="Times New Roman" w:eastAsia="Times New Roman"/>
          <w:color w:val="000000"/>
          <w:sz w:val="18"/>
        </w:rPr>
        <w:t>Eight public micro-CT volumes from Zenodo record 11061947 were analyzed in physical units. NOSTOS maximal-sphere local thickness was compared first with the archived IPL map and then with BoneJ 1.4.3 executed in a checksum-locked legacy Fiji environment. The independent image volume was the inferential unit. These comparisons establish agreement for local thickness on supplied bone masks, not diagnostic performance or tissue competence.</w:t>
      </w:r>
    </w:p>
    <w:p>
      <w:pPr>
        <w:keepNext/>
        <w:spacing w:before="80" w:after="60"/>
      </w:pPr>
      <w:r>
        <w:rPr>
          <w:rFonts w:ascii="Times New Roman" w:hAnsi="Times New Roman" w:eastAsia="Times New Roman"/>
          <w:b/>
          <w:color w:val="000000"/>
          <w:sz w:val="16"/>
        </w:rPr>
        <w:t>Table S4. Public trabecular-bone thickness comparisons.</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2268"/>
        <w:gridCol w:w="2268"/>
        <w:gridCol w:w="2268"/>
        <w:gridCol w:w="2268"/>
      </w:tblGrid>
      <w:tr>
        <w:trPr>
          <w:tblHeader w:val="true"/>
          <w:cantSplit/>
        </w:trPr>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Comparator</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Volumes</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Primary agreement</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Error</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archived IPL map</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8</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median voxelwise ρ = 0.927</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mean MAE = 0.0189 mm</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BoneJ 1.4.3</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8</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CCC = 0.926</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mean |Δ| = 0.0157 mm</w:t>
            </w:r>
          </w:p>
        </w:tc>
      </w:tr>
    </w:tbl>
    <w:p>
      <w:pPr>
        <w:spacing w:after="20"/>
      </w:pPr>
    </w:p>
    <w:p>
      <w:pPr>
        <w:keepNext/>
        <w:spacing w:before="100" w:after="40"/>
        <w:jc w:val="center"/>
      </w:pPr>
      <w:r>
        <w:drawing>
          <wp:inline xmlns:a="http://schemas.openxmlformats.org/drawingml/2006/main" xmlns:pic="http://schemas.openxmlformats.org/drawingml/2006/picture">
            <wp:extent cx="5715000" cy="3607940"/>
            <wp:docPr id="2" name="Picture 2" descr="Public trabecular-bone local-thickness reference, NOSTOS estimate, residual map, volume-level agreement and paired error comparison." title="Figure S2"/>
            <wp:cNvGraphicFramePr>
              <a:graphicFrameLocks noChangeAspect="1"/>
            </wp:cNvGraphicFramePr>
            <a:graphic>
              <a:graphicData uri="http://schemas.openxmlformats.org/drawingml/2006/picture">
                <pic:pic>
                  <pic:nvPicPr>
                    <pic:cNvPr id="0" name="figure_3_bone_validation.png"/>
                    <pic:cNvPicPr/>
                  </pic:nvPicPr>
                  <pic:blipFill>
                    <a:blip r:embed="rId18"/>
                    <a:stretch>
                      <a:fillRect/>
                    </a:stretch>
                  </pic:blipFill>
                  <pic:spPr>
                    <a:xfrm>
                      <a:off x="0" y="0"/>
                      <a:ext cx="5715000" cy="3607940"/>
                    </a:xfrm>
                    <a:prstGeom prst="rect"/>
                  </pic:spPr>
                </pic:pic>
              </a:graphicData>
            </a:graphic>
          </wp:inline>
        </w:drawing>
      </w:r>
    </w:p>
    <w:p>
      <w:pPr>
        <w:pStyle w:val="Caption"/>
        <w:keepLines/>
        <w:spacing w:after="140"/>
      </w:pPr>
      <w:r>
        <w:rPr>
          <w:rFonts w:ascii="Times New Roman" w:hAnsi="Times New Roman" w:eastAsia="Times New Roman"/>
          <w:b/>
          <w:color w:val="000000"/>
          <w:sz w:val="15"/>
        </w:rPr>
        <w:t xml:space="preserve">Figure S2. </w:t>
      </w:r>
      <w:r>
        <w:rPr>
          <w:rFonts w:ascii="Times New Roman" w:hAnsi="Times New Roman" w:eastAsia="Times New Roman"/>
          <w:color w:val="000000"/>
          <w:sz w:val="15"/>
        </w:rPr>
        <w:t>Public trabecular-bone local-thickness validation. a–c, Archived reference, NOSTOS estimate and residual on the same volume plane. d, Volume-level mean thickness. e, Voxelwise rank agreement in eight independent volumes. f, Paired mean absolute error for the nearest-boundary baseline and NOSTOS. The exact one-sided paired Wilcoxon value for the improvement over the baseline was 0.00390625.</w:t>
      </w:r>
    </w:p>
    <w:p>
      <w:pPr>
        <w:pStyle w:val="Heading1"/>
        <w:keepNext/>
      </w:pPr>
      <w:r>
        <w:t>S4. Dynamic deformation and spatial-response confirmations</w:t>
      </w:r>
    </w:p>
    <w:p>
      <w:pPr>
        <w:spacing w:after="60" w:line="259" w:lineRule="auto"/>
      </w:pPr>
      <w:r>
        <w:rPr>
          <w:rFonts w:ascii="Times New Roman" w:hAnsi="Times New Roman" w:eastAsia="Times New Roman"/>
          <w:color w:val="000000"/>
          <w:sz w:val="18"/>
        </w:rPr>
        <w:t>Dynamic and spatial modules were tested separately so that their bounded operating claims could not be mistaken for biological validation. BBBC035 phase-correlation tests used programmed translations derived from public images. Dense deformation used programmed non-rigid fields. BBBC006 spatial responses compared adjacent focal planes with an intentionally defocused plane.</w:t>
      </w:r>
    </w:p>
    <w:p>
      <w:pPr>
        <w:keepNext/>
        <w:spacing w:before="80" w:after="60"/>
      </w:pPr>
      <w:r>
        <w:rPr>
          <w:rFonts w:ascii="Times New Roman" w:hAnsi="Times New Roman" w:eastAsia="Times New Roman"/>
          <w:b/>
          <w:color w:val="000000"/>
          <w:sz w:val="16"/>
        </w:rPr>
        <w:t>Table S5. Separate dynamic and spatial operating-envelope confirmations.</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2268"/>
        <w:gridCol w:w="2268"/>
        <w:gridCol w:w="2268"/>
        <w:gridCol w:w="2268"/>
      </w:tblGrid>
      <w:tr>
        <w:trPr>
          <w:tblHeader w:val="true"/>
          <w:cantSplit/>
        </w:trPr>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Module</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Independent cases</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Frozen result</w:t>
            </w:r>
          </w:p>
        </w:tc>
        <w:tc>
          <w:tcPr>
            <w:tcW w:type="dxa" w:w="2268"/>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Boundary</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bulk registration</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public-image series</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maximum error = 0.0 px</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programmed translation</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dense deformation</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8</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median endpoint error = 0.270 px</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comparator = 0.523 px</w:t>
            </w:r>
          </w:p>
        </w:tc>
      </w:tr>
      <w:tr>
        <w:trPr>
          <w:cantSplit/>
        </w:trPr>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spatial response</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64</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adjacent-plane ρ = 1.000</w:t>
            </w:r>
          </w:p>
        </w:tc>
        <w:tc>
          <w:tcPr>
            <w:tcW w:type="dxa" w:w="2268"/>
            <w:tcMar>
              <w:top w:w="55" w:type="dxa"/>
              <w:start w:w="65" w:type="dxa"/>
              <w:bottom w:w="55" w:type="dxa"/>
              <w:end w:w="65" w:type="dxa"/>
            </w:tcMar>
            <w:vAlign w:val="center"/>
          </w:tcPr>
          <w:p>
            <w:pPr>
              <w:spacing w:after="0"/>
            </w:pPr>
            <w:r/>
            <w:r>
              <w:rPr>
                <w:rFonts w:ascii="Times New Roman" w:hAnsi="Times New Roman" w:eastAsia="Times New Roman"/>
                <w:color w:val="000000"/>
                <w:sz w:val="14"/>
              </w:rPr>
              <w:t>defocus &gt; adjacent in 100%</w:t>
            </w:r>
          </w:p>
        </w:tc>
      </w:tr>
    </w:tbl>
    <w:p>
      <w:pPr>
        <w:spacing w:after="20"/>
      </w:pPr>
    </w:p>
    <w:p>
      <w:pPr>
        <w:pStyle w:val="Heading1"/>
        <w:keepNext/>
      </w:pPr>
      <w:r>
        <w:t>S5. Label-free and three-dimensional bone stress tests</w:t>
      </w:r>
    </w:p>
    <w:p>
      <w:pPr>
        <w:spacing w:after="60" w:line="259" w:lineRule="auto"/>
      </w:pPr>
      <w:r>
        <w:rPr>
          <w:rFonts w:ascii="Times New Roman" w:hAnsi="Times New Roman" w:eastAsia="Times New Roman"/>
          <w:color w:val="000000"/>
          <w:sz w:val="18"/>
        </w:rPr>
        <w:t>The bone transfer program exercised orientation, network and scale support on mouse SHG, rat confocal lacuna-canalicular stacks, human synchrotron nanoCT and human ultraviolet photoacoustic microscopy. These analyses were intentionally kept as stress tests. A missing pixel calibration forced the UV-PAM spectrum to remain pixel-domain; insufficient support or unstable topology produced abstention rather than an inferred physical measurement.</w:t>
      </w:r>
    </w:p>
    <w:p>
      <w:pPr>
        <w:keepNext/>
        <w:spacing w:before="100" w:after="40"/>
        <w:jc w:val="center"/>
      </w:pPr>
      <w:r>
        <w:drawing>
          <wp:inline xmlns:a="http://schemas.openxmlformats.org/drawingml/2006/main" xmlns:pic="http://schemas.openxmlformats.org/drawingml/2006/picture">
            <wp:extent cx="5715000" cy="5687934"/>
            <wp:docPr id="3" name="Picture 3" descr="Public label-free and three-dimensional bone images with deterministic compatibility, topology, orientation, spectrum and selective-risk outputs." title="Figure S3"/>
            <wp:cNvGraphicFramePr>
              <a:graphicFrameLocks noChangeAspect="1"/>
            </wp:cNvGraphicFramePr>
            <a:graphic>
              <a:graphicData uri="http://schemas.openxmlformats.org/drawingml/2006/picture">
                <pic:pic>
                  <pic:nvPicPr>
                    <pic:cNvPr id="0" name="supplementary_figure_1_bone_contract_stress.png"/>
                    <pic:cNvPicPr/>
                  </pic:nvPicPr>
                  <pic:blipFill>
                    <a:blip r:embed="rId19"/>
                    <a:stretch>
                      <a:fillRect/>
                    </a:stretch>
                  </pic:blipFill>
                  <pic:spPr>
                    <a:xfrm>
                      <a:off x="0" y="0"/>
                      <a:ext cx="5715000" cy="5687934"/>
                    </a:xfrm>
                    <a:prstGeom prst="rect"/>
                  </pic:spPr>
                </pic:pic>
              </a:graphicData>
            </a:graphic>
          </wp:inline>
        </w:drawing>
      </w:r>
    </w:p>
    <w:p>
      <w:pPr>
        <w:pStyle w:val="Caption"/>
        <w:keepLines/>
        <w:spacing w:after="140"/>
      </w:pPr>
      <w:r>
        <w:rPr>
          <w:rFonts w:ascii="Times New Roman" w:hAnsi="Times New Roman" w:eastAsia="Times New Roman"/>
          <w:b/>
          <w:color w:val="000000"/>
          <w:sz w:val="15"/>
        </w:rPr>
        <w:t xml:space="preserve">Figure S3. </w:t>
      </w:r>
      <w:r>
        <w:rPr>
          <w:rFonts w:ascii="Times New Roman" w:hAnsi="Times New Roman" w:eastAsia="Times New Roman"/>
          <w:color w:val="000000"/>
          <w:sz w:val="15"/>
        </w:rPr>
        <w:t>Public bone stress atlas. a,b, Mouse-bone SHG and coarse orientation-compatibility regions. c,d, Rat confocal projection and imported lacuna-canalicular labels. e, Deterministic intensity terrain. f, Risk–coverage curves for endpoint QC, topology-only support and the full contract. g,h, Human nanoCT crops and internal low-density isosurfaces. i,j, Local orientation and its scale-conditioned coverage/risk boundary. k,l, Human-bone UV-PAM and its pixel-domain Fourier spectrum. These exploratory transfers are not pooled with the primary confirmations.</w:t>
      </w:r>
    </w:p>
    <w:p>
      <w:pPr>
        <w:pStyle w:val="Heading1"/>
        <w:keepNext/>
        <w:pageBreakBefore/>
      </w:pPr>
      <w:r>
        <w:t>S6. Frozen receipt index</w:t>
      </w:r>
    </w:p>
    <w:p>
      <w:pPr>
        <w:spacing w:after="60" w:line="259" w:lineRule="auto"/>
      </w:pPr>
      <w:r>
        <w:rPr>
          <w:rFonts w:ascii="Times New Roman" w:hAnsi="Times New Roman" w:eastAsia="Times New Roman"/>
          <w:color w:val="000000"/>
          <w:sz w:val="18"/>
        </w:rPr>
        <w:t>The relative record name and SHA-256 digest below identify the exact machine-readable evidence used to generate this Supporting Information. The release builder verifies these records before packaging and excludes bulk public microscopy.</w:t>
      </w:r>
    </w:p>
    <w:p>
      <w:pPr>
        <w:keepNext/>
        <w:spacing w:before="80" w:after="60"/>
      </w:pPr>
      <w:r>
        <w:rPr>
          <w:rFonts w:ascii="Times New Roman" w:hAnsi="Times New Roman" w:eastAsia="Times New Roman"/>
          <w:b/>
          <w:color w:val="000000"/>
          <w:sz w:val="16"/>
        </w:rPr>
        <w:t>Table S6. Machine-readable evidence receipts.</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4536"/>
        <w:gridCol w:w="4536"/>
      </w:tblGrid>
      <w:tr>
        <w:trPr>
          <w:tblHeader w:val="true"/>
          <w:cantSplit/>
        </w:trPr>
        <w:tc>
          <w:tcPr>
            <w:tcW w:type="dxa" w:w="4536"/>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Receipt</w:t>
            </w:r>
          </w:p>
        </w:tc>
        <w:tc>
          <w:tcPr>
            <w:tcW w:type="dxa" w:w="4536"/>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SHA-256</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outputs/nostos0-synthetic-v1/validation.json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f406cce0826032ceb5d5146dc7e7181144ea7dd492ba2b950bd7abc9b98c146b</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outputs/nostos0-module-perturbations-v1/module_perturbation_matrix.json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b8de6dacb398b20ba320f3163b4d5d43d5178ed5d5dda23e25c70f47463d44fe</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outputs/nostos0-stare-network-confirmation-v1/stare_network_confirmation.json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da9c59ad2508685325ab2ee805b94c23d90b5ce80a583cd51f5b41a0305fdb96</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outputs/external-bone-v1/external_bone_validation.json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d0be3f11fb75dbd5221edf6659040e1cb043ddb710a32f66ab20533a05b4288f</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outputs/nostos0-bonej-thickness-v1/bonej_thickness_comparator.json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561f5592e9d05f66240d1c17caa9f1fbd84d18a5af203cabaec37caf499a04f7</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outputs/nostos0-bbbc035-dynamic-confirmation-v1/bbbc035_dynamic_confirmation.json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373a1dfa7bcad32cf272be0b320e21ae5b9b4f9aa4d2c220f7118a5c862a94b4</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outputs/nostos0-bbbc035-dense-deformation-confirmation-v1/bbbc035_dense_deformation_confirmation.json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7babed3f53f28c6a2976169a94f5b17e8d182a5d3fd6f84538499d4e39c11f04</w:t>
            </w:r>
          </w:p>
        </w:tc>
      </w:tr>
      <w:tr>
        <w:trPr>
          <w:cantSplit/>
        </w:trPr>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outputs/nostos0-bbbc006-spatial-confirmation-v1/bbbc006_spatial_confirmation.json</w:t>
            </w:r>
          </w:p>
        </w:tc>
        <w:tc>
          <w:tcPr>
            <w:tcW w:type="dxa" w:w="4536"/>
            <w:tcMar>
              <w:top w:w="55" w:type="dxa"/>
              <w:start w:w="65" w:type="dxa"/>
              <w:bottom w:w="55" w:type="dxa"/>
              <w:end w:w="65" w:type="dxa"/>
            </w:tcMar>
            <w:vAlign w:val="center"/>
          </w:tcPr>
          <w:p>
            <w:pPr>
              <w:spacing w:after="0"/>
            </w:pPr>
            <w:r/>
            <w:r>
              <w:rPr>
                <w:rFonts w:ascii="Times New Roman" w:hAnsi="Times New Roman" w:eastAsia="Times New Roman"/>
                <w:color w:val="000000"/>
                <w:sz w:val="14"/>
              </w:rPr>
              <w:t>511e1ed21391f082f221d64b76fb39b509b6e9d0f82e0c4848f4227fe91877fb</w:t>
            </w:r>
          </w:p>
        </w:tc>
      </w:tr>
    </w:tbl>
    <w:p>
      <w:pPr>
        <w:spacing w:after="20"/>
      </w:pPr>
    </w:p>
    <w:p>
      <w:pPr>
        <w:pStyle w:val="Heading1"/>
        <w:keepNext/>
      </w:pPr>
      <w:r>
        <w:t>S7. Resource identifiers and scope</w:t>
      </w:r>
    </w:p>
    <w:p>
      <w:pPr>
        <w:keepNext/>
        <w:spacing w:before="80" w:after="60"/>
      </w:pPr>
      <w:r>
        <w:rPr>
          <w:rFonts w:ascii="Times New Roman" w:hAnsi="Times New Roman" w:eastAsia="Times New Roman"/>
          <w:b/>
          <w:color w:val="000000"/>
          <w:sz w:val="16"/>
        </w:rPr>
        <w:t>Table S7. External public resources.</w:t>
      </w:r>
    </w:p>
    <w:tbl>
      <w:tblPr>
        <w:tblW w:type="auto" w:w="0"/>
        <w:jc w:val="center"/>
        <w:tblLayout w:type="autofit"/>
        <w:tblLook w:firstColumn="1" w:firstRow="1" w:lastColumn="0" w:lastRow="0" w:noHBand="0" w:noVBand="1" w:val="04A0"/>
        <w:tblBorders>
          <w:top w:val="single" w:sz="6" w:color="9AA8AF"/>
          <w:bottom w:val="single" w:sz="6" w:color="9AA8AF"/>
          <w:insideH w:val="single" w:sz="3" w:color="DDE3E6"/>
          <w:left w:val="nil" w:sz="0" w:color="FFFFFF"/>
          <w:right w:val="nil" w:sz="0" w:color="FFFFFF"/>
          <w:insideV w:val="nil" w:sz="0" w:color="FFFFFF"/>
        </w:tblBorders>
      </w:tblPr>
      <w:tblGrid>
        <w:gridCol w:w="3024"/>
        <w:gridCol w:w="3024"/>
        <w:gridCol w:w="3024"/>
      </w:tblGrid>
      <w:tr>
        <w:trPr>
          <w:tblHeader w:val="true"/>
          <w:cantSplit/>
        </w:trPr>
        <w:tc>
          <w:tcPr>
            <w:tcW w:type="dxa" w:w="302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Resource</w:t>
            </w:r>
          </w:p>
        </w:tc>
        <w:tc>
          <w:tcPr>
            <w:tcW w:type="dxa" w:w="302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Persistent identifier</w:t>
            </w:r>
          </w:p>
        </w:tc>
        <w:tc>
          <w:tcPr>
            <w:tcW w:type="dxa" w:w="3024"/>
            <w:shd w:fill="DCEBEC"/>
            <w:tcMar>
              <w:top w:w="55" w:type="dxa"/>
              <w:start w:w="65" w:type="dxa"/>
              <w:bottom w:w="55" w:type="dxa"/>
              <w:end w:w="65" w:type="dxa"/>
            </w:tcMar>
            <w:vAlign w:val="center"/>
          </w:tcPr>
          <w:p>
            <w:pPr>
              <w:spacing w:after="0"/>
              <w:jc w:val="left"/>
            </w:pPr>
            <w:r/>
            <w:r>
              <w:rPr>
                <w:rFonts w:ascii="Times New Roman" w:hAnsi="Times New Roman" w:eastAsia="Times New Roman"/>
                <w:b/>
                <w:color w:val="000000"/>
                <w:sz w:val="14"/>
              </w:rPr>
              <w:t>Permitted interpretation</w:t>
            </w:r>
          </w:p>
        </w:tc>
      </w:tr>
      <w:tr>
        <w:trPr>
          <w:cantSplit/>
        </w:trPr>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STARE</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https://cecas.clemson.edu/~ahoover/stare/probing/</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reference-mask network endpoints</w:t>
            </w:r>
          </w:p>
        </w:tc>
      </w:tr>
      <w:tr>
        <w:trPr>
          <w:cantSplit/>
        </w:trPr>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trabecular bone</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https://doi.org/10.5281/zenodo.11061947</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local thickness on supplied masks</w:t>
            </w:r>
          </w:p>
        </w:tc>
      </w:tr>
      <w:tr>
        <w:trPr>
          <w:cantSplit/>
        </w:trPr>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BBBC035</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https://bbbc.broadinstitute.org/BBBC035</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programmed bulk and dense motion</w:t>
            </w:r>
          </w:p>
        </w:tc>
      </w:tr>
      <w:tr>
        <w:trPr>
          <w:cantSplit/>
        </w:trPr>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BBBC006</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https://bbbc.broadinstitute.org/BBBC006</w:t>
            </w:r>
          </w:p>
        </w:tc>
        <w:tc>
          <w:tcPr>
            <w:tcW w:type="dxa" w:w="3024"/>
            <w:tcMar>
              <w:top w:w="55" w:type="dxa"/>
              <w:start w:w="65" w:type="dxa"/>
              <w:bottom w:w="55" w:type="dxa"/>
              <w:end w:w="65" w:type="dxa"/>
            </w:tcMar>
            <w:vAlign w:val="center"/>
          </w:tcPr>
          <w:p>
            <w:pPr>
              <w:spacing w:after="0"/>
            </w:pPr>
            <w:r/>
            <w:r>
              <w:rPr>
                <w:rFonts w:ascii="Times New Roman" w:hAnsi="Times New Roman" w:eastAsia="Times New Roman"/>
                <w:color w:val="000000"/>
                <w:sz w:val="14"/>
              </w:rPr>
              <w:t>adjacent-plane and defocus response</w:t>
            </w:r>
          </w:p>
        </w:tc>
      </w:tr>
    </w:tbl>
    <w:p>
      <w:pPr>
        <w:spacing w:after="20"/>
      </w:pPr>
    </w:p>
    <w:p>
      <w:pPr>
        <w:spacing w:after="0" w:line="259" w:lineRule="auto"/>
      </w:pPr>
      <w:r>
        <w:rPr>
          <w:rFonts w:ascii="Times New Roman" w:hAnsi="Times New Roman" w:eastAsia="Times New Roman"/>
          <w:color w:val="000000"/>
          <w:sz w:val="18"/>
        </w:rPr>
        <w:t>No result in this file establishes diagnosis, mechanics, clinical usefulness, intraoperative performance, automatic tissue segmentation or a universal biological meaning for any NOSTOS coordinate. The supplementary results establish only the declared estimator-level agreements and perturbation behaviors.</w:t>
      </w:r>
    </w:p>
    <w:sectPr w:rsidR="004A7D3E" w:rsidRPr="0059526F" w:rsidSect="00404548">
      <w:headerReference w:type="default" r:id="rId15"/>
      <w:footerReference w:type="default" r:id="rId16"/>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E167" w14:textId="77777777" w:rsidR="006D3CE2" w:rsidRDefault="006D3CE2">
      <w:r>
        <w:separator/>
      </w:r>
    </w:p>
  </w:endnote>
  <w:endnote w:type="continuationSeparator" w:id="0">
    <w:p w14:paraId="6035683F" w14:textId="77777777" w:rsidR="006D3CE2" w:rsidRDefault="006D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574FA" w14:textId="77777777" w:rsidR="006D3CE2" w:rsidRDefault="006D3CE2">
      <w:r>
        <w:separator/>
      </w:r>
    </w:p>
  </w:footnote>
  <w:footnote w:type="continuationSeparator" w:id="0">
    <w:p w14:paraId="0C91ACB1" w14:textId="77777777" w:rsidR="006D3CE2" w:rsidRDefault="006D3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r>
      <w:rPr>
        <w:rFonts w:ascii="Times New Roman" w:hAnsi="Times New Roman" w:eastAsia="Times New Roman"/>
        <w:i/>
        <w:color w:val="000000"/>
        <w:sz w:val="16"/>
      </w:rPr>
      <w:t>WILEY-VCH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374D"/>
    <w:rsid w:val="00004A23"/>
    <w:rsid w:val="00006A0A"/>
    <w:rsid w:val="0000703E"/>
    <w:rsid w:val="000112FC"/>
    <w:rsid w:val="000118B0"/>
    <w:rsid w:val="00011C49"/>
    <w:rsid w:val="00011F40"/>
    <w:rsid w:val="0001454A"/>
    <w:rsid w:val="0001683C"/>
    <w:rsid w:val="000172E7"/>
    <w:rsid w:val="000214A8"/>
    <w:rsid w:val="00023F64"/>
    <w:rsid w:val="000279B4"/>
    <w:rsid w:val="00027FB5"/>
    <w:rsid w:val="000314D2"/>
    <w:rsid w:val="0003318F"/>
    <w:rsid w:val="0004094E"/>
    <w:rsid w:val="00040B7B"/>
    <w:rsid w:val="00041C1B"/>
    <w:rsid w:val="000437F7"/>
    <w:rsid w:val="00050985"/>
    <w:rsid w:val="0005501E"/>
    <w:rsid w:val="00055883"/>
    <w:rsid w:val="0006044D"/>
    <w:rsid w:val="00060D37"/>
    <w:rsid w:val="00062324"/>
    <w:rsid w:val="00063C0E"/>
    <w:rsid w:val="00067C29"/>
    <w:rsid w:val="00072EA7"/>
    <w:rsid w:val="00076EAD"/>
    <w:rsid w:val="0008287E"/>
    <w:rsid w:val="00083031"/>
    <w:rsid w:val="0008740B"/>
    <w:rsid w:val="000904D3"/>
    <w:rsid w:val="0009052E"/>
    <w:rsid w:val="0009309C"/>
    <w:rsid w:val="00093F1B"/>
    <w:rsid w:val="00094C15"/>
    <w:rsid w:val="000A1F4B"/>
    <w:rsid w:val="000A21A9"/>
    <w:rsid w:val="000A38D2"/>
    <w:rsid w:val="000A3E93"/>
    <w:rsid w:val="000A472C"/>
    <w:rsid w:val="000A5773"/>
    <w:rsid w:val="000A682F"/>
    <w:rsid w:val="000B05A0"/>
    <w:rsid w:val="000B33EE"/>
    <w:rsid w:val="000B4293"/>
    <w:rsid w:val="000C259E"/>
    <w:rsid w:val="000C3E0C"/>
    <w:rsid w:val="000C6252"/>
    <w:rsid w:val="000C6F8A"/>
    <w:rsid w:val="000D2D4B"/>
    <w:rsid w:val="000D45F4"/>
    <w:rsid w:val="000D5AB4"/>
    <w:rsid w:val="000D66DB"/>
    <w:rsid w:val="000D7EBA"/>
    <w:rsid w:val="000D7FE6"/>
    <w:rsid w:val="000E788B"/>
    <w:rsid w:val="000E7A5B"/>
    <w:rsid w:val="000E7BBA"/>
    <w:rsid w:val="000F439F"/>
    <w:rsid w:val="000F512F"/>
    <w:rsid w:val="001013F4"/>
    <w:rsid w:val="001054D4"/>
    <w:rsid w:val="0010686C"/>
    <w:rsid w:val="00107C5F"/>
    <w:rsid w:val="00107CCC"/>
    <w:rsid w:val="00110011"/>
    <w:rsid w:val="001105BD"/>
    <w:rsid w:val="00116C82"/>
    <w:rsid w:val="00120BE6"/>
    <w:rsid w:val="00120E85"/>
    <w:rsid w:val="00123ADA"/>
    <w:rsid w:val="00125573"/>
    <w:rsid w:val="0012642A"/>
    <w:rsid w:val="00126D17"/>
    <w:rsid w:val="001305BF"/>
    <w:rsid w:val="00131D58"/>
    <w:rsid w:val="00132D14"/>
    <w:rsid w:val="001370B1"/>
    <w:rsid w:val="001377CA"/>
    <w:rsid w:val="00140B94"/>
    <w:rsid w:val="001450FB"/>
    <w:rsid w:val="0014658A"/>
    <w:rsid w:val="00147DB8"/>
    <w:rsid w:val="00151683"/>
    <w:rsid w:val="0015392F"/>
    <w:rsid w:val="0015563E"/>
    <w:rsid w:val="00155F66"/>
    <w:rsid w:val="0016390D"/>
    <w:rsid w:val="00164057"/>
    <w:rsid w:val="00165B37"/>
    <w:rsid w:val="00170369"/>
    <w:rsid w:val="00173757"/>
    <w:rsid w:val="00174176"/>
    <w:rsid w:val="00181D92"/>
    <w:rsid w:val="001823B6"/>
    <w:rsid w:val="001848EB"/>
    <w:rsid w:val="00187DB9"/>
    <w:rsid w:val="0019077D"/>
    <w:rsid w:val="0019194D"/>
    <w:rsid w:val="0019723B"/>
    <w:rsid w:val="001A4240"/>
    <w:rsid w:val="001A6821"/>
    <w:rsid w:val="001A734D"/>
    <w:rsid w:val="001B0E68"/>
    <w:rsid w:val="001B3231"/>
    <w:rsid w:val="001B4224"/>
    <w:rsid w:val="001B7472"/>
    <w:rsid w:val="001C10AC"/>
    <w:rsid w:val="001C55FB"/>
    <w:rsid w:val="001D12BC"/>
    <w:rsid w:val="001D3A42"/>
    <w:rsid w:val="001D561D"/>
    <w:rsid w:val="001E18CC"/>
    <w:rsid w:val="001E3D2D"/>
    <w:rsid w:val="001E4605"/>
    <w:rsid w:val="001E5F4E"/>
    <w:rsid w:val="001F2689"/>
    <w:rsid w:val="001F2AB7"/>
    <w:rsid w:val="001F3C9B"/>
    <w:rsid w:val="001F3E77"/>
    <w:rsid w:val="001F4BD1"/>
    <w:rsid w:val="001F5110"/>
    <w:rsid w:val="001F5702"/>
    <w:rsid w:val="001F65A2"/>
    <w:rsid w:val="002002FC"/>
    <w:rsid w:val="00201F71"/>
    <w:rsid w:val="00203934"/>
    <w:rsid w:val="0020446B"/>
    <w:rsid w:val="00204BA7"/>
    <w:rsid w:val="002072AB"/>
    <w:rsid w:val="00210140"/>
    <w:rsid w:val="00211942"/>
    <w:rsid w:val="00214D95"/>
    <w:rsid w:val="00215531"/>
    <w:rsid w:val="002162B2"/>
    <w:rsid w:val="00216F54"/>
    <w:rsid w:val="00220933"/>
    <w:rsid w:val="00220C72"/>
    <w:rsid w:val="0022540C"/>
    <w:rsid w:val="00226AA4"/>
    <w:rsid w:val="00233C8A"/>
    <w:rsid w:val="00236036"/>
    <w:rsid w:val="00240D90"/>
    <w:rsid w:val="00253CB1"/>
    <w:rsid w:val="002543F9"/>
    <w:rsid w:val="00256B43"/>
    <w:rsid w:val="00257ADD"/>
    <w:rsid w:val="00262571"/>
    <w:rsid w:val="00263334"/>
    <w:rsid w:val="00263723"/>
    <w:rsid w:val="00263CF8"/>
    <w:rsid w:val="00265635"/>
    <w:rsid w:val="00266389"/>
    <w:rsid w:val="002675F7"/>
    <w:rsid w:val="002725A5"/>
    <w:rsid w:val="0027314F"/>
    <w:rsid w:val="0028289F"/>
    <w:rsid w:val="00284157"/>
    <w:rsid w:val="00285631"/>
    <w:rsid w:val="00290D94"/>
    <w:rsid w:val="0029203C"/>
    <w:rsid w:val="00294873"/>
    <w:rsid w:val="002A4A81"/>
    <w:rsid w:val="002A73A2"/>
    <w:rsid w:val="002A7CE8"/>
    <w:rsid w:val="002B0671"/>
    <w:rsid w:val="002B262F"/>
    <w:rsid w:val="002B3553"/>
    <w:rsid w:val="002B5A0A"/>
    <w:rsid w:val="002B5E06"/>
    <w:rsid w:val="002C0CFF"/>
    <w:rsid w:val="002D09B9"/>
    <w:rsid w:val="002D16A0"/>
    <w:rsid w:val="002D2930"/>
    <w:rsid w:val="002D2DFF"/>
    <w:rsid w:val="002D3D6D"/>
    <w:rsid w:val="002D5BF8"/>
    <w:rsid w:val="002D7ECC"/>
    <w:rsid w:val="002E1B8F"/>
    <w:rsid w:val="002E2DEF"/>
    <w:rsid w:val="002E4E3E"/>
    <w:rsid w:val="002E76B2"/>
    <w:rsid w:val="002E79A2"/>
    <w:rsid w:val="002F4F4B"/>
    <w:rsid w:val="002F55FD"/>
    <w:rsid w:val="002F594C"/>
    <w:rsid w:val="00301984"/>
    <w:rsid w:val="00301B0B"/>
    <w:rsid w:val="00301E84"/>
    <w:rsid w:val="00302E7A"/>
    <w:rsid w:val="00303D1B"/>
    <w:rsid w:val="003046B7"/>
    <w:rsid w:val="00306D4E"/>
    <w:rsid w:val="00317A57"/>
    <w:rsid w:val="00320A99"/>
    <w:rsid w:val="0032144B"/>
    <w:rsid w:val="00321E38"/>
    <w:rsid w:val="00322D5B"/>
    <w:rsid w:val="00325AC2"/>
    <w:rsid w:val="00326A1C"/>
    <w:rsid w:val="00327FDC"/>
    <w:rsid w:val="003302FB"/>
    <w:rsid w:val="003360E3"/>
    <w:rsid w:val="003371D5"/>
    <w:rsid w:val="003376CD"/>
    <w:rsid w:val="003452C3"/>
    <w:rsid w:val="003501A7"/>
    <w:rsid w:val="0035048A"/>
    <w:rsid w:val="00354F9C"/>
    <w:rsid w:val="0036263B"/>
    <w:rsid w:val="00363B62"/>
    <w:rsid w:val="003645B0"/>
    <w:rsid w:val="00364B2C"/>
    <w:rsid w:val="003664F1"/>
    <w:rsid w:val="00367E3F"/>
    <w:rsid w:val="00377EA5"/>
    <w:rsid w:val="00377F77"/>
    <w:rsid w:val="00383073"/>
    <w:rsid w:val="0038438F"/>
    <w:rsid w:val="00387C67"/>
    <w:rsid w:val="00387D98"/>
    <w:rsid w:val="00390B0F"/>
    <w:rsid w:val="00390B38"/>
    <w:rsid w:val="00390B6B"/>
    <w:rsid w:val="00391CFE"/>
    <w:rsid w:val="0039353B"/>
    <w:rsid w:val="00394F9E"/>
    <w:rsid w:val="00395426"/>
    <w:rsid w:val="00395B91"/>
    <w:rsid w:val="00396615"/>
    <w:rsid w:val="0039700D"/>
    <w:rsid w:val="00397089"/>
    <w:rsid w:val="003978A8"/>
    <w:rsid w:val="003A0F30"/>
    <w:rsid w:val="003A4C44"/>
    <w:rsid w:val="003A5AD0"/>
    <w:rsid w:val="003A6CE3"/>
    <w:rsid w:val="003A7899"/>
    <w:rsid w:val="003B15EE"/>
    <w:rsid w:val="003B517D"/>
    <w:rsid w:val="003B60EC"/>
    <w:rsid w:val="003C00ED"/>
    <w:rsid w:val="003C1C0A"/>
    <w:rsid w:val="003C35DF"/>
    <w:rsid w:val="003C4A68"/>
    <w:rsid w:val="003C554F"/>
    <w:rsid w:val="003C61DD"/>
    <w:rsid w:val="003D63E7"/>
    <w:rsid w:val="003E05F1"/>
    <w:rsid w:val="003E113B"/>
    <w:rsid w:val="003E5092"/>
    <w:rsid w:val="003E715D"/>
    <w:rsid w:val="003F103E"/>
    <w:rsid w:val="003F2E48"/>
    <w:rsid w:val="003F440C"/>
    <w:rsid w:val="003F525A"/>
    <w:rsid w:val="003F7BE6"/>
    <w:rsid w:val="004006A9"/>
    <w:rsid w:val="00400E3B"/>
    <w:rsid w:val="00404548"/>
    <w:rsid w:val="004052AE"/>
    <w:rsid w:val="004118A5"/>
    <w:rsid w:val="00413672"/>
    <w:rsid w:val="00414041"/>
    <w:rsid w:val="00414465"/>
    <w:rsid w:val="00414729"/>
    <w:rsid w:val="00414C80"/>
    <w:rsid w:val="00414F4B"/>
    <w:rsid w:val="00415EF9"/>
    <w:rsid w:val="00416629"/>
    <w:rsid w:val="00417DA1"/>
    <w:rsid w:val="00423478"/>
    <w:rsid w:val="00425B76"/>
    <w:rsid w:val="004260A2"/>
    <w:rsid w:val="00426FC6"/>
    <w:rsid w:val="004273BC"/>
    <w:rsid w:val="00427C5F"/>
    <w:rsid w:val="00441EAC"/>
    <w:rsid w:val="00442D32"/>
    <w:rsid w:val="004507E5"/>
    <w:rsid w:val="004519AD"/>
    <w:rsid w:val="0045459A"/>
    <w:rsid w:val="004545DB"/>
    <w:rsid w:val="0045786A"/>
    <w:rsid w:val="004603E8"/>
    <w:rsid w:val="00460F76"/>
    <w:rsid w:val="00462F12"/>
    <w:rsid w:val="00463050"/>
    <w:rsid w:val="0046340F"/>
    <w:rsid w:val="00466168"/>
    <w:rsid w:val="0046778B"/>
    <w:rsid w:val="004714D4"/>
    <w:rsid w:val="00475712"/>
    <w:rsid w:val="00480CCE"/>
    <w:rsid w:val="00482FAA"/>
    <w:rsid w:val="00487211"/>
    <w:rsid w:val="0049075F"/>
    <w:rsid w:val="00492DA8"/>
    <w:rsid w:val="004A0888"/>
    <w:rsid w:val="004A3829"/>
    <w:rsid w:val="004A43B6"/>
    <w:rsid w:val="004A70EE"/>
    <w:rsid w:val="004A774E"/>
    <w:rsid w:val="004A7D3E"/>
    <w:rsid w:val="004A7FF9"/>
    <w:rsid w:val="004B379D"/>
    <w:rsid w:val="004B5F0C"/>
    <w:rsid w:val="004B6031"/>
    <w:rsid w:val="004C046E"/>
    <w:rsid w:val="004C1609"/>
    <w:rsid w:val="004C216B"/>
    <w:rsid w:val="004C56CA"/>
    <w:rsid w:val="004C5DD3"/>
    <w:rsid w:val="004D30F9"/>
    <w:rsid w:val="004D4A32"/>
    <w:rsid w:val="004D525B"/>
    <w:rsid w:val="004D64AB"/>
    <w:rsid w:val="004E7CE8"/>
    <w:rsid w:val="004F271D"/>
    <w:rsid w:val="004F5114"/>
    <w:rsid w:val="004F756C"/>
    <w:rsid w:val="005001FA"/>
    <w:rsid w:val="005019AF"/>
    <w:rsid w:val="0050488D"/>
    <w:rsid w:val="00504D12"/>
    <w:rsid w:val="0050527A"/>
    <w:rsid w:val="0050535A"/>
    <w:rsid w:val="005106F5"/>
    <w:rsid w:val="00511192"/>
    <w:rsid w:val="005118AD"/>
    <w:rsid w:val="00512353"/>
    <w:rsid w:val="00521F9F"/>
    <w:rsid w:val="005220C2"/>
    <w:rsid w:val="00522E88"/>
    <w:rsid w:val="00523369"/>
    <w:rsid w:val="0052398F"/>
    <w:rsid w:val="0052773C"/>
    <w:rsid w:val="00532380"/>
    <w:rsid w:val="00532960"/>
    <w:rsid w:val="005346D2"/>
    <w:rsid w:val="00540BB4"/>
    <w:rsid w:val="00545A73"/>
    <w:rsid w:val="00546DEB"/>
    <w:rsid w:val="00546F0F"/>
    <w:rsid w:val="005477E7"/>
    <w:rsid w:val="00550159"/>
    <w:rsid w:val="00551897"/>
    <w:rsid w:val="00551FFD"/>
    <w:rsid w:val="00552A0F"/>
    <w:rsid w:val="005551ED"/>
    <w:rsid w:val="00556419"/>
    <w:rsid w:val="005572B4"/>
    <w:rsid w:val="005572DD"/>
    <w:rsid w:val="00557C3B"/>
    <w:rsid w:val="00560564"/>
    <w:rsid w:val="00562E2B"/>
    <w:rsid w:val="00564668"/>
    <w:rsid w:val="00570353"/>
    <w:rsid w:val="005715F5"/>
    <w:rsid w:val="0057171E"/>
    <w:rsid w:val="00571EEC"/>
    <w:rsid w:val="00572666"/>
    <w:rsid w:val="0057267E"/>
    <w:rsid w:val="005726BD"/>
    <w:rsid w:val="00574A5A"/>
    <w:rsid w:val="005753B8"/>
    <w:rsid w:val="00576A95"/>
    <w:rsid w:val="00583ED5"/>
    <w:rsid w:val="00587437"/>
    <w:rsid w:val="00592678"/>
    <w:rsid w:val="00594644"/>
    <w:rsid w:val="0059526F"/>
    <w:rsid w:val="00596F36"/>
    <w:rsid w:val="005A1741"/>
    <w:rsid w:val="005A235F"/>
    <w:rsid w:val="005A751F"/>
    <w:rsid w:val="005A7719"/>
    <w:rsid w:val="005A77C2"/>
    <w:rsid w:val="005B291B"/>
    <w:rsid w:val="005B6F9F"/>
    <w:rsid w:val="005B76C5"/>
    <w:rsid w:val="005B7AF0"/>
    <w:rsid w:val="005B7B8A"/>
    <w:rsid w:val="005C09C6"/>
    <w:rsid w:val="005C458D"/>
    <w:rsid w:val="005C491E"/>
    <w:rsid w:val="005C5E0A"/>
    <w:rsid w:val="005C6C0C"/>
    <w:rsid w:val="005D2276"/>
    <w:rsid w:val="005D25FD"/>
    <w:rsid w:val="005D2808"/>
    <w:rsid w:val="005E0858"/>
    <w:rsid w:val="005E2794"/>
    <w:rsid w:val="005E3CBF"/>
    <w:rsid w:val="005E6F9D"/>
    <w:rsid w:val="005E7B5A"/>
    <w:rsid w:val="005F01FC"/>
    <w:rsid w:val="005F0C89"/>
    <w:rsid w:val="005F3701"/>
    <w:rsid w:val="005F41DF"/>
    <w:rsid w:val="005F4521"/>
    <w:rsid w:val="005F5478"/>
    <w:rsid w:val="006006FC"/>
    <w:rsid w:val="006045BA"/>
    <w:rsid w:val="0060583A"/>
    <w:rsid w:val="00611649"/>
    <w:rsid w:val="00611A0E"/>
    <w:rsid w:val="00614154"/>
    <w:rsid w:val="00614BD3"/>
    <w:rsid w:val="00623A77"/>
    <w:rsid w:val="006256F5"/>
    <w:rsid w:val="0063097B"/>
    <w:rsid w:val="006364B8"/>
    <w:rsid w:val="00636A64"/>
    <w:rsid w:val="00636B93"/>
    <w:rsid w:val="00640550"/>
    <w:rsid w:val="0064326A"/>
    <w:rsid w:val="00644D5D"/>
    <w:rsid w:val="0064695B"/>
    <w:rsid w:val="00646DC7"/>
    <w:rsid w:val="006511FB"/>
    <w:rsid w:val="00651A9D"/>
    <w:rsid w:val="00654C93"/>
    <w:rsid w:val="00656092"/>
    <w:rsid w:val="0065741C"/>
    <w:rsid w:val="00660B85"/>
    <w:rsid w:val="006622E0"/>
    <w:rsid w:val="00662DCE"/>
    <w:rsid w:val="00664F6D"/>
    <w:rsid w:val="006650B8"/>
    <w:rsid w:val="00666329"/>
    <w:rsid w:val="006672EE"/>
    <w:rsid w:val="0067011F"/>
    <w:rsid w:val="0067015E"/>
    <w:rsid w:val="00680453"/>
    <w:rsid w:val="00682526"/>
    <w:rsid w:val="00683555"/>
    <w:rsid w:val="00686F1D"/>
    <w:rsid w:val="00692F7A"/>
    <w:rsid w:val="00695E06"/>
    <w:rsid w:val="00696315"/>
    <w:rsid w:val="006A0D51"/>
    <w:rsid w:val="006A1C05"/>
    <w:rsid w:val="006A225B"/>
    <w:rsid w:val="006A30D2"/>
    <w:rsid w:val="006A5A6A"/>
    <w:rsid w:val="006A5FE3"/>
    <w:rsid w:val="006B23B2"/>
    <w:rsid w:val="006B4845"/>
    <w:rsid w:val="006B635C"/>
    <w:rsid w:val="006C1708"/>
    <w:rsid w:val="006C1C29"/>
    <w:rsid w:val="006C3782"/>
    <w:rsid w:val="006C3CDE"/>
    <w:rsid w:val="006C4745"/>
    <w:rsid w:val="006D0EE8"/>
    <w:rsid w:val="006D3162"/>
    <w:rsid w:val="006D37E7"/>
    <w:rsid w:val="006D3CE2"/>
    <w:rsid w:val="006D5146"/>
    <w:rsid w:val="006D59D6"/>
    <w:rsid w:val="006D5C04"/>
    <w:rsid w:val="006D7508"/>
    <w:rsid w:val="006E0F2F"/>
    <w:rsid w:val="006E19D7"/>
    <w:rsid w:val="006E71B9"/>
    <w:rsid w:val="006F0FE9"/>
    <w:rsid w:val="006F39B2"/>
    <w:rsid w:val="006F5384"/>
    <w:rsid w:val="006F6604"/>
    <w:rsid w:val="006F6896"/>
    <w:rsid w:val="006F71D8"/>
    <w:rsid w:val="006F7D1A"/>
    <w:rsid w:val="00702F6F"/>
    <w:rsid w:val="0070346C"/>
    <w:rsid w:val="007051A0"/>
    <w:rsid w:val="00706496"/>
    <w:rsid w:val="00711A12"/>
    <w:rsid w:val="00711F11"/>
    <w:rsid w:val="007154C4"/>
    <w:rsid w:val="00715DB9"/>
    <w:rsid w:val="007174BE"/>
    <w:rsid w:val="007218A0"/>
    <w:rsid w:val="007238AF"/>
    <w:rsid w:val="00726799"/>
    <w:rsid w:val="00726908"/>
    <w:rsid w:val="007270C7"/>
    <w:rsid w:val="00730F3A"/>
    <w:rsid w:val="00735F34"/>
    <w:rsid w:val="00736944"/>
    <w:rsid w:val="00741200"/>
    <w:rsid w:val="00741333"/>
    <w:rsid w:val="00742FF2"/>
    <w:rsid w:val="00744D6A"/>
    <w:rsid w:val="00746138"/>
    <w:rsid w:val="0074620A"/>
    <w:rsid w:val="00751D50"/>
    <w:rsid w:val="007527D5"/>
    <w:rsid w:val="00752F3C"/>
    <w:rsid w:val="00754A8B"/>
    <w:rsid w:val="007561FC"/>
    <w:rsid w:val="00761D34"/>
    <w:rsid w:val="00762D2D"/>
    <w:rsid w:val="00764622"/>
    <w:rsid w:val="00764CAD"/>
    <w:rsid w:val="00770FA1"/>
    <w:rsid w:val="00773884"/>
    <w:rsid w:val="00774813"/>
    <w:rsid w:val="0078052A"/>
    <w:rsid w:val="007812FB"/>
    <w:rsid w:val="00784032"/>
    <w:rsid w:val="00786E79"/>
    <w:rsid w:val="00787925"/>
    <w:rsid w:val="00790E31"/>
    <w:rsid w:val="00791578"/>
    <w:rsid w:val="00793B87"/>
    <w:rsid w:val="0079566E"/>
    <w:rsid w:val="00796509"/>
    <w:rsid w:val="0079691E"/>
    <w:rsid w:val="00797723"/>
    <w:rsid w:val="007B1EEE"/>
    <w:rsid w:val="007B249B"/>
    <w:rsid w:val="007B6D4D"/>
    <w:rsid w:val="007B6FAF"/>
    <w:rsid w:val="007B7A09"/>
    <w:rsid w:val="007C0F7A"/>
    <w:rsid w:val="007D24A9"/>
    <w:rsid w:val="007D27FA"/>
    <w:rsid w:val="007D30B5"/>
    <w:rsid w:val="007D6218"/>
    <w:rsid w:val="007D6699"/>
    <w:rsid w:val="007D7E30"/>
    <w:rsid w:val="007E0A75"/>
    <w:rsid w:val="007E6419"/>
    <w:rsid w:val="007F6815"/>
    <w:rsid w:val="007F6BA8"/>
    <w:rsid w:val="0080681B"/>
    <w:rsid w:val="0080738C"/>
    <w:rsid w:val="00810B77"/>
    <w:rsid w:val="00817436"/>
    <w:rsid w:val="00822217"/>
    <w:rsid w:val="0082542D"/>
    <w:rsid w:val="00827834"/>
    <w:rsid w:val="00832835"/>
    <w:rsid w:val="00835110"/>
    <w:rsid w:val="008351FC"/>
    <w:rsid w:val="00841F50"/>
    <w:rsid w:val="00843A0E"/>
    <w:rsid w:val="00845DFE"/>
    <w:rsid w:val="00846E17"/>
    <w:rsid w:val="0085200A"/>
    <w:rsid w:val="00854283"/>
    <w:rsid w:val="008573E3"/>
    <w:rsid w:val="00861E81"/>
    <w:rsid w:val="008621BF"/>
    <w:rsid w:val="008645FF"/>
    <w:rsid w:val="00866D42"/>
    <w:rsid w:val="0087030E"/>
    <w:rsid w:val="00870AAC"/>
    <w:rsid w:val="008734F7"/>
    <w:rsid w:val="00874E9F"/>
    <w:rsid w:val="00877842"/>
    <w:rsid w:val="00877FE5"/>
    <w:rsid w:val="008806F8"/>
    <w:rsid w:val="008808E2"/>
    <w:rsid w:val="00881456"/>
    <w:rsid w:val="00881ACB"/>
    <w:rsid w:val="00885FC9"/>
    <w:rsid w:val="00891328"/>
    <w:rsid w:val="00891A47"/>
    <w:rsid w:val="00892809"/>
    <w:rsid w:val="0089370F"/>
    <w:rsid w:val="008939AF"/>
    <w:rsid w:val="00893FED"/>
    <w:rsid w:val="0089449A"/>
    <w:rsid w:val="00895E48"/>
    <w:rsid w:val="00896687"/>
    <w:rsid w:val="008971F4"/>
    <w:rsid w:val="008A0E7D"/>
    <w:rsid w:val="008A3023"/>
    <w:rsid w:val="008A403F"/>
    <w:rsid w:val="008A6815"/>
    <w:rsid w:val="008B1031"/>
    <w:rsid w:val="008B2303"/>
    <w:rsid w:val="008B34A0"/>
    <w:rsid w:val="008B5740"/>
    <w:rsid w:val="008C0B84"/>
    <w:rsid w:val="008C41DA"/>
    <w:rsid w:val="008C553A"/>
    <w:rsid w:val="008C588E"/>
    <w:rsid w:val="008C6D5F"/>
    <w:rsid w:val="008C7226"/>
    <w:rsid w:val="008D7B80"/>
    <w:rsid w:val="008E243B"/>
    <w:rsid w:val="008E4184"/>
    <w:rsid w:val="008E549F"/>
    <w:rsid w:val="008E6301"/>
    <w:rsid w:val="008F10BC"/>
    <w:rsid w:val="008F2052"/>
    <w:rsid w:val="008F26ED"/>
    <w:rsid w:val="008F2A38"/>
    <w:rsid w:val="008F3012"/>
    <w:rsid w:val="008F592B"/>
    <w:rsid w:val="00901D14"/>
    <w:rsid w:val="00903775"/>
    <w:rsid w:val="009109F7"/>
    <w:rsid w:val="00912137"/>
    <w:rsid w:val="00915BED"/>
    <w:rsid w:val="00916B64"/>
    <w:rsid w:val="0092145D"/>
    <w:rsid w:val="009245DE"/>
    <w:rsid w:val="00930762"/>
    <w:rsid w:val="00930C0C"/>
    <w:rsid w:val="00936B81"/>
    <w:rsid w:val="00944701"/>
    <w:rsid w:val="00950ED1"/>
    <w:rsid w:val="00952A7A"/>
    <w:rsid w:val="00953A02"/>
    <w:rsid w:val="0095444E"/>
    <w:rsid w:val="00955C67"/>
    <w:rsid w:val="00957B65"/>
    <w:rsid w:val="00960AFF"/>
    <w:rsid w:val="0096385A"/>
    <w:rsid w:val="00963F62"/>
    <w:rsid w:val="00964763"/>
    <w:rsid w:val="00965EFC"/>
    <w:rsid w:val="0097161B"/>
    <w:rsid w:val="009762D2"/>
    <w:rsid w:val="009762F1"/>
    <w:rsid w:val="0097692D"/>
    <w:rsid w:val="009776D2"/>
    <w:rsid w:val="00977EA8"/>
    <w:rsid w:val="0098140D"/>
    <w:rsid w:val="00981CED"/>
    <w:rsid w:val="00983E37"/>
    <w:rsid w:val="00987225"/>
    <w:rsid w:val="00990870"/>
    <w:rsid w:val="00990DCF"/>
    <w:rsid w:val="009920F5"/>
    <w:rsid w:val="00992B56"/>
    <w:rsid w:val="00992CDA"/>
    <w:rsid w:val="00993342"/>
    <w:rsid w:val="00996CE4"/>
    <w:rsid w:val="009A0FB3"/>
    <w:rsid w:val="009A3F36"/>
    <w:rsid w:val="009A48D8"/>
    <w:rsid w:val="009A6C59"/>
    <w:rsid w:val="009A7878"/>
    <w:rsid w:val="009B0888"/>
    <w:rsid w:val="009B33DF"/>
    <w:rsid w:val="009B4270"/>
    <w:rsid w:val="009B44CC"/>
    <w:rsid w:val="009B5651"/>
    <w:rsid w:val="009B62E4"/>
    <w:rsid w:val="009B706A"/>
    <w:rsid w:val="009C4319"/>
    <w:rsid w:val="009D109E"/>
    <w:rsid w:val="009D1CD9"/>
    <w:rsid w:val="009D1F28"/>
    <w:rsid w:val="009D28E5"/>
    <w:rsid w:val="009D4830"/>
    <w:rsid w:val="009D520D"/>
    <w:rsid w:val="009D797A"/>
    <w:rsid w:val="009E026A"/>
    <w:rsid w:val="009E3B56"/>
    <w:rsid w:val="009E49B5"/>
    <w:rsid w:val="009E551E"/>
    <w:rsid w:val="009E7066"/>
    <w:rsid w:val="009F1EF8"/>
    <w:rsid w:val="009F4604"/>
    <w:rsid w:val="009F4B78"/>
    <w:rsid w:val="009F606B"/>
    <w:rsid w:val="009F6E66"/>
    <w:rsid w:val="009F7888"/>
    <w:rsid w:val="00A02AC3"/>
    <w:rsid w:val="00A06840"/>
    <w:rsid w:val="00A06EAD"/>
    <w:rsid w:val="00A1293C"/>
    <w:rsid w:val="00A14F9B"/>
    <w:rsid w:val="00A167F1"/>
    <w:rsid w:val="00A2085F"/>
    <w:rsid w:val="00A20EC0"/>
    <w:rsid w:val="00A2150B"/>
    <w:rsid w:val="00A215D9"/>
    <w:rsid w:val="00A2292C"/>
    <w:rsid w:val="00A22DD6"/>
    <w:rsid w:val="00A23FC3"/>
    <w:rsid w:val="00A25F1B"/>
    <w:rsid w:val="00A3288D"/>
    <w:rsid w:val="00A329DC"/>
    <w:rsid w:val="00A41135"/>
    <w:rsid w:val="00A41FEB"/>
    <w:rsid w:val="00A42FBA"/>
    <w:rsid w:val="00A44DA6"/>
    <w:rsid w:val="00A50921"/>
    <w:rsid w:val="00A5160D"/>
    <w:rsid w:val="00A56CA4"/>
    <w:rsid w:val="00A65F04"/>
    <w:rsid w:val="00A65F2E"/>
    <w:rsid w:val="00A7086D"/>
    <w:rsid w:val="00A71AD5"/>
    <w:rsid w:val="00A8073E"/>
    <w:rsid w:val="00A80883"/>
    <w:rsid w:val="00A81BED"/>
    <w:rsid w:val="00A82FC6"/>
    <w:rsid w:val="00A85A0D"/>
    <w:rsid w:val="00A92270"/>
    <w:rsid w:val="00AA10AE"/>
    <w:rsid w:val="00AA329F"/>
    <w:rsid w:val="00AA7B6A"/>
    <w:rsid w:val="00AB593E"/>
    <w:rsid w:val="00AB5D37"/>
    <w:rsid w:val="00AB683F"/>
    <w:rsid w:val="00AC4A2E"/>
    <w:rsid w:val="00AD1885"/>
    <w:rsid w:val="00AD50BA"/>
    <w:rsid w:val="00AE02E7"/>
    <w:rsid w:val="00AE0F75"/>
    <w:rsid w:val="00AE319E"/>
    <w:rsid w:val="00AE3B2C"/>
    <w:rsid w:val="00AE3B4E"/>
    <w:rsid w:val="00AE676F"/>
    <w:rsid w:val="00AE709C"/>
    <w:rsid w:val="00AE7DD9"/>
    <w:rsid w:val="00AF2B38"/>
    <w:rsid w:val="00B004C1"/>
    <w:rsid w:val="00B0168B"/>
    <w:rsid w:val="00B03458"/>
    <w:rsid w:val="00B04B8E"/>
    <w:rsid w:val="00B1072F"/>
    <w:rsid w:val="00B15820"/>
    <w:rsid w:val="00B215D8"/>
    <w:rsid w:val="00B2218A"/>
    <w:rsid w:val="00B23F64"/>
    <w:rsid w:val="00B246ED"/>
    <w:rsid w:val="00B26DD0"/>
    <w:rsid w:val="00B338C8"/>
    <w:rsid w:val="00B341CC"/>
    <w:rsid w:val="00B35321"/>
    <w:rsid w:val="00B35505"/>
    <w:rsid w:val="00B35CB3"/>
    <w:rsid w:val="00B35E0A"/>
    <w:rsid w:val="00B40124"/>
    <w:rsid w:val="00B40B86"/>
    <w:rsid w:val="00B42E03"/>
    <w:rsid w:val="00B443E2"/>
    <w:rsid w:val="00B46222"/>
    <w:rsid w:val="00B54092"/>
    <w:rsid w:val="00B5444C"/>
    <w:rsid w:val="00B5568B"/>
    <w:rsid w:val="00B557BF"/>
    <w:rsid w:val="00B55BD6"/>
    <w:rsid w:val="00B56147"/>
    <w:rsid w:val="00B5720A"/>
    <w:rsid w:val="00B604A0"/>
    <w:rsid w:val="00B60761"/>
    <w:rsid w:val="00B620A5"/>
    <w:rsid w:val="00B62BB1"/>
    <w:rsid w:val="00B63559"/>
    <w:rsid w:val="00B73979"/>
    <w:rsid w:val="00B751B0"/>
    <w:rsid w:val="00B762E0"/>
    <w:rsid w:val="00B86188"/>
    <w:rsid w:val="00B86C54"/>
    <w:rsid w:val="00B874C4"/>
    <w:rsid w:val="00B97AA2"/>
    <w:rsid w:val="00B97B8E"/>
    <w:rsid w:val="00BA00A8"/>
    <w:rsid w:val="00BA0378"/>
    <w:rsid w:val="00BA37A4"/>
    <w:rsid w:val="00BA4FB0"/>
    <w:rsid w:val="00BA6138"/>
    <w:rsid w:val="00BB1930"/>
    <w:rsid w:val="00BB3478"/>
    <w:rsid w:val="00BC2247"/>
    <w:rsid w:val="00BC5572"/>
    <w:rsid w:val="00BD497C"/>
    <w:rsid w:val="00BD57EE"/>
    <w:rsid w:val="00BE4E8A"/>
    <w:rsid w:val="00BE6478"/>
    <w:rsid w:val="00BF2A79"/>
    <w:rsid w:val="00BF375F"/>
    <w:rsid w:val="00C02372"/>
    <w:rsid w:val="00C044C3"/>
    <w:rsid w:val="00C10453"/>
    <w:rsid w:val="00C12E60"/>
    <w:rsid w:val="00C13BCA"/>
    <w:rsid w:val="00C141B9"/>
    <w:rsid w:val="00C158CF"/>
    <w:rsid w:val="00C16518"/>
    <w:rsid w:val="00C1787D"/>
    <w:rsid w:val="00C20F14"/>
    <w:rsid w:val="00C22B7C"/>
    <w:rsid w:val="00C23B8E"/>
    <w:rsid w:val="00C3184D"/>
    <w:rsid w:val="00C331FD"/>
    <w:rsid w:val="00C340E5"/>
    <w:rsid w:val="00C34DCB"/>
    <w:rsid w:val="00C36D0C"/>
    <w:rsid w:val="00C3708D"/>
    <w:rsid w:val="00C4138A"/>
    <w:rsid w:val="00C440B4"/>
    <w:rsid w:val="00C446F9"/>
    <w:rsid w:val="00C462CB"/>
    <w:rsid w:val="00C46F39"/>
    <w:rsid w:val="00C47AFE"/>
    <w:rsid w:val="00C5067F"/>
    <w:rsid w:val="00C515C3"/>
    <w:rsid w:val="00C51AA2"/>
    <w:rsid w:val="00C52E43"/>
    <w:rsid w:val="00C56CD4"/>
    <w:rsid w:val="00C609C3"/>
    <w:rsid w:val="00C60E16"/>
    <w:rsid w:val="00C65E4E"/>
    <w:rsid w:val="00C66610"/>
    <w:rsid w:val="00C66648"/>
    <w:rsid w:val="00C66FEF"/>
    <w:rsid w:val="00C70CB4"/>
    <w:rsid w:val="00C727A7"/>
    <w:rsid w:val="00C728D5"/>
    <w:rsid w:val="00C72CF7"/>
    <w:rsid w:val="00C75119"/>
    <w:rsid w:val="00C76DD6"/>
    <w:rsid w:val="00C90B62"/>
    <w:rsid w:val="00C91C08"/>
    <w:rsid w:val="00C959F3"/>
    <w:rsid w:val="00C97F0E"/>
    <w:rsid w:val="00CA06AC"/>
    <w:rsid w:val="00CA1D9E"/>
    <w:rsid w:val="00CA242A"/>
    <w:rsid w:val="00CA27BD"/>
    <w:rsid w:val="00CA2AB6"/>
    <w:rsid w:val="00CA36DE"/>
    <w:rsid w:val="00CA4BCC"/>
    <w:rsid w:val="00CA5313"/>
    <w:rsid w:val="00CB01D6"/>
    <w:rsid w:val="00CB311E"/>
    <w:rsid w:val="00CB71E1"/>
    <w:rsid w:val="00CC021F"/>
    <w:rsid w:val="00CC0ED3"/>
    <w:rsid w:val="00CC1894"/>
    <w:rsid w:val="00CC2EE2"/>
    <w:rsid w:val="00CC3D03"/>
    <w:rsid w:val="00CC45DB"/>
    <w:rsid w:val="00CC5651"/>
    <w:rsid w:val="00CC73FF"/>
    <w:rsid w:val="00CD141E"/>
    <w:rsid w:val="00CD45DA"/>
    <w:rsid w:val="00CE2EA4"/>
    <w:rsid w:val="00CE5714"/>
    <w:rsid w:val="00CE6138"/>
    <w:rsid w:val="00CE6F33"/>
    <w:rsid w:val="00CE6F59"/>
    <w:rsid w:val="00CE7AAB"/>
    <w:rsid w:val="00CF2673"/>
    <w:rsid w:val="00CF2DA1"/>
    <w:rsid w:val="00CF43B1"/>
    <w:rsid w:val="00CF7E35"/>
    <w:rsid w:val="00D0614B"/>
    <w:rsid w:val="00D06AD1"/>
    <w:rsid w:val="00D17549"/>
    <w:rsid w:val="00D24D97"/>
    <w:rsid w:val="00D275F5"/>
    <w:rsid w:val="00D376F1"/>
    <w:rsid w:val="00D43CA8"/>
    <w:rsid w:val="00D4523D"/>
    <w:rsid w:val="00D4593F"/>
    <w:rsid w:val="00D45BD4"/>
    <w:rsid w:val="00D4775B"/>
    <w:rsid w:val="00D47AB8"/>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80897"/>
    <w:rsid w:val="00D81375"/>
    <w:rsid w:val="00D8540E"/>
    <w:rsid w:val="00D85C4D"/>
    <w:rsid w:val="00D8730B"/>
    <w:rsid w:val="00D87749"/>
    <w:rsid w:val="00D9072A"/>
    <w:rsid w:val="00D94852"/>
    <w:rsid w:val="00DA039C"/>
    <w:rsid w:val="00DA10B4"/>
    <w:rsid w:val="00DA6EBE"/>
    <w:rsid w:val="00DB27CC"/>
    <w:rsid w:val="00DB2A54"/>
    <w:rsid w:val="00DB4EF9"/>
    <w:rsid w:val="00DC29FE"/>
    <w:rsid w:val="00DC430C"/>
    <w:rsid w:val="00DC60FB"/>
    <w:rsid w:val="00DC7319"/>
    <w:rsid w:val="00DC742E"/>
    <w:rsid w:val="00DD38DC"/>
    <w:rsid w:val="00DD63FF"/>
    <w:rsid w:val="00DF1BBF"/>
    <w:rsid w:val="00DF3145"/>
    <w:rsid w:val="00DF4B0E"/>
    <w:rsid w:val="00E01E4B"/>
    <w:rsid w:val="00E062B0"/>
    <w:rsid w:val="00E0711E"/>
    <w:rsid w:val="00E0770C"/>
    <w:rsid w:val="00E14DFA"/>
    <w:rsid w:val="00E17EA5"/>
    <w:rsid w:val="00E229DB"/>
    <w:rsid w:val="00E2571A"/>
    <w:rsid w:val="00E26EDC"/>
    <w:rsid w:val="00E2713C"/>
    <w:rsid w:val="00E30B42"/>
    <w:rsid w:val="00E342D7"/>
    <w:rsid w:val="00E34554"/>
    <w:rsid w:val="00E34D1F"/>
    <w:rsid w:val="00E35C26"/>
    <w:rsid w:val="00E40003"/>
    <w:rsid w:val="00E410EA"/>
    <w:rsid w:val="00E41D5C"/>
    <w:rsid w:val="00E437F7"/>
    <w:rsid w:val="00E529F9"/>
    <w:rsid w:val="00E55017"/>
    <w:rsid w:val="00E55416"/>
    <w:rsid w:val="00E557D1"/>
    <w:rsid w:val="00E56282"/>
    <w:rsid w:val="00E616BF"/>
    <w:rsid w:val="00E658AA"/>
    <w:rsid w:val="00E6656A"/>
    <w:rsid w:val="00E70D30"/>
    <w:rsid w:val="00E716BA"/>
    <w:rsid w:val="00E735DC"/>
    <w:rsid w:val="00E75977"/>
    <w:rsid w:val="00E76431"/>
    <w:rsid w:val="00E7686D"/>
    <w:rsid w:val="00E813BA"/>
    <w:rsid w:val="00E8590C"/>
    <w:rsid w:val="00E85F76"/>
    <w:rsid w:val="00E93590"/>
    <w:rsid w:val="00E94506"/>
    <w:rsid w:val="00E95A7B"/>
    <w:rsid w:val="00E969E9"/>
    <w:rsid w:val="00EA01A0"/>
    <w:rsid w:val="00EA155A"/>
    <w:rsid w:val="00EA24D4"/>
    <w:rsid w:val="00EA2851"/>
    <w:rsid w:val="00EA3515"/>
    <w:rsid w:val="00EA4472"/>
    <w:rsid w:val="00EA55FE"/>
    <w:rsid w:val="00EB0B4F"/>
    <w:rsid w:val="00EB1B59"/>
    <w:rsid w:val="00EB4384"/>
    <w:rsid w:val="00EB6065"/>
    <w:rsid w:val="00EB734B"/>
    <w:rsid w:val="00EC0826"/>
    <w:rsid w:val="00EC4E99"/>
    <w:rsid w:val="00EC7E23"/>
    <w:rsid w:val="00ED3A21"/>
    <w:rsid w:val="00ED54F9"/>
    <w:rsid w:val="00ED6982"/>
    <w:rsid w:val="00EE0218"/>
    <w:rsid w:val="00EE0E54"/>
    <w:rsid w:val="00EE1033"/>
    <w:rsid w:val="00EE114E"/>
    <w:rsid w:val="00EE5C60"/>
    <w:rsid w:val="00EF24BB"/>
    <w:rsid w:val="00EF2B90"/>
    <w:rsid w:val="00EF32F6"/>
    <w:rsid w:val="00EF4114"/>
    <w:rsid w:val="00EF448F"/>
    <w:rsid w:val="00EF4634"/>
    <w:rsid w:val="00EF472E"/>
    <w:rsid w:val="00EF4A5A"/>
    <w:rsid w:val="00EF4EC4"/>
    <w:rsid w:val="00EF66A9"/>
    <w:rsid w:val="00EF74D8"/>
    <w:rsid w:val="00F01898"/>
    <w:rsid w:val="00F02F3F"/>
    <w:rsid w:val="00F05EE0"/>
    <w:rsid w:val="00F06985"/>
    <w:rsid w:val="00F07DE8"/>
    <w:rsid w:val="00F156B3"/>
    <w:rsid w:val="00F15FD8"/>
    <w:rsid w:val="00F21A1A"/>
    <w:rsid w:val="00F22813"/>
    <w:rsid w:val="00F22FC8"/>
    <w:rsid w:val="00F27F36"/>
    <w:rsid w:val="00F32B8C"/>
    <w:rsid w:val="00F33383"/>
    <w:rsid w:val="00F33D5B"/>
    <w:rsid w:val="00F4030B"/>
    <w:rsid w:val="00F42F65"/>
    <w:rsid w:val="00F444F5"/>
    <w:rsid w:val="00F4602E"/>
    <w:rsid w:val="00F46BCF"/>
    <w:rsid w:val="00F515AF"/>
    <w:rsid w:val="00F53E05"/>
    <w:rsid w:val="00F5550A"/>
    <w:rsid w:val="00F55A56"/>
    <w:rsid w:val="00F56088"/>
    <w:rsid w:val="00F6031D"/>
    <w:rsid w:val="00F61303"/>
    <w:rsid w:val="00F65606"/>
    <w:rsid w:val="00F66614"/>
    <w:rsid w:val="00F67764"/>
    <w:rsid w:val="00F67C19"/>
    <w:rsid w:val="00F71232"/>
    <w:rsid w:val="00F74722"/>
    <w:rsid w:val="00F75F45"/>
    <w:rsid w:val="00F82957"/>
    <w:rsid w:val="00F83BD2"/>
    <w:rsid w:val="00F857CA"/>
    <w:rsid w:val="00F92C2B"/>
    <w:rsid w:val="00F94241"/>
    <w:rsid w:val="00F945CD"/>
    <w:rsid w:val="00F95ECF"/>
    <w:rsid w:val="00F9792C"/>
    <w:rsid w:val="00F97AAA"/>
    <w:rsid w:val="00FA4AD8"/>
    <w:rsid w:val="00FB3597"/>
    <w:rsid w:val="00FB53CA"/>
    <w:rsid w:val="00FC3750"/>
    <w:rsid w:val="00FC487C"/>
    <w:rsid w:val="00FC51A5"/>
    <w:rsid w:val="00FD0B36"/>
    <w:rsid w:val="00FD168A"/>
    <w:rsid w:val="00FD3643"/>
    <w:rsid w:val="00FD553C"/>
    <w:rsid w:val="00FD6F5E"/>
    <w:rsid w:val="00FE087D"/>
    <w:rsid w:val="00FE133D"/>
    <w:rsid w:val="00FE2090"/>
    <w:rsid w:val="00FE359D"/>
    <w:rsid w:val="00FE47EA"/>
    <w:rsid w:val="00FE4D5F"/>
    <w:rsid w:val="00FE7BC4"/>
    <w:rsid w:val="00FF050D"/>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pPr>
      <w:spacing w:after="60" w:line="259" w:lineRule="auto"/>
    </w:pPr>
    <w:rPr>
      <w:rFonts w:ascii="Times New Roman" w:hAnsi="Times New Roman" w:eastAsia="Times New Roman" w:cs="Times New Roman"/>
      <w:sz w:val="18"/>
      <w:szCs w:val="24"/>
      <w:lang w:val="de-DE"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GB"/>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GB"/>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GB"/>
    </w:rPr>
  </w:style>
  <w:style w:type="paragraph" w:styleId="FootnoteText">
    <w:name w:val="footnote text"/>
    <w:basedOn w:val="Normal"/>
    <w:semiHidden/>
    <w:rsid w:val="00D81375"/>
    <w:pPr>
      <w:keepLines/>
      <w:widowControl w:val="0"/>
      <w:jc w:val="both"/>
    </w:pPr>
    <w:rPr>
      <w:rFonts w:eastAsia="Times New Roman"/>
      <w:sz w:val="20"/>
      <w:szCs w:val="20"/>
      <w:lang w:val="en-GB"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rFonts w:ascii="Times New Roman" w:hAnsi="Times New Roman" w:eastAsia="Times New Roman" w:cs="Times New Roman"/>
      <w:lang w:val="x-none"/>
    </w:rPr>
  </w:style>
  <w:style w:type="paragraph" w:styleId="Footer">
    <w:name w:val="footer"/>
    <w:basedOn w:val="Normal"/>
    <w:link w:val="FooterChar"/>
    <w:uiPriority w:val="99"/>
    <w:rsid w:val="00881456"/>
    <w:pPr>
      <w:tabs>
        <w:tab w:val="center" w:pos="4536"/>
        <w:tab w:val="right" w:pos="9072"/>
      </w:tabs>
    </w:pPr>
    <w:rPr>
      <w:rFonts w:ascii="Times New Roman" w:hAnsi="Times New Roman" w:eastAsia="Times New Roman" w:cs="Times New Roman"/>
    </w:r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004A23"/>
    <w:p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val="de-DE"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customStyle="1" w:styleId="Title">
    <w:name w:val="Title"/>
    <w:pPr>
      <w:keepNext/>
      <w:spacing w:before="0" w:after="160"/>
    </w:pPr>
    <w:rPr>
      <w:rFonts w:ascii="Times New Roman" w:hAnsi="Times New Roman" w:eastAsia="Times New Roman" w:cs="Times New Roman"/>
      <w:b/>
      <w:color w:val="000000"/>
      <w:sz w:val="32"/>
    </w:rPr>
  </w:style>
  <w:style w:type="paragraph" w:customStyle="1" w:styleId="Heading1">
    <w:name w:val="heading 1"/>
    <w:pPr>
      <w:keepNext/>
      <w:spacing w:before="220" w:after="80"/>
    </w:pPr>
    <w:rPr>
      <w:rFonts w:ascii="Times New Roman" w:hAnsi="Times New Roman" w:eastAsia="Times New Roman" w:cs="Times New Roman"/>
      <w:b/>
      <w:color w:val="000000"/>
      <w:sz w:val="21"/>
    </w:rPr>
  </w:style>
  <w:style w:type="paragraph" w:customStyle="1" w:styleId="Heading2">
    <w:name w:val="heading 2"/>
    <w:pPr>
      <w:keepNext/>
      <w:spacing w:before="160" w:after="60"/>
    </w:pPr>
    <w:rPr>
      <w:rFonts w:ascii="Times New Roman" w:hAnsi="Times New Roman" w:eastAsia="Times New Roman" w:cs="Times New Roman"/>
      <w:b/>
      <w:color w:val="000000"/>
      <w:sz w:val="19"/>
    </w:rPr>
  </w:style>
  <w:style w:type="paragraph" w:customStyle="1" w:styleId="Caption">
    <w:name w:val="caption"/>
    <w:pPr>
      <w:spacing w:before="60" w:after="140"/>
    </w:pPr>
    <w:rPr>
      <w:rFonts w:ascii="Times New Roman" w:hAnsi="Times New Roman" w:eastAsia="Times New Roman" w:cs="Times New Roman"/>
      <w:b w:val="0"/>
      <w:i w:val="0"/>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oi.org/10.1002/aisy.202300168"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976</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NOSTOS Prevents Silent Acquisition- and Scale-Specific Failure in Quantitative Microscopy</dc:title>
  <dc:subject>Small Methods Supporting Information v34; frozen computational validation receipts</dc:subject>
  <dc:creator>Yan Jun Lin</dc:creator>
  <cp:keywords>quantitative microscopy; validation; perturbation; bone; network; reproducibility</cp:keywords>
  <cp:lastModifiedBy>Brown, Aaron</cp:lastModifiedBy>
  <cp:revision>2</cp:revision>
  <dcterms:created xsi:type="dcterms:W3CDTF">2025-11-12T12:43:00Z</dcterms:created>
  <dcterms:modified xsi:type="dcterms:W3CDTF">2025-11-12T12:43:00Z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ies>
</file>